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1"/>
        <w:ind w:left="430" w:right="1111" w:firstLine="64"/>
        <w:jc w:val="center"/>
        <w:rPr>
          <w:b/>
          <w:sz w:val="24"/>
        </w:rPr>
      </w:pPr>
      <w:r>
        <w:rPr>
          <w:b/>
          <w:sz w:val="24"/>
        </w:rPr>
        <w:t>EFFECT OF AQUEOUS ETHANOL LEAF EXTRACT OF </w:t>
      </w:r>
      <w:r>
        <w:rPr>
          <w:b/>
          <w:i/>
          <w:sz w:val="24"/>
        </w:rPr>
        <w:t>COMBRETUM MICRANTHUM</w:t>
      </w:r>
      <w:r>
        <w:rPr>
          <w:b/>
          <w:i/>
          <w:spacing w:val="-4"/>
          <w:sz w:val="24"/>
        </w:rPr>
        <w:t> </w:t>
      </w:r>
      <w:r>
        <w:rPr>
          <w:b/>
          <w:sz w:val="24"/>
        </w:rPr>
        <w:t>G.</w:t>
      </w:r>
      <w:r>
        <w:rPr>
          <w:b/>
          <w:spacing w:val="-5"/>
          <w:sz w:val="24"/>
        </w:rPr>
        <w:t> </w:t>
      </w:r>
      <w:r>
        <w:rPr>
          <w:b/>
          <w:sz w:val="24"/>
        </w:rPr>
        <w:t>DON</w:t>
      </w:r>
      <w:r>
        <w:rPr>
          <w:b/>
          <w:spacing w:val="-5"/>
          <w:sz w:val="24"/>
        </w:rPr>
        <w:t> </w:t>
      </w:r>
      <w:r>
        <w:rPr>
          <w:b/>
          <w:sz w:val="24"/>
        </w:rPr>
        <w:t>(COMBRETACEAE)</w:t>
      </w:r>
      <w:r>
        <w:rPr>
          <w:b/>
          <w:spacing w:val="-5"/>
          <w:sz w:val="24"/>
        </w:rPr>
        <w:t> </w:t>
      </w:r>
      <w:r>
        <w:rPr>
          <w:b/>
          <w:sz w:val="24"/>
        </w:rPr>
        <w:t>ON</w:t>
      </w:r>
      <w:r>
        <w:rPr>
          <w:b/>
          <w:spacing w:val="-5"/>
          <w:sz w:val="24"/>
        </w:rPr>
        <w:t> </w:t>
      </w:r>
      <w:r>
        <w:rPr>
          <w:b/>
          <w:sz w:val="24"/>
        </w:rPr>
        <w:t>SOME</w:t>
      </w:r>
      <w:r>
        <w:rPr>
          <w:b/>
          <w:spacing w:val="-5"/>
          <w:sz w:val="24"/>
        </w:rPr>
        <w:t> </w:t>
      </w:r>
      <w:r>
        <w:rPr>
          <w:b/>
          <w:sz w:val="24"/>
        </w:rPr>
        <w:t>INDUCED</w:t>
      </w:r>
      <w:r>
        <w:rPr>
          <w:b/>
          <w:spacing w:val="-4"/>
          <w:sz w:val="24"/>
        </w:rPr>
        <w:t> </w:t>
      </w:r>
      <w:r>
        <w:rPr>
          <w:b/>
          <w:sz w:val="24"/>
        </w:rPr>
        <w:t>SYSTEMIC INFLAMMATORY IMMUNE RESPONSE SYNDROMES IN MICE AND RATS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1"/>
        <w:rPr>
          <w:b/>
        </w:rPr>
      </w:pPr>
    </w:p>
    <w:p>
      <w:pPr>
        <w:spacing w:before="0"/>
        <w:ind w:left="763" w:right="1436" w:firstLine="0"/>
        <w:jc w:val="center"/>
        <w:rPr>
          <w:b/>
          <w:sz w:val="24"/>
        </w:rPr>
      </w:pPr>
      <w:r>
        <w:rPr>
          <w:b/>
          <w:spacing w:val="-5"/>
          <w:sz w:val="24"/>
        </w:rPr>
        <w:t>BY</w:t>
      </w:r>
    </w:p>
    <w:p>
      <w:pPr>
        <w:pStyle w:val="BodyText"/>
        <w:rPr>
          <w:b/>
        </w:rPr>
      </w:pPr>
    </w:p>
    <w:p>
      <w:pPr>
        <w:pStyle w:val="BodyText"/>
        <w:rPr>
          <w:b/>
        </w:rPr>
      </w:pPr>
    </w:p>
    <w:p>
      <w:pPr>
        <w:pStyle w:val="BodyText"/>
        <w:spacing w:before="204"/>
        <w:rPr>
          <w:b/>
        </w:rPr>
      </w:pPr>
    </w:p>
    <w:p>
      <w:pPr>
        <w:spacing w:before="0"/>
        <w:ind w:left="758" w:right="1436" w:firstLine="0"/>
        <w:jc w:val="center"/>
        <w:rPr>
          <w:b/>
          <w:sz w:val="24"/>
        </w:rPr>
      </w:pPr>
      <w:r>
        <w:rPr>
          <w:b/>
          <w:sz w:val="24"/>
        </w:rPr>
        <w:t>MICHAEL</w:t>
      </w:r>
      <w:r>
        <w:rPr>
          <w:b/>
          <w:spacing w:val="-1"/>
          <w:sz w:val="24"/>
        </w:rPr>
        <w:t> </w:t>
      </w:r>
      <w:r>
        <w:rPr>
          <w:b/>
          <w:sz w:val="24"/>
        </w:rPr>
        <w:t>ABEL</w:t>
      </w:r>
      <w:r>
        <w:rPr>
          <w:b/>
          <w:spacing w:val="1"/>
          <w:sz w:val="24"/>
        </w:rPr>
        <w:t> </w:t>
      </w:r>
      <w:r>
        <w:rPr>
          <w:b/>
          <w:spacing w:val="-2"/>
          <w:sz w:val="24"/>
          <w:u w:val="single"/>
        </w:rPr>
        <w:t>ZEKERI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4"/>
        <w:rPr>
          <w:b/>
        </w:rPr>
      </w:pPr>
    </w:p>
    <w:p>
      <w:pPr>
        <w:spacing w:line="650" w:lineRule="atLeast" w:before="0"/>
        <w:ind w:left="753" w:right="1436" w:firstLine="0"/>
        <w:jc w:val="center"/>
        <w:rPr>
          <w:b/>
          <w:sz w:val="24"/>
        </w:rPr>
      </w:pPr>
      <w:r>
        <w:rPr>
          <w:b/>
          <w:sz w:val="24"/>
        </w:rPr>
        <w:t>DEPARTMENT</w:t>
      </w:r>
      <w:r>
        <w:rPr>
          <w:b/>
          <w:spacing w:val="-10"/>
          <w:sz w:val="24"/>
        </w:rPr>
        <w:t> </w:t>
      </w:r>
      <w:r>
        <w:rPr>
          <w:b/>
          <w:sz w:val="24"/>
        </w:rPr>
        <w:t>OF</w:t>
      </w:r>
      <w:r>
        <w:rPr>
          <w:b/>
          <w:spacing w:val="-11"/>
          <w:sz w:val="24"/>
        </w:rPr>
        <w:t> </w:t>
      </w:r>
      <w:r>
        <w:rPr>
          <w:b/>
          <w:sz w:val="24"/>
        </w:rPr>
        <w:t>PHARMACOLOGY</w:t>
      </w:r>
      <w:r>
        <w:rPr>
          <w:b/>
          <w:spacing w:val="-9"/>
          <w:sz w:val="24"/>
        </w:rPr>
        <w:t> </w:t>
      </w:r>
      <w:r>
        <w:rPr>
          <w:b/>
          <w:sz w:val="24"/>
        </w:rPr>
        <w:t>AND</w:t>
      </w:r>
      <w:r>
        <w:rPr>
          <w:b/>
          <w:spacing w:val="-10"/>
          <w:sz w:val="24"/>
        </w:rPr>
        <w:t> </w:t>
      </w:r>
      <w:r>
        <w:rPr>
          <w:b/>
          <w:sz w:val="24"/>
        </w:rPr>
        <w:t>THERAPEUTICS FACULTY OF PHARMACEUTICAL SCIENCES</w:t>
      </w:r>
    </w:p>
    <w:p>
      <w:pPr>
        <w:spacing w:line="448" w:lineRule="auto" w:before="241"/>
        <w:ind w:left="2485" w:right="3165" w:firstLine="0"/>
        <w:jc w:val="center"/>
        <w:rPr>
          <w:b/>
          <w:sz w:val="24"/>
        </w:rPr>
      </w:pPr>
      <w:r>
        <w:rPr>
          <w:b/>
          <w:sz w:val="24"/>
        </w:rPr>
        <w:t>AHMADU</w:t>
      </w:r>
      <w:r>
        <w:rPr>
          <w:b/>
          <w:spacing w:val="-12"/>
          <w:sz w:val="24"/>
        </w:rPr>
        <w:t> </w:t>
      </w:r>
      <w:r>
        <w:rPr>
          <w:b/>
          <w:sz w:val="24"/>
        </w:rPr>
        <w:t>BELLO</w:t>
      </w:r>
      <w:r>
        <w:rPr>
          <w:b/>
          <w:spacing w:val="-12"/>
          <w:sz w:val="24"/>
        </w:rPr>
        <w:t> </w:t>
      </w:r>
      <w:r>
        <w:rPr>
          <w:b/>
          <w:sz w:val="24"/>
        </w:rPr>
        <w:t>UNIVERSITY,</w:t>
      </w:r>
      <w:r>
        <w:rPr>
          <w:b/>
          <w:spacing w:val="-12"/>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5"/>
        <w:rPr>
          <w:b/>
        </w:rPr>
      </w:pPr>
    </w:p>
    <w:p>
      <w:pPr>
        <w:spacing w:before="0"/>
        <w:ind w:left="758" w:right="1436" w:firstLine="0"/>
        <w:jc w:val="center"/>
        <w:rPr>
          <w:b/>
          <w:sz w:val="24"/>
        </w:rPr>
      </w:pPr>
      <w:r>
        <w:rPr>
          <w:b/>
          <w:sz w:val="24"/>
        </w:rPr>
        <w:t>DECEMBER, </w:t>
      </w:r>
      <w:r>
        <w:rPr>
          <w:b/>
          <w:spacing w:val="-4"/>
          <w:sz w:val="24"/>
        </w:rPr>
        <w:t>2014</w:t>
      </w:r>
    </w:p>
    <w:p>
      <w:pPr>
        <w:spacing w:after="0"/>
        <w:jc w:val="center"/>
        <w:rPr>
          <w:sz w:val="24"/>
        </w:rPr>
        <w:sectPr>
          <w:type w:val="continuous"/>
          <w:pgSz w:w="11910" w:h="16840"/>
          <w:pgMar w:top="1480" w:bottom="280" w:left="1240" w:right="560"/>
        </w:sectPr>
      </w:pPr>
    </w:p>
    <w:p>
      <w:pPr>
        <w:spacing w:line="360" w:lineRule="auto" w:before="72"/>
        <w:ind w:left="774" w:right="878" w:firstLine="4"/>
        <w:jc w:val="center"/>
        <w:rPr>
          <w:b/>
          <w:sz w:val="24"/>
        </w:rPr>
      </w:pPr>
      <w:r>
        <w:rPr>
          <w:b/>
          <w:sz w:val="24"/>
        </w:rPr>
        <w:t>EFFECT OF AQUEOUS ETHANOL LEAF EXTRACT OF </w:t>
      </w:r>
      <w:r>
        <w:rPr>
          <w:b/>
          <w:i/>
          <w:sz w:val="24"/>
        </w:rPr>
        <w:t>COMBRETUM MICRANTHUM </w:t>
      </w:r>
      <w:r>
        <w:rPr>
          <w:b/>
          <w:sz w:val="24"/>
        </w:rPr>
        <w:t>G. DON (COMBRETACEAE) ON SOME INDUCED SYSTEMIC</w:t>
      </w:r>
      <w:r>
        <w:rPr>
          <w:b/>
          <w:spacing w:val="-6"/>
          <w:sz w:val="24"/>
        </w:rPr>
        <w:t> </w:t>
      </w:r>
      <w:r>
        <w:rPr>
          <w:b/>
          <w:sz w:val="24"/>
        </w:rPr>
        <w:t>INFLAMMATORY</w:t>
      </w:r>
      <w:r>
        <w:rPr>
          <w:b/>
          <w:spacing w:val="-7"/>
          <w:sz w:val="24"/>
        </w:rPr>
        <w:t> </w:t>
      </w:r>
      <w:r>
        <w:rPr>
          <w:b/>
          <w:sz w:val="24"/>
        </w:rPr>
        <w:t>IMMUNE</w:t>
      </w:r>
      <w:r>
        <w:rPr>
          <w:b/>
          <w:spacing w:val="-6"/>
          <w:sz w:val="24"/>
        </w:rPr>
        <w:t> </w:t>
      </w:r>
      <w:r>
        <w:rPr>
          <w:b/>
          <w:sz w:val="24"/>
        </w:rPr>
        <w:t>RESPONSE</w:t>
      </w:r>
      <w:r>
        <w:rPr>
          <w:b/>
          <w:spacing w:val="-6"/>
          <w:sz w:val="24"/>
        </w:rPr>
        <w:t> </w:t>
      </w:r>
      <w:r>
        <w:rPr>
          <w:b/>
          <w:sz w:val="24"/>
        </w:rPr>
        <w:t>SYNDROMES</w:t>
      </w:r>
      <w:r>
        <w:rPr>
          <w:b/>
          <w:spacing w:val="-6"/>
          <w:sz w:val="24"/>
        </w:rPr>
        <w:t> </w:t>
      </w:r>
      <w:r>
        <w:rPr>
          <w:b/>
          <w:sz w:val="24"/>
        </w:rPr>
        <w:t>IN</w:t>
      </w:r>
      <w:r>
        <w:rPr>
          <w:b/>
          <w:spacing w:val="-6"/>
          <w:sz w:val="24"/>
        </w:rPr>
        <w:t> </w:t>
      </w:r>
      <w:r>
        <w:rPr>
          <w:b/>
          <w:sz w:val="24"/>
        </w:rPr>
        <w:t>MICE AND RATS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0"/>
        <w:rPr>
          <w:b/>
        </w:rPr>
      </w:pPr>
    </w:p>
    <w:p>
      <w:pPr>
        <w:spacing w:before="1"/>
        <w:ind w:left="0" w:right="97" w:firstLine="0"/>
        <w:jc w:val="center"/>
        <w:rPr>
          <w:b/>
          <w:sz w:val="24"/>
        </w:rPr>
      </w:pPr>
      <w:r>
        <w:rPr>
          <w:b/>
          <w:spacing w:val="-5"/>
          <w:sz w:val="24"/>
        </w:rPr>
        <w:t>BY</w:t>
      </w:r>
    </w:p>
    <w:p>
      <w:pPr>
        <w:pStyle w:val="BodyText"/>
        <w:spacing w:before="83"/>
        <w:rPr>
          <w:b/>
        </w:rPr>
      </w:pPr>
    </w:p>
    <w:p>
      <w:pPr>
        <w:spacing w:line="276" w:lineRule="auto" w:before="1"/>
        <w:ind w:left="2665" w:right="2769" w:firstLine="0"/>
        <w:jc w:val="center"/>
        <w:rPr>
          <w:b/>
          <w:sz w:val="24"/>
        </w:rPr>
      </w:pPr>
      <w:r>
        <w:rPr>
          <w:b/>
          <w:sz w:val="24"/>
        </w:rPr>
        <w:t>Michael</w:t>
      </w:r>
      <w:r>
        <w:rPr>
          <w:b/>
          <w:spacing w:val="-7"/>
          <w:sz w:val="24"/>
        </w:rPr>
        <w:t> </w:t>
      </w:r>
      <w:r>
        <w:rPr>
          <w:b/>
          <w:sz w:val="24"/>
        </w:rPr>
        <w:t>Abel</w:t>
      </w:r>
      <w:r>
        <w:rPr>
          <w:b/>
          <w:spacing w:val="-7"/>
          <w:sz w:val="24"/>
        </w:rPr>
        <w:t> </w:t>
      </w:r>
      <w:r>
        <w:rPr>
          <w:b/>
          <w:sz w:val="24"/>
        </w:rPr>
        <w:t>ZEKERI,</w:t>
      </w:r>
      <w:r>
        <w:rPr>
          <w:b/>
          <w:spacing w:val="-7"/>
          <w:sz w:val="24"/>
        </w:rPr>
        <w:t> </w:t>
      </w:r>
      <w:r>
        <w:rPr>
          <w:b/>
          <w:sz w:val="24"/>
        </w:rPr>
        <w:t>B.Pharm</w:t>
      </w:r>
      <w:r>
        <w:rPr>
          <w:b/>
          <w:spacing w:val="-11"/>
          <w:sz w:val="24"/>
        </w:rPr>
        <w:t> </w:t>
      </w:r>
      <w:r>
        <w:rPr>
          <w:b/>
          <w:sz w:val="24"/>
        </w:rPr>
        <w:t>(ABU)</w:t>
      </w:r>
      <w:r>
        <w:rPr>
          <w:b/>
          <w:spacing w:val="-8"/>
          <w:sz w:val="24"/>
        </w:rPr>
        <w:t> </w:t>
      </w:r>
      <w:r>
        <w:rPr>
          <w:b/>
          <w:sz w:val="24"/>
        </w:rPr>
        <w:t>2002 </w:t>
      </w:r>
      <w:r>
        <w:rPr>
          <w:b/>
          <w:spacing w:val="-2"/>
          <w:sz w:val="24"/>
        </w:rPr>
        <w:t>M.Sc./Pharm.Sci./01714/09-10</w:t>
      </w:r>
    </w:p>
    <w:p>
      <w:pPr>
        <w:pStyle w:val="BodyText"/>
        <w:rPr>
          <w:b/>
        </w:rPr>
      </w:pPr>
    </w:p>
    <w:p>
      <w:pPr>
        <w:pStyle w:val="BodyText"/>
        <w:rPr>
          <w:b/>
        </w:rPr>
      </w:pPr>
    </w:p>
    <w:p>
      <w:pPr>
        <w:pStyle w:val="BodyText"/>
        <w:rPr>
          <w:b/>
        </w:rPr>
      </w:pPr>
    </w:p>
    <w:p>
      <w:pPr>
        <w:pStyle w:val="BodyText"/>
        <w:spacing w:before="246"/>
        <w:rPr>
          <w:b/>
        </w:rPr>
      </w:pPr>
    </w:p>
    <w:p>
      <w:pPr>
        <w:spacing w:before="0"/>
        <w:ind w:left="527" w:right="634" w:firstLine="0"/>
        <w:jc w:val="center"/>
        <w:rPr>
          <w:b/>
          <w:sz w:val="24"/>
        </w:rPr>
      </w:pPr>
      <w:r>
        <w:rPr>
          <w:b/>
          <w:sz w:val="24"/>
        </w:rPr>
        <w:t>A</w:t>
      </w:r>
      <w:r>
        <w:rPr>
          <w:b/>
          <w:spacing w:val="-4"/>
          <w:sz w:val="24"/>
        </w:rPr>
        <w:t> </w:t>
      </w:r>
      <w:r>
        <w:rPr>
          <w:b/>
          <w:sz w:val="24"/>
        </w:rPr>
        <w:t>THESIS</w:t>
      </w:r>
      <w:r>
        <w:rPr>
          <w:b/>
          <w:spacing w:val="-6"/>
          <w:sz w:val="24"/>
        </w:rPr>
        <w:t> </w:t>
      </w:r>
      <w:r>
        <w:rPr>
          <w:b/>
          <w:sz w:val="24"/>
        </w:rPr>
        <w:t>SUBMITTED</w:t>
      </w:r>
      <w:r>
        <w:rPr>
          <w:b/>
          <w:spacing w:val="-4"/>
          <w:sz w:val="24"/>
        </w:rPr>
        <w:t> </w:t>
      </w:r>
      <w:r>
        <w:rPr>
          <w:b/>
          <w:sz w:val="24"/>
        </w:rPr>
        <w:t>TO</w:t>
      </w:r>
      <w:r>
        <w:rPr>
          <w:b/>
          <w:spacing w:val="-4"/>
          <w:sz w:val="24"/>
        </w:rPr>
        <w:t> </w:t>
      </w:r>
      <w:r>
        <w:rPr>
          <w:b/>
          <w:sz w:val="24"/>
        </w:rPr>
        <w:t>THE</w:t>
      </w:r>
      <w:r>
        <w:rPr>
          <w:b/>
          <w:spacing w:val="-4"/>
          <w:sz w:val="24"/>
        </w:rPr>
        <w:t> </w:t>
      </w:r>
      <w:r>
        <w:rPr>
          <w:b/>
          <w:sz w:val="24"/>
        </w:rPr>
        <w:t>SCHOOL</w:t>
      </w:r>
      <w:r>
        <w:rPr>
          <w:b/>
          <w:spacing w:val="-6"/>
          <w:sz w:val="24"/>
        </w:rPr>
        <w:t> </w:t>
      </w:r>
      <w:r>
        <w:rPr>
          <w:b/>
          <w:sz w:val="24"/>
        </w:rPr>
        <w:t>OF</w:t>
      </w:r>
      <w:r>
        <w:rPr>
          <w:b/>
          <w:spacing w:val="-4"/>
          <w:sz w:val="24"/>
        </w:rPr>
        <w:t> </w:t>
      </w:r>
      <w:r>
        <w:rPr>
          <w:b/>
          <w:sz w:val="24"/>
        </w:rPr>
        <w:t>POSTGRADUATE</w:t>
      </w:r>
      <w:r>
        <w:rPr>
          <w:b/>
          <w:spacing w:val="-4"/>
          <w:sz w:val="24"/>
        </w:rPr>
        <w:t> </w:t>
      </w:r>
      <w:r>
        <w:rPr>
          <w:b/>
          <w:sz w:val="24"/>
        </w:rPr>
        <w:t>STUDIES, AHMADU BELLO UNIVERSITY, ZARIA</w:t>
      </w:r>
    </w:p>
    <w:p>
      <w:pPr>
        <w:spacing w:line="448" w:lineRule="auto" w:before="240"/>
        <w:ind w:left="753" w:right="855" w:firstLine="0"/>
        <w:jc w:val="center"/>
        <w:rPr>
          <w:b/>
          <w:sz w:val="24"/>
        </w:rPr>
      </w:pPr>
      <w:r>
        <w:rPr>
          <w:b/>
          <w:sz w:val="24"/>
        </w:rPr>
        <w:t>IN</w:t>
      </w:r>
      <w:r>
        <w:rPr>
          <w:b/>
          <w:spacing w:val="-5"/>
          <w:sz w:val="24"/>
        </w:rPr>
        <w:t> </w:t>
      </w:r>
      <w:r>
        <w:rPr>
          <w:b/>
          <w:sz w:val="24"/>
        </w:rPr>
        <w:t>PARTIAL</w:t>
      </w:r>
      <w:r>
        <w:rPr>
          <w:b/>
          <w:spacing w:val="-4"/>
          <w:sz w:val="24"/>
        </w:rPr>
        <w:t> </w:t>
      </w:r>
      <w:r>
        <w:rPr>
          <w:b/>
          <w:sz w:val="24"/>
        </w:rPr>
        <w:t>FULFILLMENT</w:t>
      </w:r>
      <w:r>
        <w:rPr>
          <w:b/>
          <w:spacing w:val="-5"/>
          <w:sz w:val="24"/>
        </w:rPr>
        <w:t> </w:t>
      </w:r>
      <w:r>
        <w:rPr>
          <w:b/>
          <w:sz w:val="24"/>
        </w:rPr>
        <w:t>OF</w:t>
      </w:r>
      <w:r>
        <w:rPr>
          <w:b/>
          <w:spacing w:val="-7"/>
          <w:sz w:val="24"/>
        </w:rPr>
        <w:t> </w:t>
      </w:r>
      <w:r>
        <w:rPr>
          <w:b/>
          <w:sz w:val="24"/>
        </w:rPr>
        <w:t>THE</w:t>
      </w:r>
      <w:r>
        <w:rPr>
          <w:b/>
          <w:spacing w:val="-3"/>
          <w:sz w:val="24"/>
        </w:rPr>
        <w:t> </w:t>
      </w:r>
      <w:r>
        <w:rPr>
          <w:b/>
          <w:sz w:val="24"/>
        </w:rPr>
        <w:t>REQUIREMENTS</w:t>
      </w:r>
      <w:r>
        <w:rPr>
          <w:b/>
          <w:spacing w:val="-3"/>
          <w:sz w:val="24"/>
        </w:rPr>
        <w:t> </w:t>
      </w:r>
      <w:r>
        <w:rPr>
          <w:b/>
          <w:sz w:val="24"/>
        </w:rPr>
        <w:t>FOR</w:t>
      </w:r>
      <w:r>
        <w:rPr>
          <w:b/>
          <w:spacing w:val="-5"/>
          <w:sz w:val="24"/>
        </w:rPr>
        <w:t> </w:t>
      </w:r>
      <w:r>
        <w:rPr>
          <w:b/>
          <w:sz w:val="24"/>
        </w:rPr>
        <w:t>THE</w:t>
      </w:r>
      <w:r>
        <w:rPr>
          <w:b/>
          <w:spacing w:val="-5"/>
          <w:sz w:val="24"/>
        </w:rPr>
        <w:t> </w:t>
      </w:r>
      <w:r>
        <w:rPr>
          <w:b/>
          <w:sz w:val="24"/>
        </w:rPr>
        <w:t>AWARD OF A MASTER DEGREE IN PHARMACOLOGY.</w:t>
      </w:r>
    </w:p>
    <w:p>
      <w:pPr>
        <w:pStyle w:val="BodyText"/>
        <w:rPr>
          <w:b/>
        </w:rPr>
      </w:pPr>
    </w:p>
    <w:p>
      <w:pPr>
        <w:pStyle w:val="BodyText"/>
        <w:rPr>
          <w:b/>
        </w:rPr>
      </w:pPr>
    </w:p>
    <w:p>
      <w:pPr>
        <w:pStyle w:val="BodyText"/>
        <w:rPr>
          <w:b/>
        </w:rPr>
      </w:pPr>
    </w:p>
    <w:p>
      <w:pPr>
        <w:pStyle w:val="BodyText"/>
        <w:spacing w:before="206"/>
        <w:rPr>
          <w:b/>
        </w:rPr>
      </w:pPr>
    </w:p>
    <w:p>
      <w:pPr>
        <w:spacing w:line="278" w:lineRule="auto" w:before="1"/>
        <w:ind w:left="1336" w:right="1436" w:firstLine="0"/>
        <w:jc w:val="center"/>
        <w:rPr>
          <w:b/>
          <w:sz w:val="24"/>
        </w:rPr>
      </w:pPr>
      <w:r>
        <w:rPr>
          <w:b/>
          <w:sz w:val="24"/>
        </w:rPr>
        <w:t>DEPARTMENT</w:t>
      </w:r>
      <w:r>
        <w:rPr>
          <w:b/>
          <w:spacing w:val="-9"/>
          <w:sz w:val="24"/>
        </w:rPr>
        <w:t> </w:t>
      </w:r>
      <w:r>
        <w:rPr>
          <w:b/>
          <w:sz w:val="24"/>
        </w:rPr>
        <w:t>OF</w:t>
      </w:r>
      <w:r>
        <w:rPr>
          <w:b/>
          <w:spacing w:val="-9"/>
          <w:sz w:val="24"/>
        </w:rPr>
        <w:t> </w:t>
      </w:r>
      <w:r>
        <w:rPr>
          <w:b/>
          <w:sz w:val="24"/>
        </w:rPr>
        <w:t>PHARMACOLOGY</w:t>
      </w:r>
      <w:r>
        <w:rPr>
          <w:b/>
          <w:spacing w:val="-8"/>
          <w:sz w:val="24"/>
        </w:rPr>
        <w:t> </w:t>
      </w:r>
      <w:r>
        <w:rPr>
          <w:b/>
          <w:sz w:val="24"/>
        </w:rPr>
        <w:t>AND</w:t>
      </w:r>
      <w:r>
        <w:rPr>
          <w:b/>
          <w:spacing w:val="-9"/>
          <w:sz w:val="24"/>
        </w:rPr>
        <w:t> </w:t>
      </w:r>
      <w:r>
        <w:rPr>
          <w:b/>
          <w:sz w:val="24"/>
        </w:rPr>
        <w:t>THERAPEUTICS, FACULTY OF PHARMACEUTICAL SCIENCES</w:t>
      </w:r>
    </w:p>
    <w:p>
      <w:pPr>
        <w:spacing w:line="276" w:lineRule="auto" w:before="0"/>
        <w:ind w:left="2773" w:right="2879" w:firstLine="0"/>
        <w:jc w:val="center"/>
        <w:rPr>
          <w:b/>
          <w:sz w:val="24"/>
        </w:rPr>
      </w:pPr>
      <w:r>
        <w:rPr>
          <w:b/>
          <w:sz w:val="24"/>
        </w:rPr>
        <w:t>AHMADU</w:t>
      </w:r>
      <w:r>
        <w:rPr>
          <w:b/>
          <w:spacing w:val="-13"/>
          <w:sz w:val="24"/>
        </w:rPr>
        <w:t> </w:t>
      </w:r>
      <w:r>
        <w:rPr>
          <w:b/>
          <w:sz w:val="24"/>
        </w:rPr>
        <w:t>BELLO</w:t>
      </w:r>
      <w:r>
        <w:rPr>
          <w:b/>
          <w:spacing w:val="-13"/>
          <w:sz w:val="24"/>
        </w:rPr>
        <w:t> </w:t>
      </w:r>
      <w:r>
        <w:rPr>
          <w:b/>
          <w:sz w:val="24"/>
        </w:rPr>
        <w:t>UNIVERSITY,</w:t>
      </w:r>
      <w:r>
        <w:rPr>
          <w:b/>
          <w:spacing w:val="-13"/>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rPr>
      </w:pPr>
    </w:p>
    <w:p>
      <w:pPr>
        <w:spacing w:before="1"/>
        <w:ind w:left="0" w:right="102" w:firstLine="0"/>
        <w:jc w:val="center"/>
        <w:rPr>
          <w:b/>
          <w:sz w:val="24"/>
        </w:rPr>
      </w:pPr>
      <w:r>
        <w:rPr>
          <w:b/>
          <w:sz w:val="24"/>
        </w:rPr>
        <w:t>DECEMBER, </w:t>
      </w:r>
      <w:r>
        <w:rPr>
          <w:b/>
          <w:spacing w:val="-4"/>
          <w:sz w:val="24"/>
        </w:rPr>
        <w:t>2014</w:t>
      </w:r>
    </w:p>
    <w:p>
      <w:pPr>
        <w:spacing w:after="0"/>
        <w:jc w:val="center"/>
        <w:rPr>
          <w:sz w:val="24"/>
        </w:rPr>
        <w:sectPr>
          <w:footerReference w:type="default" r:id="rId5"/>
          <w:pgSz w:w="11910" w:h="16840"/>
          <w:pgMar w:header="0" w:footer="981" w:top="1320" w:bottom="1180" w:left="1240" w:right="560"/>
          <w:pgNumType w:start="1"/>
        </w:sectPr>
      </w:pPr>
    </w:p>
    <w:p>
      <w:pPr>
        <w:pStyle w:val="Heading1"/>
        <w:spacing w:before="72"/>
        <w:ind w:right="102"/>
      </w:pPr>
      <w:bookmarkStart w:name="_TOC_250022" w:id="1"/>
      <w:bookmarkEnd w:id="1"/>
      <w:r>
        <w:rPr>
          <w:spacing w:val="-2"/>
        </w:rPr>
        <w:t>DECLARATION</w:t>
      </w:r>
    </w:p>
    <w:p>
      <w:pPr>
        <w:pStyle w:val="BodyText"/>
        <w:rPr>
          <w:b/>
        </w:rPr>
      </w:pPr>
    </w:p>
    <w:p>
      <w:pPr>
        <w:pStyle w:val="BodyText"/>
        <w:spacing w:before="41"/>
        <w:rPr>
          <w:b/>
        </w:rPr>
      </w:pPr>
    </w:p>
    <w:p>
      <w:pPr>
        <w:pStyle w:val="BodyText"/>
        <w:spacing w:line="276" w:lineRule="auto"/>
        <w:ind w:left="747" w:right="844"/>
        <w:jc w:val="both"/>
      </w:pPr>
      <w:r>
        <w:rPr/>
        <w:t>I declare that the work in this thesis entitled “EFFECT OF AQUEOUS ETHANOL LEAF EXTRACT OF </w:t>
      </w:r>
      <w:r>
        <w:rPr>
          <w:i/>
        </w:rPr>
        <w:t>COMBRETUM MICRANTHUM </w:t>
      </w:r>
      <w:r>
        <w:rPr/>
        <w:t>G. DON (COMBRETACEAE) ON</w:t>
      </w:r>
      <w:r>
        <w:rPr>
          <w:spacing w:val="24"/>
        </w:rPr>
        <w:t>  </w:t>
      </w:r>
      <w:r>
        <w:rPr/>
        <w:t>SOME</w:t>
      </w:r>
      <w:r>
        <w:rPr>
          <w:spacing w:val="29"/>
        </w:rPr>
        <w:t>  </w:t>
      </w:r>
      <w:r>
        <w:rPr/>
        <w:t>INDUCED</w:t>
      </w:r>
      <w:r>
        <w:rPr>
          <w:spacing w:val="28"/>
        </w:rPr>
        <w:t>  </w:t>
      </w:r>
      <w:r>
        <w:rPr/>
        <w:t>SYSTEMIC</w:t>
      </w:r>
      <w:r>
        <w:rPr>
          <w:spacing w:val="29"/>
        </w:rPr>
        <w:t>  </w:t>
      </w:r>
      <w:r>
        <w:rPr/>
        <w:t>INFLAMMATORY</w:t>
      </w:r>
      <w:r>
        <w:rPr>
          <w:spacing w:val="28"/>
        </w:rPr>
        <w:t>  </w:t>
      </w:r>
      <w:r>
        <w:rPr/>
        <w:t>IMMUNE</w:t>
      </w:r>
      <w:r>
        <w:rPr>
          <w:spacing w:val="29"/>
        </w:rPr>
        <w:t>  </w:t>
      </w:r>
      <w:r>
        <w:rPr>
          <w:spacing w:val="-2"/>
        </w:rPr>
        <w:t>RESPONSE</w:t>
      </w:r>
    </w:p>
    <w:p>
      <w:pPr>
        <w:pStyle w:val="BodyText"/>
        <w:spacing w:line="276" w:lineRule="auto" w:before="1"/>
        <w:ind w:left="747" w:right="848"/>
        <w:jc w:val="both"/>
      </w:pPr>
      <w:r>
        <w:rPr/>
        <w:t>SYNDROMES IN MICE AND RATS” was carried out by me in the Department of Pharmacology</w:t>
      </w:r>
      <w:r>
        <w:rPr>
          <w:spacing w:val="2"/>
        </w:rPr>
        <w:t> </w:t>
      </w:r>
      <w:r>
        <w:rPr/>
        <w:t>and</w:t>
      </w:r>
      <w:r>
        <w:rPr>
          <w:spacing w:val="9"/>
        </w:rPr>
        <w:t> </w:t>
      </w:r>
      <w:r>
        <w:rPr/>
        <w:t>Therapeutics</w:t>
      </w:r>
      <w:r>
        <w:rPr>
          <w:spacing w:val="9"/>
        </w:rPr>
        <w:t> </w:t>
      </w:r>
      <w:r>
        <w:rPr/>
        <w:t>under</w:t>
      </w:r>
      <w:r>
        <w:rPr>
          <w:spacing w:val="8"/>
        </w:rPr>
        <w:t> </w:t>
      </w:r>
      <w:r>
        <w:rPr/>
        <w:t>the</w:t>
      </w:r>
      <w:r>
        <w:rPr>
          <w:spacing w:val="8"/>
        </w:rPr>
        <w:t> </w:t>
      </w:r>
      <w:r>
        <w:rPr/>
        <w:t>supervision</w:t>
      </w:r>
      <w:r>
        <w:rPr>
          <w:spacing w:val="10"/>
        </w:rPr>
        <w:t> </w:t>
      </w:r>
      <w:r>
        <w:rPr/>
        <w:t>of</w:t>
      </w:r>
      <w:r>
        <w:rPr>
          <w:spacing w:val="8"/>
        </w:rPr>
        <w:t> </w:t>
      </w:r>
      <w:r>
        <w:rPr/>
        <w:t>Dr.</w:t>
      </w:r>
      <w:r>
        <w:rPr>
          <w:spacing w:val="9"/>
        </w:rPr>
        <w:t> </w:t>
      </w:r>
      <w:r>
        <w:rPr/>
        <w:t>J.I.</w:t>
      </w:r>
      <w:r>
        <w:rPr>
          <w:spacing w:val="9"/>
        </w:rPr>
        <w:t> </w:t>
      </w:r>
      <w:r>
        <w:rPr/>
        <w:t>Ejiofor</w:t>
      </w:r>
      <w:r>
        <w:rPr>
          <w:spacing w:val="10"/>
        </w:rPr>
        <w:t> </w:t>
      </w:r>
      <w:r>
        <w:rPr/>
        <w:t>and</w:t>
      </w:r>
      <w:r>
        <w:rPr>
          <w:spacing w:val="9"/>
        </w:rPr>
        <w:t> </w:t>
      </w:r>
      <w:r>
        <w:rPr/>
        <w:t>Dr.</w:t>
      </w:r>
      <w:r>
        <w:rPr>
          <w:spacing w:val="11"/>
        </w:rPr>
        <w:t> </w:t>
      </w:r>
      <w:r>
        <w:rPr>
          <w:spacing w:val="-2"/>
        </w:rPr>
        <w:t>(Mrs.)</w:t>
      </w:r>
    </w:p>
    <w:p>
      <w:pPr>
        <w:pStyle w:val="BodyText"/>
        <w:spacing w:line="276" w:lineRule="auto" w:before="1"/>
        <w:ind w:left="747" w:right="852"/>
        <w:jc w:val="both"/>
      </w:pPr>
      <w:r>
        <w:rPr/>
        <w:t>B.B. Maiha. The information derived from literature has been duly</w:t>
      </w:r>
      <w:r>
        <w:rPr>
          <w:spacing w:val="-4"/>
        </w:rPr>
        <w:t> </w:t>
      </w:r>
      <w:r>
        <w:rPr/>
        <w:t>acknowledged in the text and a</w:t>
      </w:r>
      <w:r>
        <w:rPr>
          <w:spacing w:val="-1"/>
        </w:rPr>
        <w:t> </w:t>
      </w:r>
      <w:r>
        <w:rPr/>
        <w:t>list</w:t>
      </w:r>
      <w:r>
        <w:rPr>
          <w:spacing w:val="-1"/>
        </w:rPr>
        <w:t> </w:t>
      </w:r>
      <w:r>
        <w:rPr/>
        <w:t>of references provided. No part of this thesis was previously</w:t>
      </w:r>
      <w:r>
        <w:rPr>
          <w:spacing w:val="-3"/>
        </w:rPr>
        <w:t> </w:t>
      </w:r>
      <w:r>
        <w:rPr/>
        <w:t>presented for the award of a degree or diploma at this or any other Institution.</w:t>
      </w: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587840">
                <wp:simplePos x="0" y="0"/>
                <wp:positionH relativeFrom="page">
                  <wp:posOffset>1271269</wp:posOffset>
                </wp:positionH>
                <wp:positionV relativeFrom="paragraph">
                  <wp:posOffset>202402</wp:posOffset>
                </wp:positionV>
                <wp:extent cx="2219325" cy="3810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2219325" cy="38100"/>
                          <a:chExt cx="2219325" cy="38100"/>
                        </a:xfrm>
                      </wpg:grpSpPr>
                      <wps:wsp>
                        <wps:cNvPr id="3" name="Graphic 3"/>
                        <wps:cNvSpPr/>
                        <wps:spPr>
                          <a:xfrm>
                            <a:off x="0" y="19050"/>
                            <a:ext cx="2162175" cy="1270"/>
                          </a:xfrm>
                          <a:custGeom>
                            <a:avLst/>
                            <a:gdLst/>
                            <a:ahLst/>
                            <a:cxnLst/>
                            <a:rect l="l" t="t" r="r" b="b"/>
                            <a:pathLst>
                              <a:path w="2162175" h="0">
                                <a:moveTo>
                                  <a:pt x="0" y="0"/>
                                </a:moveTo>
                                <a:lnTo>
                                  <a:pt x="2162175" y="0"/>
                                </a:lnTo>
                              </a:path>
                            </a:pathLst>
                          </a:custGeom>
                          <a:ln w="38100">
                            <a:solidFill>
                              <a:srgbClr val="F1F1F1"/>
                            </a:solidFill>
                            <a:prstDash val="solid"/>
                          </a:ln>
                        </wps:spPr>
                        <wps:bodyPr wrap="square" lIns="0" tIns="0" rIns="0" bIns="0" rtlCol="0">
                          <a:prstTxWarp prst="textNoShape">
                            <a:avLst/>
                          </a:prstTxWarp>
                          <a:noAutofit/>
                        </wps:bodyPr>
                      </wps:wsp>
                      <wps:wsp>
                        <wps:cNvPr id="4" name="Graphic 4"/>
                        <wps:cNvSpPr/>
                        <wps:spPr>
                          <a:xfrm>
                            <a:off x="0" y="19050"/>
                            <a:ext cx="2219325" cy="1270"/>
                          </a:xfrm>
                          <a:custGeom>
                            <a:avLst/>
                            <a:gdLst/>
                            <a:ahLst/>
                            <a:cxnLst/>
                            <a:rect l="l" t="t" r="r" b="b"/>
                            <a:pathLst>
                              <a:path w="2219325" h="0">
                                <a:moveTo>
                                  <a:pt x="0" y="0"/>
                                </a:moveTo>
                                <a:lnTo>
                                  <a:pt x="2219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099998pt;margin-top:15.937226pt;width:174.75pt;height:3pt;mso-position-horizontal-relative:page;mso-position-vertical-relative:paragraph;z-index:-15728640;mso-wrap-distance-left:0;mso-wrap-distance-right:0" id="docshapegroup2" coordorigin="2002,319" coordsize="3495,60">
                <v:line style="position:absolute" from="2002,349" to="5407,349" stroked="true" strokeweight="3pt" strokecolor="#f1f1f1">
                  <v:stroke dashstyle="solid"/>
                </v:line>
                <v:line style="position:absolute" from="2002,349" to="5497,349" stroked="true" strokeweight=".75pt" strokecolor="#000000">
                  <v:stroke dashstyle="solid"/>
                </v:line>
                <w10:wrap type="topAndBottom"/>
              </v:group>
            </w:pict>
          </mc:Fallback>
        </mc:AlternateContent>
      </w:r>
      <w:r>
        <w:rPr/>
        <mc:AlternateContent>
          <mc:Choice Requires="wps">
            <w:drawing>
              <wp:anchor distT="0" distB="0" distL="0" distR="0" allowOverlap="1" layoutInCell="1" locked="0" behindDoc="1" simplePos="0" relativeHeight="487588352">
                <wp:simplePos x="0" y="0"/>
                <wp:positionH relativeFrom="page">
                  <wp:posOffset>5214620</wp:posOffset>
                </wp:positionH>
                <wp:positionV relativeFrom="paragraph">
                  <wp:posOffset>221452</wp:posOffset>
                </wp:positionV>
                <wp:extent cx="165735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657350" cy="1270"/>
                        </a:xfrm>
                        <a:custGeom>
                          <a:avLst/>
                          <a:gdLst/>
                          <a:ahLst/>
                          <a:cxnLst/>
                          <a:rect l="l" t="t" r="r" b="b"/>
                          <a:pathLst>
                            <a:path w="1657350" h="0">
                              <a:moveTo>
                                <a:pt x="0" y="0"/>
                              </a:moveTo>
                              <a:lnTo>
                                <a:pt x="1562100" y="0"/>
                              </a:lnTo>
                            </a:path>
                            <a:path w="1657350" h="0">
                              <a:moveTo>
                                <a:pt x="161925" y="0"/>
                              </a:moveTo>
                              <a:lnTo>
                                <a:pt x="1562100" y="0"/>
                              </a:lnTo>
                            </a:path>
                            <a:path w="1657350" h="0">
                              <a:moveTo>
                                <a:pt x="1657350" y="0"/>
                              </a:moveTo>
                              <a:lnTo>
                                <a:pt x="1562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0.600006pt;margin-top:17.437227pt;width:130.5pt;height:.1pt;mso-position-horizontal-relative:page;mso-position-vertical-relative:paragraph;z-index:-15728128;mso-wrap-distance-left:0;mso-wrap-distance-right:0" id="docshape3" coordorigin="8212,349" coordsize="2610,0" path="m8212,349l10672,349m8467,349l10672,349m10822,349l10672,349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6919594</wp:posOffset>
                </wp:positionH>
                <wp:positionV relativeFrom="paragraph">
                  <wp:posOffset>221452</wp:posOffset>
                </wp:positionV>
                <wp:extent cx="2857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8575" cy="1270"/>
                        </a:xfrm>
                        <a:custGeom>
                          <a:avLst/>
                          <a:gdLst/>
                          <a:ahLst/>
                          <a:cxnLst/>
                          <a:rect l="l" t="t" r="r" b="b"/>
                          <a:pathLst>
                            <a:path w="28575" h="0">
                              <a:moveTo>
                                <a:pt x="28575" y="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4.849976pt;margin-top:17.437227pt;width:2.25pt;height:.1pt;mso-position-horizontal-relative:page;mso-position-vertical-relative:paragraph;z-index:-15727616;mso-wrap-distance-left:0;mso-wrap-distance-right:0" id="docshape4" coordorigin="10897,349" coordsize="45,0" path="m10942,349l10897,349e" filled="false" stroked="true" strokeweight=".75pt" strokecolor="#000000">
                <v:path arrowok="t"/>
                <v:stroke dashstyle="solid"/>
                <w10:wrap type="topAndBottom"/>
              </v:shape>
            </w:pict>
          </mc:Fallback>
        </mc:AlternateContent>
      </w:r>
    </w:p>
    <w:p>
      <w:pPr>
        <w:pStyle w:val="BodyText"/>
        <w:spacing w:before="10"/>
      </w:pPr>
    </w:p>
    <w:p>
      <w:pPr>
        <w:pStyle w:val="BodyText"/>
        <w:tabs>
          <w:tab w:pos="7836" w:val="left" w:leader="none"/>
        </w:tabs>
        <w:ind w:left="747"/>
        <w:jc w:val="both"/>
      </w:pPr>
      <w:r>
        <w:rPr/>
        <w:t>Michael</w:t>
      </w:r>
      <w:r>
        <w:rPr>
          <w:spacing w:val="-2"/>
        </w:rPr>
        <w:t> </w:t>
      </w:r>
      <w:r>
        <w:rPr/>
        <w:t>Abel </w:t>
      </w:r>
      <w:r>
        <w:rPr>
          <w:spacing w:val="-2"/>
        </w:rPr>
        <w:t>ZEKERI</w:t>
      </w:r>
      <w:r>
        <w:rPr/>
        <w:tab/>
      </w:r>
      <w:r>
        <w:rPr>
          <w:spacing w:val="-4"/>
        </w:rPr>
        <w:t>Date</w:t>
      </w:r>
    </w:p>
    <w:p>
      <w:pPr>
        <w:spacing w:after="0"/>
        <w:jc w:val="both"/>
        <w:sectPr>
          <w:pgSz w:w="11910" w:h="16840"/>
          <w:pgMar w:header="0" w:footer="981" w:top="1320" w:bottom="1180" w:left="1240" w:right="560"/>
        </w:sectPr>
      </w:pPr>
    </w:p>
    <w:p>
      <w:pPr>
        <w:pStyle w:val="Heading1"/>
        <w:spacing w:before="72"/>
        <w:ind w:left="431"/>
      </w:pPr>
      <w:bookmarkStart w:name="_TOC_250021" w:id="2"/>
      <w:bookmarkEnd w:id="2"/>
      <w:r>
        <w:rPr>
          <w:spacing w:val="-2"/>
        </w:rPr>
        <w:t>CERTIFICATION</w:t>
      </w:r>
    </w:p>
    <w:p>
      <w:pPr>
        <w:pStyle w:val="BodyText"/>
        <w:rPr>
          <w:b/>
        </w:rPr>
      </w:pPr>
    </w:p>
    <w:p>
      <w:pPr>
        <w:pStyle w:val="BodyText"/>
        <w:spacing w:before="2"/>
        <w:rPr>
          <w:b/>
        </w:rPr>
      </w:pPr>
    </w:p>
    <w:p>
      <w:pPr>
        <w:pStyle w:val="BodyText"/>
        <w:spacing w:line="276" w:lineRule="auto" w:before="1"/>
        <w:ind w:left="747" w:right="844"/>
        <w:jc w:val="both"/>
      </w:pPr>
      <w:r>
        <w:rPr/>
        <w:t>This thesis entitled “EFFECT OF AQUEOUS ETHANOL LEAF EXTRACT OF </w:t>
      </w:r>
      <w:r>
        <w:rPr>
          <w:i/>
        </w:rPr>
        <w:t>COMBRETUM MICRANTHUM </w:t>
      </w:r>
      <w:r>
        <w:rPr/>
        <w:t>G. DON (COMBRETACEAE) ON SOME INDUCED SYSTEMIC</w:t>
      </w:r>
      <w:r>
        <w:rPr>
          <w:spacing w:val="77"/>
        </w:rPr>
        <w:t> </w:t>
      </w:r>
      <w:r>
        <w:rPr/>
        <w:t>INFLAMMATORY</w:t>
      </w:r>
      <w:r>
        <w:rPr>
          <w:spacing w:val="77"/>
        </w:rPr>
        <w:t> </w:t>
      </w:r>
      <w:r>
        <w:rPr/>
        <w:t>IMMUNE</w:t>
      </w:r>
      <w:r>
        <w:rPr>
          <w:spacing w:val="75"/>
        </w:rPr>
        <w:t> </w:t>
      </w:r>
      <w:r>
        <w:rPr/>
        <w:t>RESPONSE</w:t>
      </w:r>
      <w:r>
        <w:rPr>
          <w:spacing w:val="74"/>
        </w:rPr>
        <w:t> </w:t>
      </w:r>
      <w:r>
        <w:rPr/>
        <w:t>SYNDROMES</w:t>
      </w:r>
      <w:r>
        <w:rPr>
          <w:spacing w:val="75"/>
        </w:rPr>
        <w:t> </w:t>
      </w:r>
      <w:r>
        <w:rPr/>
        <w:t>IN</w:t>
      </w:r>
      <w:r>
        <w:rPr>
          <w:spacing w:val="76"/>
        </w:rPr>
        <w:t> </w:t>
      </w:r>
      <w:r>
        <w:rPr>
          <w:spacing w:val="-4"/>
        </w:rPr>
        <w:t>MICE</w:t>
      </w:r>
    </w:p>
    <w:p>
      <w:pPr>
        <w:pStyle w:val="BodyText"/>
        <w:spacing w:line="276" w:lineRule="auto"/>
        <w:ind w:left="747" w:right="850"/>
        <w:jc w:val="both"/>
      </w:pPr>
      <w:r>
        <w:rPr/>
        <w:t>AND RATS” by Michael Abel ZEKERI meets the regulations governing the award of the degree of Master of Science in Pharmacology of the Ahmadu Bello University,</w:t>
      </w:r>
      <w:r>
        <w:rPr>
          <w:spacing w:val="40"/>
        </w:rPr>
        <w:t> </w:t>
      </w:r>
      <w:r>
        <w:rPr/>
        <w:t>Zaria and is approved for its contribution to knowledge and literary presentation.</w:t>
      </w:r>
    </w:p>
    <w:p>
      <w:pPr>
        <w:pStyle w:val="BodyText"/>
        <w:rPr>
          <w:sz w:val="20"/>
        </w:rPr>
      </w:pPr>
    </w:p>
    <w:p>
      <w:pPr>
        <w:pStyle w:val="BodyText"/>
        <w:rPr>
          <w:sz w:val="20"/>
        </w:rPr>
      </w:pPr>
    </w:p>
    <w:p>
      <w:pPr>
        <w:pStyle w:val="BodyText"/>
        <w:rPr>
          <w:sz w:val="20"/>
        </w:rPr>
      </w:pPr>
    </w:p>
    <w:p>
      <w:pPr>
        <w:pStyle w:val="BodyText"/>
        <w:spacing w:before="98"/>
        <w:rPr>
          <w:sz w:val="20"/>
        </w:rPr>
      </w:pPr>
      <w:r>
        <w:rPr/>
        <mc:AlternateContent>
          <mc:Choice Requires="wps">
            <w:drawing>
              <wp:anchor distT="0" distB="0" distL="0" distR="0" allowOverlap="1" layoutInCell="1" locked="0" behindDoc="1" simplePos="0" relativeHeight="487589376">
                <wp:simplePos x="0" y="0"/>
                <wp:positionH relativeFrom="page">
                  <wp:posOffset>1280794</wp:posOffset>
                </wp:positionH>
                <wp:positionV relativeFrom="paragraph">
                  <wp:posOffset>223831</wp:posOffset>
                </wp:positionV>
                <wp:extent cx="16764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676400" cy="1270"/>
                        </a:xfrm>
                        <a:custGeom>
                          <a:avLst/>
                          <a:gdLst/>
                          <a:ahLst/>
                          <a:cxnLst/>
                          <a:rect l="l" t="t" r="r" b="b"/>
                          <a:pathLst>
                            <a:path w="1676400" h="0">
                              <a:moveTo>
                                <a:pt x="0" y="0"/>
                              </a:moveTo>
                              <a:lnTo>
                                <a:pt x="167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849998pt;margin-top:17.624531pt;width:132pt;height:.1pt;mso-position-horizontal-relative:page;mso-position-vertical-relative:paragraph;z-index:-15727104;mso-wrap-distance-left:0;mso-wrap-distance-right:0" id="docshape5" coordorigin="2017,352" coordsize="2640,0" path="m2017,352l4657,352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3633470</wp:posOffset>
                </wp:positionH>
                <wp:positionV relativeFrom="paragraph">
                  <wp:posOffset>223831</wp:posOffset>
                </wp:positionV>
                <wp:extent cx="112395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123950" cy="1270"/>
                        </a:xfrm>
                        <a:custGeom>
                          <a:avLst/>
                          <a:gdLst/>
                          <a:ahLst/>
                          <a:cxnLst/>
                          <a:rect l="l" t="t" r="r" b="b"/>
                          <a:pathLst>
                            <a:path w="1123950" h="0">
                              <a:moveTo>
                                <a:pt x="0" y="0"/>
                              </a:moveTo>
                              <a:lnTo>
                                <a:pt x="1123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6.100006pt;margin-top:17.624531pt;width:88.5pt;height:.1pt;mso-position-horizontal-relative:page;mso-position-vertical-relative:paragraph;z-index:-15726592;mso-wrap-distance-left:0;mso-wrap-distance-right:0" id="docshape6" coordorigin="5722,352" coordsize="1770,0" path="m5722,352l7492,352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5262245</wp:posOffset>
                </wp:positionH>
                <wp:positionV relativeFrom="paragraph">
                  <wp:posOffset>223831</wp:posOffset>
                </wp:positionV>
                <wp:extent cx="1343025"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343025" cy="1270"/>
                        </a:xfrm>
                        <a:custGeom>
                          <a:avLst/>
                          <a:gdLst/>
                          <a:ahLst/>
                          <a:cxnLst/>
                          <a:rect l="l" t="t" r="r" b="b"/>
                          <a:pathLst>
                            <a:path w="1343025" h="0">
                              <a:moveTo>
                                <a:pt x="0" y="0"/>
                              </a:moveTo>
                              <a:lnTo>
                                <a:pt x="13430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350006pt;margin-top:17.624531pt;width:105.75pt;height:.1pt;mso-position-horizontal-relative:page;mso-position-vertical-relative:paragraph;z-index:-15726080;mso-wrap-distance-left:0;mso-wrap-distance-right:0" id="docshape7" coordorigin="8287,352" coordsize="2115,0" path="m8287,352l10402,352e" filled="false" stroked="true" strokeweight=".75pt" strokecolor="#000000">
                <v:path arrowok="t"/>
                <v:stroke dashstyle="solid"/>
                <w10:wrap type="topAndBottom"/>
              </v:shape>
            </w:pict>
          </mc:Fallback>
        </mc:AlternateContent>
      </w:r>
    </w:p>
    <w:p>
      <w:pPr>
        <w:pStyle w:val="BodyText"/>
        <w:tabs>
          <w:tab w:pos="4794" w:val="left" w:leader="none"/>
          <w:tab w:pos="7612" w:val="left" w:leader="none"/>
        </w:tabs>
        <w:spacing w:line="276" w:lineRule="auto" w:before="65"/>
        <w:ind w:left="747" w:right="2038"/>
      </w:pPr>
      <w:r>
        <w:rPr/>
        <w:t>Dr.</w:t>
      </w:r>
      <w:r>
        <w:rPr>
          <w:spacing w:val="40"/>
        </w:rPr>
        <w:t> </w:t>
      </w:r>
      <w:r>
        <w:rPr/>
        <w:t>J.I. Ejiofor</w:t>
        <w:tab/>
      </w:r>
      <w:r>
        <w:rPr>
          <w:spacing w:val="-2"/>
        </w:rPr>
        <w:t>(Signature)</w:t>
      </w:r>
      <w:r>
        <w:rPr/>
        <w:tab/>
      </w:r>
      <w:r>
        <w:rPr>
          <w:spacing w:val="-4"/>
        </w:rPr>
        <w:t>Date </w:t>
      </w:r>
      <w:r>
        <w:rPr/>
        <w:t>Major, Supervisory Committee</w:t>
      </w:r>
    </w:p>
    <w:p>
      <w:pPr>
        <w:pStyle w:val="BodyText"/>
      </w:pPr>
    </w:p>
    <w:p>
      <w:pPr>
        <w:pStyle w:val="BodyText"/>
        <w:spacing w:before="83"/>
      </w:pPr>
    </w:p>
    <w:p>
      <w:pPr>
        <w:spacing w:before="0"/>
        <w:ind w:left="747" w:right="0" w:firstLine="0"/>
        <w:jc w:val="left"/>
        <w:rPr>
          <w:sz w:val="24"/>
        </w:rPr>
      </w:pPr>
      <w:r>
        <w:rPr/>
        <mc:AlternateContent>
          <mc:Choice Requires="wps">
            <w:drawing>
              <wp:anchor distT="0" distB="0" distL="0" distR="0" allowOverlap="1" layoutInCell="1" locked="0" behindDoc="1" simplePos="0" relativeHeight="487590912">
                <wp:simplePos x="0" y="0"/>
                <wp:positionH relativeFrom="page">
                  <wp:posOffset>1280794</wp:posOffset>
                </wp:positionH>
                <wp:positionV relativeFrom="paragraph">
                  <wp:posOffset>213233</wp:posOffset>
                </wp:positionV>
                <wp:extent cx="16764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676400" cy="1270"/>
                        </a:xfrm>
                        <a:custGeom>
                          <a:avLst/>
                          <a:gdLst/>
                          <a:ahLst/>
                          <a:cxnLst/>
                          <a:rect l="l" t="t" r="r" b="b"/>
                          <a:pathLst>
                            <a:path w="1676400" h="0">
                              <a:moveTo>
                                <a:pt x="0" y="0"/>
                              </a:moveTo>
                              <a:lnTo>
                                <a:pt x="167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849998pt;margin-top:16.790039pt;width:132pt;height:.1pt;mso-position-horizontal-relative:page;mso-position-vertical-relative:paragraph;z-index:-15725568;mso-wrap-distance-left:0;mso-wrap-distance-right:0" id="docshape8" coordorigin="2017,336" coordsize="2640,0" path="m2017,336l4657,336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3690620</wp:posOffset>
                </wp:positionH>
                <wp:positionV relativeFrom="paragraph">
                  <wp:posOffset>213233</wp:posOffset>
                </wp:positionV>
                <wp:extent cx="10668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066800" cy="1270"/>
                        </a:xfrm>
                        <a:custGeom>
                          <a:avLst/>
                          <a:gdLst/>
                          <a:ahLst/>
                          <a:cxnLst/>
                          <a:rect l="l" t="t" r="r" b="b"/>
                          <a:pathLst>
                            <a:path w="1066800" h="0">
                              <a:moveTo>
                                <a:pt x="0" y="0"/>
                              </a:moveTo>
                              <a:lnTo>
                                <a:pt x="1066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0.600006pt;margin-top:16.790039pt;width:84pt;height:.1pt;mso-position-horizontal-relative:page;mso-position-vertical-relative:paragraph;z-index:-15725056;mso-wrap-distance-left:0;mso-wrap-distance-right:0" id="docshape9" coordorigin="5812,336" coordsize="1680,0" path="m5812,336l7492,336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5262245</wp:posOffset>
                </wp:positionH>
                <wp:positionV relativeFrom="paragraph">
                  <wp:posOffset>133858</wp:posOffset>
                </wp:positionV>
                <wp:extent cx="134302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343025" cy="1270"/>
                        </a:xfrm>
                        <a:custGeom>
                          <a:avLst/>
                          <a:gdLst/>
                          <a:ahLst/>
                          <a:cxnLst/>
                          <a:rect l="l" t="t" r="r" b="b"/>
                          <a:pathLst>
                            <a:path w="1343025" h="0">
                              <a:moveTo>
                                <a:pt x="0" y="0"/>
                              </a:moveTo>
                              <a:lnTo>
                                <a:pt x="13430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414.350006pt,10.540039pt" to="520.100006pt,10.540039pt" stroked="true" strokeweight=".75pt" strokecolor="#000000">
                <v:stroke dashstyle="solid"/>
                <w10:wrap type="none"/>
              </v:line>
            </w:pict>
          </mc:Fallback>
        </mc:AlternateContent>
      </w:r>
      <w:r>
        <w:rPr>
          <w:spacing w:val="-10"/>
          <w:sz w:val="24"/>
        </w:rPr>
        <w:t>.</w:t>
      </w:r>
    </w:p>
    <w:p>
      <w:pPr>
        <w:pStyle w:val="BodyText"/>
        <w:tabs>
          <w:tab w:pos="5001" w:val="left" w:leader="none"/>
          <w:tab w:pos="7941" w:val="left" w:leader="none"/>
        </w:tabs>
        <w:spacing w:line="276" w:lineRule="auto"/>
        <w:ind w:left="747" w:right="1710"/>
      </w:pPr>
      <w:r>
        <w:rPr/>
        <w:t>Dr. (Mrs.) B.B. Maiha</w:t>
        <w:tab/>
      </w:r>
      <w:r>
        <w:rPr>
          <w:spacing w:val="-2"/>
        </w:rPr>
        <w:t>(Signature)</w:t>
      </w:r>
      <w:r>
        <w:rPr/>
        <w:tab/>
      </w:r>
      <w:r>
        <w:rPr>
          <w:spacing w:val="-4"/>
        </w:rPr>
        <w:t>Date </w:t>
      </w:r>
      <w:r>
        <w:rPr/>
        <w:t>Member, Supervisory 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r>
        <w:rPr/>
        <mc:AlternateContent>
          <mc:Choice Requires="wps">
            <w:drawing>
              <wp:anchor distT="0" distB="0" distL="0" distR="0" allowOverlap="1" layoutInCell="1" locked="0" behindDoc="1" simplePos="0" relativeHeight="487591936">
                <wp:simplePos x="0" y="0"/>
                <wp:positionH relativeFrom="page">
                  <wp:posOffset>1262176</wp:posOffset>
                </wp:positionH>
                <wp:positionV relativeFrom="paragraph">
                  <wp:posOffset>175895</wp:posOffset>
                </wp:positionV>
                <wp:extent cx="18288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384003pt;margin-top:13.850029pt;width:144pt;height:.1pt;mso-position-horizontal-relative:page;mso-position-vertical-relative:paragraph;z-index:-15724544;mso-wrap-distance-left:0;mso-wrap-distance-right:0" id="docshape10" coordorigin="1988,277" coordsize="2880,0" path="m1988,277l4868,277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3700576</wp:posOffset>
                </wp:positionH>
                <wp:positionV relativeFrom="paragraph">
                  <wp:posOffset>175895</wp:posOffset>
                </wp:positionV>
                <wp:extent cx="11430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1.384003pt;margin-top:13.850029pt;width:90pt;height:.1pt;mso-position-horizontal-relative:page;mso-position-vertical-relative:paragraph;z-index:-15724032;mso-wrap-distance-left:0;mso-wrap-distance-right:0" id="docshape11" coordorigin="5828,277" coordsize="1800,0" path="m5828,277l7628,277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5262677</wp:posOffset>
                </wp:positionH>
                <wp:positionV relativeFrom="paragraph">
                  <wp:posOffset>175895</wp:posOffset>
                </wp:positionV>
                <wp:extent cx="13716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371600" cy="1270"/>
                        </a:xfrm>
                        <a:custGeom>
                          <a:avLst/>
                          <a:gdLst/>
                          <a:ahLst/>
                          <a:cxnLst/>
                          <a:rect l="l" t="t" r="r" b="b"/>
                          <a:pathLst>
                            <a:path w="1371600" h="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384033pt;margin-top:13.850029pt;width:108pt;height:.1pt;mso-position-horizontal-relative:page;mso-position-vertical-relative:paragraph;z-index:-15723520;mso-wrap-distance-left:0;mso-wrap-distance-right:0" id="docshape12" coordorigin="8288,277" coordsize="2160,0" path="m8288,277l10448,277e" filled="false" stroked="true" strokeweight=".487125pt" strokecolor="#000000">
                <v:path arrowok="t"/>
                <v:stroke dashstyle="solid"/>
                <w10:wrap type="topAndBottom"/>
              </v:shape>
            </w:pict>
          </mc:Fallback>
        </mc:AlternateContent>
      </w:r>
    </w:p>
    <w:p>
      <w:pPr>
        <w:pStyle w:val="BodyText"/>
        <w:tabs>
          <w:tab w:pos="4955" w:val="left" w:leader="none"/>
          <w:tab w:pos="8015" w:val="left" w:leader="none"/>
        </w:tabs>
        <w:spacing w:line="278" w:lineRule="auto" w:before="41"/>
        <w:ind w:left="747" w:right="1637"/>
      </w:pPr>
      <w:r>
        <w:rPr/>
        <w:t>Dr. A. U. Zezi</w:t>
        <w:tab/>
      </w:r>
      <w:r>
        <w:rPr>
          <w:spacing w:val="-2"/>
        </w:rPr>
        <w:t>(Signature)</w:t>
      </w:r>
      <w:r>
        <w:rPr/>
        <w:tab/>
      </w:r>
      <w:r>
        <w:rPr>
          <w:spacing w:val="-4"/>
        </w:rPr>
        <w:t>Date </w:t>
      </w:r>
      <w:r>
        <w:rPr/>
        <w:t>Head, Department of Pharmacology</w:t>
      </w:r>
    </w:p>
    <w:p>
      <w:pPr>
        <w:pStyle w:val="BodyText"/>
        <w:spacing w:line="272" w:lineRule="exact"/>
        <w:ind w:left="747"/>
      </w:pPr>
      <w:r>
        <w:rPr/>
        <w:t>and</w:t>
      </w:r>
      <w:r>
        <w:rPr>
          <w:spacing w:val="-1"/>
        </w:rPr>
        <w:t> </w:t>
      </w:r>
      <w:r>
        <w:rPr>
          <w:spacing w:val="-2"/>
        </w:rPr>
        <w:t>Therapeutics</w:t>
      </w:r>
    </w:p>
    <w:p>
      <w:pPr>
        <w:pStyle w:val="BodyText"/>
        <w:rPr>
          <w:sz w:val="20"/>
        </w:rPr>
      </w:pPr>
    </w:p>
    <w:p>
      <w:pPr>
        <w:pStyle w:val="BodyText"/>
        <w:rPr>
          <w:sz w:val="20"/>
        </w:rPr>
      </w:pP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593472">
                <wp:simplePos x="0" y="0"/>
                <wp:positionH relativeFrom="page">
                  <wp:posOffset>1262176</wp:posOffset>
                </wp:positionH>
                <wp:positionV relativeFrom="paragraph">
                  <wp:posOffset>162185</wp:posOffset>
                </wp:positionV>
                <wp:extent cx="18288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384003pt;margin-top:12.770524pt;width:144pt;height:.1pt;mso-position-horizontal-relative:page;mso-position-vertical-relative:paragraph;z-index:-15723008;mso-wrap-distance-left:0;mso-wrap-distance-right:0" id="docshape13" coordorigin="1988,255" coordsize="2880,0" path="m1988,255l4868,255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3776776</wp:posOffset>
                </wp:positionH>
                <wp:positionV relativeFrom="paragraph">
                  <wp:posOffset>162185</wp:posOffset>
                </wp:positionV>
                <wp:extent cx="121920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7.384003pt;margin-top:12.770524pt;width:96pt;height:.1pt;mso-position-horizontal-relative:page;mso-position-vertical-relative:paragraph;z-index:-15722496;mso-wrap-distance-left:0;mso-wrap-distance-right:0" id="docshape14" coordorigin="5948,255" coordsize="1920,0" path="m5948,255l7868,255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4496">
                <wp:simplePos x="0" y="0"/>
                <wp:positionH relativeFrom="page">
                  <wp:posOffset>5376977</wp:posOffset>
                </wp:positionH>
                <wp:positionV relativeFrom="paragraph">
                  <wp:posOffset>162185</wp:posOffset>
                </wp:positionV>
                <wp:extent cx="121920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384033pt;margin-top:12.770524pt;width:96pt;height:.1pt;mso-position-horizontal-relative:page;mso-position-vertical-relative:paragraph;z-index:-15721984;mso-wrap-distance-left:0;mso-wrap-distance-right:0" id="docshape15" coordorigin="8468,255" coordsize="1920,0" path="m8468,255l10388,255e" filled="false" stroked="true" strokeweight=".487125pt" strokecolor="#000000">
                <v:path arrowok="t"/>
                <v:stroke dashstyle="solid"/>
                <w10:wrap type="topAndBottom"/>
              </v:shape>
            </w:pict>
          </mc:Fallback>
        </mc:AlternateContent>
      </w:r>
    </w:p>
    <w:p>
      <w:pPr>
        <w:pStyle w:val="BodyText"/>
        <w:spacing w:before="84"/>
      </w:pPr>
    </w:p>
    <w:p>
      <w:pPr>
        <w:pStyle w:val="BodyText"/>
        <w:tabs>
          <w:tab w:pos="4994" w:val="left" w:leader="none"/>
          <w:tab w:pos="7933" w:val="left" w:leader="none"/>
        </w:tabs>
        <w:spacing w:line="276" w:lineRule="auto"/>
        <w:ind w:left="747" w:right="1719"/>
      </w:pPr>
      <w:r>
        <w:rPr/>
        <w:t>Prof. A.Z. Hassan</w:t>
        <w:tab/>
      </w:r>
      <w:r>
        <w:rPr>
          <w:spacing w:val="-2"/>
        </w:rPr>
        <w:t>(Signature)</w:t>
      </w:r>
      <w:r>
        <w:rPr/>
        <w:tab/>
      </w:r>
      <w:r>
        <w:rPr>
          <w:spacing w:val="-4"/>
        </w:rPr>
        <w:t>Date </w:t>
      </w:r>
      <w:r>
        <w:rPr/>
        <w:t>Dean, Postgraduate School</w:t>
      </w:r>
    </w:p>
    <w:p>
      <w:pPr>
        <w:spacing w:after="0" w:line="276" w:lineRule="auto"/>
        <w:sectPr>
          <w:pgSz w:w="11910" w:h="16840"/>
          <w:pgMar w:header="0" w:footer="981" w:top="1320" w:bottom="1180" w:left="1240" w:right="560"/>
        </w:sectPr>
      </w:pPr>
    </w:p>
    <w:p>
      <w:pPr>
        <w:pStyle w:val="Heading1"/>
        <w:spacing w:before="72"/>
        <w:ind w:right="634"/>
      </w:pPr>
      <w:bookmarkStart w:name="_TOC_250020" w:id="3"/>
      <w:bookmarkEnd w:id="3"/>
      <w:r>
        <w:rPr>
          <w:spacing w:val="-2"/>
        </w:rPr>
        <w:t>ACKNOWLEDGEMENT</w:t>
      </w:r>
    </w:p>
    <w:p>
      <w:pPr>
        <w:pStyle w:val="BodyText"/>
        <w:spacing w:before="233"/>
        <w:rPr>
          <w:b/>
        </w:rPr>
      </w:pPr>
    </w:p>
    <w:p>
      <w:pPr>
        <w:pStyle w:val="BodyText"/>
        <w:ind w:left="747" w:right="849"/>
        <w:jc w:val="both"/>
      </w:pPr>
      <w:r>
        <w:rPr/>
        <w:t>I hereby express my gratitude to the most high God from whom all blessings flow, for this unique and golden opportunity</w:t>
      </w:r>
      <w:r>
        <w:rPr>
          <w:spacing w:val="-3"/>
        </w:rPr>
        <w:t> </w:t>
      </w:r>
      <w:r>
        <w:rPr/>
        <w:t>of yet another milestone in my academic pursuit. To HIM alone is all the glory, by whose power, will, wisdom, guidance and divine protection this thesis was successfully completed.</w:t>
      </w:r>
    </w:p>
    <w:p>
      <w:pPr>
        <w:pStyle w:val="BodyText"/>
        <w:spacing w:line="276" w:lineRule="auto" w:before="204"/>
        <w:ind w:left="747" w:right="848"/>
        <w:jc w:val="both"/>
      </w:pPr>
      <w:r>
        <w:rPr/>
        <w:t>I am also grateful to my supervisors, Dr J.I. Ejiofor and Dr. (Mrs.) B.B. Maiha for their patient, useful suggestions, constructive criticisms and moral support throughout this </w:t>
      </w:r>
      <w:r>
        <w:rPr>
          <w:spacing w:val="-2"/>
        </w:rPr>
        <w:t>work.</w:t>
      </w:r>
    </w:p>
    <w:p>
      <w:pPr>
        <w:pStyle w:val="BodyText"/>
        <w:spacing w:line="276" w:lineRule="auto" w:before="200"/>
        <w:ind w:left="747" w:right="851"/>
        <w:jc w:val="both"/>
      </w:pPr>
      <w:r>
        <w:rPr/>
        <w:t>I am very much grateful to everyone who supported me in one way or the other, my</w:t>
      </w:r>
      <w:r>
        <w:rPr>
          <w:spacing w:val="40"/>
        </w:rPr>
        <w:t> </w:t>
      </w:r>
      <w:r>
        <w:rPr/>
        <w:t>God will visit you all for the good labour of love you demonstrated through your physical, spiritual, time, energy and material resources.</w:t>
      </w:r>
    </w:p>
    <w:p>
      <w:pPr>
        <w:pStyle w:val="BodyText"/>
        <w:spacing w:line="276" w:lineRule="auto" w:before="200"/>
        <w:ind w:left="747" w:right="851" w:firstLine="59"/>
        <w:jc w:val="both"/>
      </w:pPr>
      <w:r>
        <w:rPr/>
        <w:t>Finally, I would like to express my gratitude to my beloved wife, Joy Zekeri for her companionship and support; and not forgetting the prayers of my children; remain </w:t>
      </w:r>
      <w:r>
        <w:rPr>
          <w:spacing w:val="-2"/>
        </w:rPr>
        <w:t>blessed.</w:t>
      </w:r>
    </w:p>
    <w:p>
      <w:pPr>
        <w:spacing w:after="0" w:line="276" w:lineRule="auto"/>
        <w:jc w:val="both"/>
        <w:sectPr>
          <w:pgSz w:w="11910" w:h="16840"/>
          <w:pgMar w:header="0" w:footer="981" w:top="1320" w:bottom="1180" w:left="1240" w:right="560"/>
        </w:sectPr>
      </w:pPr>
    </w:p>
    <w:p>
      <w:pPr>
        <w:pStyle w:val="Heading2"/>
        <w:spacing w:before="72"/>
        <w:ind w:left="81" w:firstLine="0"/>
        <w:jc w:val="center"/>
      </w:pPr>
      <w:bookmarkStart w:name="_TOC_250019" w:id="4"/>
      <w:bookmarkEnd w:id="4"/>
      <w:r>
        <w:rPr>
          <w:spacing w:val="-2"/>
        </w:rPr>
        <w:t>Abstract</w:t>
      </w:r>
    </w:p>
    <w:p>
      <w:pPr>
        <w:pStyle w:val="BodyText"/>
        <w:spacing w:line="480" w:lineRule="auto" w:before="233"/>
        <w:ind w:left="747" w:right="839"/>
        <w:jc w:val="both"/>
        <w:rPr>
          <w:i/>
        </w:rPr>
      </w:pPr>
      <w:r>
        <w:rPr/>
        <w:t>The cellular immunity is often suppressed by infection, disease conditions and drug medication that are in continous association with mankind. </w:t>
      </w:r>
      <w:r>
        <w:rPr>
          <w:i/>
        </w:rPr>
        <w:t>Combretum</w:t>
      </w:r>
      <w:r>
        <w:rPr>
          <w:i/>
          <w:spacing w:val="80"/>
        </w:rPr>
        <w:t> </w:t>
      </w:r>
      <w:r>
        <w:rPr>
          <w:i/>
        </w:rPr>
        <w:t>micranthum </w:t>
      </w:r>
      <w:r>
        <w:rPr/>
        <w:t>is</w:t>
      </w:r>
      <w:r>
        <w:rPr>
          <w:spacing w:val="40"/>
        </w:rPr>
        <w:t> </w:t>
      </w:r>
      <w:r>
        <w:rPr/>
        <w:t>a plant known for its antioxidant, antimicrobial, anti-inflammatory and various other properties of immune boosting activity. The Plant extract was assessed for its ability to protect from tissue destruction. The aqueous ethanol leaf extract was screened for previously reported phytoconstituents; Lorke,s method of 1983 was used to determined the LD</w:t>
      </w:r>
      <w:r>
        <w:rPr>
          <w:vertAlign w:val="subscript"/>
        </w:rPr>
        <w:t>50</w:t>
      </w:r>
      <w:r>
        <w:rPr>
          <w:spacing w:val="40"/>
          <w:vertAlign w:val="baseline"/>
        </w:rPr>
        <w:t> </w:t>
      </w:r>
      <w:r>
        <w:rPr>
          <w:vertAlign w:val="baseline"/>
        </w:rPr>
        <w:t>in mice and rats using both </w:t>
      </w:r>
      <w:r>
        <w:rPr>
          <w:i/>
          <w:vertAlign w:val="baseline"/>
        </w:rPr>
        <w:t>i.p</w:t>
      </w:r>
      <w:r>
        <w:rPr>
          <w:vertAlign w:val="baseline"/>
        </w:rPr>
        <w:t>. and oral routes. Effect of the extract on haematological parameters were assessed pre- Cyclophosphamide (200 mg/kg </w:t>
      </w:r>
      <w:r>
        <w:rPr>
          <w:i/>
          <w:vertAlign w:val="baseline"/>
        </w:rPr>
        <w:t>i.p</w:t>
      </w:r>
      <w:r>
        <w:rPr>
          <w:vertAlign w:val="baseline"/>
        </w:rPr>
        <w:t>) induction on the 10</w:t>
      </w:r>
      <w:r>
        <w:rPr>
          <w:vertAlign w:val="superscript"/>
        </w:rPr>
        <w:t>th</w:t>
      </w:r>
      <w:r>
        <w:rPr>
          <w:vertAlign w:val="baseline"/>
        </w:rPr>
        <w:t> day and three days post induction according to Thatte </w:t>
      </w:r>
      <w:r>
        <w:rPr>
          <w:i/>
          <w:vertAlign w:val="baseline"/>
        </w:rPr>
        <w:t>et al</w:t>
      </w:r>
      <w:r>
        <w:rPr>
          <w:vertAlign w:val="baseline"/>
        </w:rPr>
        <w:t>. (1987) in four groups (n=5) of wistar rats. Group I received (1 ml/kg distilled water) while group II, III and IV received (50, 100 and 200 mg/kg of extract) respectively. The protective effect of the extract was also performed according</w:t>
      </w:r>
      <w:r>
        <w:rPr>
          <w:spacing w:val="-1"/>
          <w:vertAlign w:val="baseline"/>
        </w:rPr>
        <w:t> </w:t>
      </w:r>
      <w:r>
        <w:rPr>
          <w:vertAlign w:val="baseline"/>
        </w:rPr>
        <w:t>to Pallable </w:t>
      </w:r>
      <w:r>
        <w:rPr>
          <w:i/>
          <w:vertAlign w:val="baseline"/>
        </w:rPr>
        <w:t>et al</w:t>
      </w:r>
      <w:r>
        <w:rPr>
          <w:vertAlign w:val="baseline"/>
        </w:rPr>
        <w:t>. (1998) by </w:t>
      </w:r>
      <w:r>
        <w:rPr>
          <w:i/>
          <w:vertAlign w:val="baseline"/>
        </w:rPr>
        <w:t>Escherichia. coli </w:t>
      </w:r>
      <w:r>
        <w:rPr>
          <w:vertAlign w:val="baseline"/>
        </w:rPr>
        <w:t>(1 ml of 2.5 × 10</w:t>
      </w:r>
      <w:r>
        <w:rPr>
          <w:vertAlign w:val="superscript"/>
        </w:rPr>
        <w:t>8</w:t>
      </w:r>
      <w:r>
        <w:rPr>
          <w:vertAlign w:val="baseline"/>
        </w:rPr>
        <w:t> Cfu) induction </w:t>
      </w:r>
      <w:r>
        <w:rPr>
          <w:i/>
          <w:vertAlign w:val="baseline"/>
        </w:rPr>
        <w:t>i.p. </w:t>
      </w:r>
      <w:r>
        <w:rPr>
          <w:vertAlign w:val="baseline"/>
        </w:rPr>
        <w:t>after 15</w:t>
      </w:r>
      <w:r>
        <w:rPr>
          <w:vertAlign w:val="superscript"/>
        </w:rPr>
        <w:t>th</w:t>
      </w:r>
      <w:r>
        <w:rPr>
          <w:vertAlign w:val="baseline"/>
        </w:rPr>
        <w:t> day pretreatment with the extract. Effect of the extract on Sheep red blood cell (SRBC) induced delayed type hypersensitivity reaction was evaluated according to Chang </w:t>
      </w:r>
      <w:r>
        <w:rPr>
          <w:i/>
          <w:vertAlign w:val="baseline"/>
        </w:rPr>
        <w:t>et al</w:t>
      </w:r>
      <w:r>
        <w:rPr>
          <w:vertAlign w:val="baseline"/>
        </w:rPr>
        <w:t>. (1998) on five groups (n=5) wistar rats. Group I received (1 ml/kg distilled water), group II, III and IV received 50, 100 and 200 mg/kg of extract while group V received 0.2 mg/kg dexamethasone. All the rats were immunized on the 7</w:t>
      </w:r>
      <w:r>
        <w:rPr>
          <w:vertAlign w:val="superscript"/>
        </w:rPr>
        <w:t>th</w:t>
      </w:r>
      <w:r>
        <w:rPr>
          <w:vertAlign w:val="baseline"/>
        </w:rPr>
        <w:t> day with 0.25 ml SRBC </w:t>
      </w:r>
      <w:r>
        <w:rPr>
          <w:i/>
          <w:vertAlign w:val="baseline"/>
        </w:rPr>
        <w:t>i.p</w:t>
      </w:r>
      <w:r>
        <w:rPr>
          <w:vertAlign w:val="baseline"/>
        </w:rPr>
        <w:t>. and the treatment continued to the 14</w:t>
      </w:r>
      <w:r>
        <w:rPr>
          <w:vertAlign w:val="superscript"/>
        </w:rPr>
        <w:t>th</w:t>
      </w:r>
      <w:r>
        <w:rPr>
          <w:vertAlign w:val="baseline"/>
        </w:rPr>
        <w:t> after which the challenging dose of 0.25 ml SRBC was administered via the plantar side of the right hind foot paw. Measurement were taken before the challenging dose (0 hr reading) and repeated at 3 and 24 hours later. Agar plate dilution method according to European Committee on Antimicrobial Susceptibility Testing (EUCAST), 2011 was used to test the susceptibility of </w:t>
      </w:r>
      <w:r>
        <w:rPr>
          <w:i/>
          <w:vertAlign w:val="baseline"/>
        </w:rPr>
        <w:t>Escherichia.</w:t>
      </w:r>
      <w:r>
        <w:rPr>
          <w:i/>
          <w:spacing w:val="35"/>
          <w:vertAlign w:val="baseline"/>
        </w:rPr>
        <w:t> </w:t>
      </w:r>
      <w:r>
        <w:rPr>
          <w:i/>
          <w:vertAlign w:val="baseline"/>
        </w:rPr>
        <w:t>coli</w:t>
      </w:r>
      <w:r>
        <w:rPr>
          <w:vertAlign w:val="baseline"/>
        </w:rPr>
        <w:t>,</w:t>
      </w:r>
      <w:r>
        <w:rPr>
          <w:spacing w:val="37"/>
          <w:vertAlign w:val="baseline"/>
        </w:rPr>
        <w:t> </w:t>
      </w:r>
      <w:r>
        <w:rPr>
          <w:i/>
          <w:vertAlign w:val="baseline"/>
        </w:rPr>
        <w:t>Staphylococcus.</w:t>
      </w:r>
      <w:r>
        <w:rPr>
          <w:i/>
          <w:spacing w:val="38"/>
          <w:vertAlign w:val="baseline"/>
        </w:rPr>
        <w:t> </w:t>
      </w:r>
      <w:r>
        <w:rPr>
          <w:i/>
          <w:vertAlign w:val="baseline"/>
        </w:rPr>
        <w:t>aureus</w:t>
      </w:r>
      <w:r>
        <w:rPr>
          <w:vertAlign w:val="baseline"/>
        </w:rPr>
        <w:t>,</w:t>
      </w:r>
      <w:r>
        <w:rPr>
          <w:spacing w:val="37"/>
          <w:vertAlign w:val="baseline"/>
        </w:rPr>
        <w:t> </w:t>
      </w:r>
      <w:r>
        <w:rPr>
          <w:i/>
          <w:vertAlign w:val="baseline"/>
        </w:rPr>
        <w:t>Klebsiella.</w:t>
      </w:r>
      <w:r>
        <w:rPr>
          <w:i/>
          <w:spacing w:val="38"/>
          <w:vertAlign w:val="baseline"/>
        </w:rPr>
        <w:t> </w:t>
      </w:r>
      <w:r>
        <w:rPr>
          <w:i/>
          <w:vertAlign w:val="baseline"/>
        </w:rPr>
        <w:t>pneumoneae</w:t>
      </w:r>
      <w:r>
        <w:rPr>
          <w:vertAlign w:val="baseline"/>
        </w:rPr>
        <w:t>,</w:t>
      </w:r>
      <w:r>
        <w:rPr>
          <w:spacing w:val="37"/>
          <w:vertAlign w:val="baseline"/>
        </w:rPr>
        <w:t> </w:t>
      </w:r>
      <w:r>
        <w:rPr>
          <w:i/>
          <w:vertAlign w:val="baseline"/>
        </w:rPr>
        <w:t>Salmonella.</w:t>
      </w:r>
      <w:r>
        <w:rPr>
          <w:i/>
          <w:spacing w:val="38"/>
          <w:vertAlign w:val="baseline"/>
        </w:rPr>
        <w:t> </w:t>
      </w:r>
      <w:r>
        <w:rPr>
          <w:i/>
          <w:spacing w:val="-2"/>
          <w:vertAlign w:val="baseline"/>
        </w:rPr>
        <w:t>typhi</w:t>
      </w:r>
    </w:p>
    <w:p>
      <w:pPr>
        <w:spacing w:after="0" w:line="480" w:lineRule="auto"/>
        <w:jc w:val="both"/>
        <w:sectPr>
          <w:pgSz w:w="11910" w:h="16840"/>
          <w:pgMar w:header="0" w:footer="981" w:top="1320" w:bottom="1180" w:left="1240" w:right="560"/>
        </w:sectPr>
      </w:pPr>
    </w:p>
    <w:p>
      <w:pPr>
        <w:pStyle w:val="BodyText"/>
        <w:spacing w:line="480" w:lineRule="auto" w:before="64"/>
        <w:ind w:left="747" w:right="844"/>
        <w:jc w:val="both"/>
      </w:pPr>
      <w:r>
        <w:rPr/>
        <w:t>and </w:t>
      </w:r>
      <w:r>
        <w:rPr>
          <w:i/>
        </w:rPr>
        <w:t>Proteus, mirabilis</w:t>
      </w:r>
      <w:r>
        <w:rPr/>
        <w:t>. The zone of inhibition compared with standard antibiotics was interpreted using interpretation criteria of EUCAST, 2011. The acute toxicity test showed an LD</w:t>
      </w:r>
      <w:r>
        <w:rPr>
          <w:vertAlign w:val="subscript"/>
        </w:rPr>
        <w:t>50</w:t>
      </w:r>
      <w:r>
        <w:rPr>
          <w:vertAlign w:val="baseline"/>
        </w:rPr>
        <w:t> of 3807.9 mg/kg </w:t>
      </w:r>
      <w:r>
        <w:rPr>
          <w:i/>
          <w:vertAlign w:val="baseline"/>
        </w:rPr>
        <w:t>p.o. </w:t>
      </w:r>
      <w:r>
        <w:rPr>
          <w:vertAlign w:val="baseline"/>
        </w:rPr>
        <w:t>and 2154.1 mg/kg </w:t>
      </w:r>
      <w:r>
        <w:rPr>
          <w:i/>
          <w:vertAlign w:val="baseline"/>
        </w:rPr>
        <w:t>i.p. </w:t>
      </w:r>
      <w:r>
        <w:rPr>
          <w:vertAlign w:val="baseline"/>
        </w:rPr>
        <w:t>in mice; and &gt; 5,000</w:t>
      </w:r>
      <w:r>
        <w:rPr>
          <w:spacing w:val="80"/>
          <w:vertAlign w:val="baseline"/>
        </w:rPr>
        <w:t> </w:t>
      </w:r>
      <w:r>
        <w:rPr>
          <w:vertAlign w:val="baseline"/>
        </w:rPr>
        <w:t>mg/kg </w:t>
      </w:r>
      <w:r>
        <w:rPr>
          <w:i/>
          <w:vertAlign w:val="baseline"/>
        </w:rPr>
        <w:t>p.o. </w:t>
      </w:r>
      <w:r>
        <w:rPr>
          <w:vertAlign w:val="baseline"/>
        </w:rPr>
        <w:t>and 3807.9 mg/kg </w:t>
      </w:r>
      <w:r>
        <w:rPr>
          <w:i/>
          <w:vertAlign w:val="baseline"/>
        </w:rPr>
        <w:t>i.p</w:t>
      </w:r>
      <w:r>
        <w:rPr>
          <w:vertAlign w:val="baseline"/>
        </w:rPr>
        <w:t>. in rats. The phytochemical constituents revealed the presence of alkaloids, anthraquinones, carbohydrates, cardiac glycosides, flavonoids, saponins,</w:t>
      </w:r>
      <w:r>
        <w:rPr>
          <w:spacing w:val="-1"/>
          <w:vertAlign w:val="baseline"/>
        </w:rPr>
        <w:t> </w:t>
      </w:r>
      <w:r>
        <w:rPr>
          <w:vertAlign w:val="baseline"/>
        </w:rPr>
        <w:t>steroids,</w:t>
      </w:r>
      <w:r>
        <w:rPr>
          <w:spacing w:val="-1"/>
          <w:vertAlign w:val="baseline"/>
        </w:rPr>
        <w:t> </w:t>
      </w:r>
      <w:r>
        <w:rPr>
          <w:vertAlign w:val="baseline"/>
        </w:rPr>
        <w:t>tannins</w:t>
      </w:r>
      <w:r>
        <w:rPr>
          <w:spacing w:val="-1"/>
          <w:vertAlign w:val="baseline"/>
        </w:rPr>
        <w:t> </w:t>
      </w:r>
      <w:r>
        <w:rPr>
          <w:vertAlign w:val="baseline"/>
        </w:rPr>
        <w:t>and</w:t>
      </w:r>
      <w:r>
        <w:rPr>
          <w:spacing w:val="-1"/>
          <w:vertAlign w:val="baseline"/>
        </w:rPr>
        <w:t> </w:t>
      </w:r>
      <w:r>
        <w:rPr>
          <w:vertAlign w:val="baseline"/>
        </w:rPr>
        <w:t>terpenoids. The</w:t>
      </w:r>
      <w:r>
        <w:rPr>
          <w:spacing w:val="-3"/>
          <w:vertAlign w:val="baseline"/>
        </w:rPr>
        <w:t> </w:t>
      </w:r>
      <w:r>
        <w:rPr>
          <w:vertAlign w:val="baseline"/>
        </w:rPr>
        <w:t>study</w:t>
      </w:r>
      <w:r>
        <w:rPr>
          <w:spacing w:val="-6"/>
          <w:vertAlign w:val="baseline"/>
        </w:rPr>
        <w:t> </w:t>
      </w:r>
      <w:r>
        <w:rPr>
          <w:vertAlign w:val="baseline"/>
        </w:rPr>
        <w:t>showed</w:t>
      </w:r>
      <w:r>
        <w:rPr>
          <w:spacing w:val="-1"/>
          <w:vertAlign w:val="baseline"/>
        </w:rPr>
        <w:t> </w:t>
      </w:r>
      <w:r>
        <w:rPr>
          <w:vertAlign w:val="baseline"/>
        </w:rPr>
        <w:t>dose</w:t>
      </w:r>
      <w:r>
        <w:rPr>
          <w:spacing w:val="-2"/>
          <w:vertAlign w:val="baseline"/>
        </w:rPr>
        <w:t> </w:t>
      </w:r>
      <w:r>
        <w:rPr>
          <w:vertAlign w:val="baseline"/>
        </w:rPr>
        <w:t>dependent</w:t>
      </w:r>
      <w:r>
        <w:rPr>
          <w:spacing w:val="-1"/>
          <w:vertAlign w:val="baseline"/>
        </w:rPr>
        <w:t> </w:t>
      </w:r>
      <w:r>
        <w:rPr>
          <w:vertAlign w:val="baseline"/>
        </w:rPr>
        <w:t>increase</w:t>
      </w:r>
      <w:r>
        <w:rPr>
          <w:spacing w:val="-2"/>
          <w:vertAlign w:val="baseline"/>
        </w:rPr>
        <w:t> </w:t>
      </w:r>
      <w:r>
        <w:rPr>
          <w:vertAlign w:val="baseline"/>
        </w:rPr>
        <w:t>in WBC and neutrophil of the extract pretreated groups compared with the control group. Cyclophosphamide significantly reduced the WBC, RBC, HCT, HGB and ANC both in control and treated group. The extract protected all the pretreated mice up to 72 hr and beyond. The oedema at 24 hours was significantly higher in extract pretreated groups with 100 mg/kg having the highest response (p&lt;0.001) that increased progressively to</w:t>
      </w:r>
      <w:r>
        <w:rPr>
          <w:spacing w:val="40"/>
          <w:vertAlign w:val="baseline"/>
        </w:rPr>
        <w:t> </w:t>
      </w:r>
      <w:r>
        <w:rPr>
          <w:vertAlign w:val="baseline"/>
        </w:rPr>
        <w:t>24 hours. The extract was susceptible to all the tested organisms. Consequent upon</w:t>
      </w:r>
      <w:r>
        <w:rPr>
          <w:spacing w:val="80"/>
          <w:vertAlign w:val="baseline"/>
        </w:rPr>
        <w:t> </w:t>
      </w:r>
      <w:r>
        <w:rPr>
          <w:vertAlign w:val="baseline"/>
        </w:rPr>
        <w:t>these activities above, it can then be concluded that aqueous ethanol leaf extract of </w:t>
      </w:r>
      <w:r>
        <w:rPr>
          <w:i/>
          <w:vertAlign w:val="baseline"/>
        </w:rPr>
        <w:t>C. micranthum </w:t>
      </w:r>
      <w:r>
        <w:rPr>
          <w:vertAlign w:val="baseline"/>
        </w:rPr>
        <w:t>contains biological potent active principle which may be beneficial in cellular mediated immune disease conditions.</w:t>
      </w:r>
    </w:p>
    <w:p>
      <w:pPr>
        <w:spacing w:after="0" w:line="480" w:lineRule="auto"/>
        <w:jc w:val="both"/>
        <w:sectPr>
          <w:pgSz w:w="11910" w:h="16840"/>
          <w:pgMar w:header="0" w:footer="981" w:top="1320" w:bottom="1180" w:left="1240" w:right="560"/>
        </w:sectPr>
      </w:pPr>
    </w:p>
    <w:p>
      <w:pPr>
        <w:pStyle w:val="Heading1"/>
        <w:spacing w:before="72"/>
        <w:ind w:left="4228"/>
        <w:jc w:val="left"/>
      </w:pPr>
      <w:bookmarkStart w:name="_TOC_250018" w:id="5"/>
      <w:r>
        <w:rPr/>
        <w:t>TABLE OF</w:t>
      </w:r>
      <w:r>
        <w:rPr>
          <w:spacing w:val="-3"/>
        </w:rPr>
        <w:t> </w:t>
      </w:r>
      <w:bookmarkEnd w:id="5"/>
      <w:r>
        <w:rPr>
          <w:spacing w:val="-2"/>
        </w:rPr>
        <w:t>CONTENTS</w:t>
      </w:r>
    </w:p>
    <w:p>
      <w:pPr>
        <w:pStyle w:val="BodyText"/>
        <w:spacing w:before="199"/>
        <w:rPr>
          <w:b/>
        </w:rPr>
      </w:pPr>
    </w:p>
    <w:p>
      <w:pPr>
        <w:pStyle w:val="Heading2"/>
        <w:tabs>
          <w:tab w:pos="8057" w:val="left" w:leader="none"/>
        </w:tabs>
        <w:ind w:left="747" w:firstLine="0"/>
      </w:pPr>
      <w:r>
        <w:rPr>
          <w:spacing w:val="-2"/>
        </w:rPr>
        <w:t>CONTENT</w:t>
      </w:r>
      <w:r>
        <w:rPr/>
        <w:tab/>
      </w:r>
      <w:r>
        <w:rPr>
          <w:spacing w:val="-4"/>
        </w:rPr>
        <w:t>Page</w:t>
      </w:r>
    </w:p>
    <w:p>
      <w:pPr>
        <w:pStyle w:val="BodyText"/>
        <w:spacing w:before="197"/>
        <w:rPr>
          <w:b/>
        </w:rPr>
      </w:pPr>
    </w:p>
    <w:p>
      <w:pPr>
        <w:pStyle w:val="BodyText"/>
        <w:tabs>
          <w:tab w:pos="2188"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ind w:left="747"/>
      </w:pPr>
      <w:r>
        <w:rPr/>
        <w:t>Title</w:t>
      </w:r>
      <w:r>
        <w:rPr>
          <w:spacing w:val="-3"/>
        </w:rPr>
        <w:t> </w:t>
      </w:r>
      <w:r>
        <w:rPr>
          <w:spacing w:val="-4"/>
        </w:rPr>
        <w:t>Page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10"/>
        </w:rPr>
        <w:t>i</w:t>
      </w:r>
    </w:p>
    <w:p>
      <w:pPr>
        <w:spacing w:after="0"/>
        <w:sectPr>
          <w:pgSz w:w="11910" w:h="16840"/>
          <w:pgMar w:header="0" w:footer="981" w:top="1320" w:bottom="1519" w:left="1240" w:right="560"/>
        </w:sectPr>
      </w:pPr>
    </w:p>
    <w:sdt>
      <w:sdtPr>
        <w:docPartObj>
          <w:docPartGallery w:val="Table of Contents"/>
          <w:docPartUnique/>
        </w:docPartObj>
      </w:sdtPr>
      <w:sdtEndPr/>
      <w:sdtContent>
        <w:p>
          <w:pPr>
            <w:pStyle w:val="TOC3"/>
            <w:tabs>
              <w:tab w:pos="2188"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702" w:val="right" w:leader="none"/>
            </w:tabs>
            <w:ind w:left="747" w:firstLine="0"/>
          </w:pPr>
          <w:hyperlink w:history="true" w:anchor="_TOC_250022">
            <w:r>
              <w:rPr>
                <w:spacing w:val="-2"/>
              </w:rPr>
              <w:t>Declaration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ii</w:t>
            </w:r>
          </w:hyperlink>
        </w:p>
        <w:p>
          <w:pPr>
            <w:pStyle w:val="TOC3"/>
            <w:tabs>
              <w:tab w:pos="2188"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769" w:val="right" w:leader="none"/>
            </w:tabs>
            <w:spacing w:before="476"/>
            <w:ind w:left="747" w:firstLine="0"/>
          </w:pPr>
          <w:hyperlink w:history="true" w:anchor="_TOC_250021">
            <w:r>
              <w:rPr>
                <w:spacing w:val="-2"/>
              </w:rPr>
              <w:t>Certification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iii</w:t>
            </w:r>
          </w:hyperlink>
        </w:p>
        <w:p>
          <w:pPr>
            <w:pStyle w:val="TOC3"/>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755" w:val="right" w:leader="none"/>
            </w:tabs>
            <w:ind w:left="747" w:firstLine="0"/>
          </w:pPr>
          <w:hyperlink w:history="true" w:anchor="_TOC_250020">
            <w:r>
              <w:rPr>
                <w:spacing w:val="-2"/>
              </w:rPr>
              <w:t>Acknowledgement</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iv</w:t>
            </w:r>
          </w:hyperlink>
        </w:p>
        <w:p>
          <w:pPr>
            <w:pStyle w:val="TOC3"/>
            <w:tabs>
              <w:tab w:pos="8647" w:val="right" w:leader="hyphen"/>
            </w:tabs>
            <w:spacing w:before="478"/>
            <w:ind w:left="747" w:firstLine="0"/>
          </w:pPr>
          <w:hyperlink w:history="true" w:anchor="_TOC_250019">
            <w:r>
              <w:rPr>
                <w:spacing w:val="-2"/>
              </w:rPr>
              <w:t>Abstract</w:t>
            </w:r>
            <w:r>
              <w:rPr/>
              <w:tab/>
            </w:r>
            <w:r>
              <w:rPr>
                <w:spacing w:val="-10"/>
              </w:rPr>
              <w:t>v</w:t>
            </w:r>
          </w:hyperlink>
        </w:p>
        <w:p>
          <w:pPr>
            <w:pStyle w:val="TOC3"/>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763" w:val="right" w:leader="none"/>
            </w:tabs>
            <w:ind w:left="747" w:firstLine="0"/>
          </w:pPr>
          <w:hyperlink w:history="true" w:anchor="_TOC_250018">
            <w:r>
              <w:rPr/>
              <w:t>Table</w:t>
            </w:r>
            <w:r>
              <w:rPr>
                <w:spacing w:val="-4"/>
              </w:rPr>
              <w:t> </w:t>
            </w:r>
            <w:r>
              <w:rPr/>
              <w:t>of</w:t>
            </w:r>
            <w:r>
              <w:rPr>
                <w:spacing w:val="-2"/>
              </w:rPr>
              <w:t> Contents</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vii</w:t>
            </w:r>
          </w:hyperlink>
        </w:p>
        <w:p>
          <w:pPr>
            <w:pStyle w:val="TOC3"/>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765" w:val="right" w:leader="none"/>
            </w:tabs>
            <w:ind w:left="747" w:firstLine="0"/>
          </w:pPr>
          <w:hyperlink w:history="true" w:anchor="_TOC_250017">
            <w:r>
              <w:rPr/>
              <w:t>List</w:t>
            </w:r>
            <w:r>
              <w:rPr>
                <w:spacing w:val="-2"/>
              </w:rPr>
              <w:t> </w:t>
            </w:r>
            <w:r>
              <w:rPr/>
              <w:t>of</w:t>
            </w:r>
            <w:r>
              <w:rPr>
                <w:spacing w:val="-1"/>
              </w:rPr>
              <w:t> </w:t>
            </w:r>
            <w:r>
              <w:rPr/>
              <w:t>Tables</w:t>
            </w:r>
            <w:r>
              <w:rPr>
                <w:spacing w:val="4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xii</w:t>
            </w:r>
          </w:hyperlink>
        </w:p>
        <w:p>
          <w:pPr>
            <w:pStyle w:val="TOC3"/>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832" w:val="right" w:leader="none"/>
            </w:tabs>
            <w:spacing w:before="478"/>
            <w:ind w:left="747" w:firstLine="0"/>
          </w:pPr>
          <w:hyperlink w:history="true" w:anchor="_TOC_250016">
            <w:r>
              <w:rPr/>
              <w:t>List</w:t>
            </w:r>
            <w:r>
              <w:rPr>
                <w:spacing w:val="-2"/>
              </w:rPr>
              <w:t> </w:t>
            </w:r>
            <w:r>
              <w:rPr/>
              <w:t>of</w:t>
            </w:r>
            <w:r>
              <w:rPr>
                <w:spacing w:val="-1"/>
              </w:rPr>
              <w:t> </w:t>
            </w:r>
            <w:r>
              <w:rPr/>
              <w:t>Plates-</w:t>
            </w:r>
            <w:r>
              <w:rPr>
                <w:spacing w:val="34"/>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4"/>
              </w:rPr>
              <w:t>xiii</w:t>
            </w:r>
          </w:hyperlink>
        </w:p>
        <w:p>
          <w:pPr>
            <w:pStyle w:val="TOC3"/>
            <w:tabs>
              <w:tab w:pos="2908" w:val="left" w:leader="none"/>
              <w:tab w:pos="3628" w:val="left" w:leader="none"/>
              <w:tab w:pos="4348" w:val="left" w:leader="none"/>
              <w:tab w:pos="5068" w:val="left" w:leader="none"/>
              <w:tab w:pos="5788" w:val="left" w:leader="none"/>
              <w:tab w:pos="6509" w:val="left" w:leader="none"/>
              <w:tab w:pos="7229" w:val="left" w:leader="none"/>
              <w:tab w:pos="7968" w:val="left" w:leader="none"/>
              <w:tab w:pos="8776" w:val="right" w:leader="none"/>
            </w:tabs>
            <w:spacing w:before="476"/>
            <w:ind w:left="747" w:firstLine="0"/>
          </w:pPr>
          <w:r>
            <w:rPr/>
            <w:t>List</w:t>
          </w:r>
          <w:r>
            <w:rPr>
              <w:spacing w:val="-2"/>
            </w:rPr>
            <w:t> </w:t>
          </w:r>
          <w:r>
            <w:rPr/>
            <w:t>of</w:t>
          </w:r>
          <w:r>
            <w:rPr>
              <w:spacing w:val="-1"/>
            </w:rPr>
            <w:t> </w:t>
          </w:r>
          <w:r>
            <w:rPr>
              <w:spacing w:val="-2"/>
            </w:rPr>
            <w:t>Appendices</w:t>
          </w:r>
          <w:r>
            <w:rPr/>
            <w:tab/>
          </w:r>
          <w:r>
            <w:rPr>
              <w:spacing w:val="-10"/>
            </w:rPr>
            <w:t>-</w:t>
          </w:r>
          <w:r>
            <w:rPr/>
            <w:tab/>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xiv</w:t>
          </w:r>
        </w:p>
        <w:p>
          <w:pPr>
            <w:pStyle w:val="TOC4"/>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753" w:val="right" w:leader="none"/>
            </w:tabs>
            <w:ind w:left="747" w:firstLine="0"/>
            <w:rPr>
              <w:b w:val="0"/>
              <w:i w:val="0"/>
              <w:sz w:val="24"/>
            </w:rPr>
          </w:pPr>
          <w:hyperlink w:history="true" w:anchor="_TOC_250015">
            <w:r>
              <w:rPr>
                <w:b w:val="0"/>
                <w:i w:val="0"/>
                <w:sz w:val="24"/>
              </w:rPr>
              <w:t>Abbreviations</w:t>
            </w:r>
            <w:r>
              <w:rPr>
                <w:b w:val="0"/>
                <w:i w:val="0"/>
                <w:spacing w:val="17"/>
                <w:sz w:val="24"/>
              </w:rPr>
              <w:t> </w:t>
            </w:r>
            <w:r>
              <w:rPr>
                <w:i w:val="0"/>
                <w:spacing w:val="-10"/>
                <w:sz w:val="24"/>
              </w:rPr>
              <w:t>-</w:t>
            </w:r>
            <w:r>
              <w:rPr>
                <w:i w:val="0"/>
                <w:sz w:val="24"/>
              </w:rPr>
              <w:tab/>
            </w:r>
            <w:r>
              <w:rPr>
                <w:i w:val="0"/>
                <w:spacing w:val="-10"/>
                <w:sz w:val="24"/>
              </w:rPr>
              <w:t>-</w:t>
            </w:r>
            <w:r>
              <w:rPr>
                <w:i w:val="0"/>
                <w:sz w:val="24"/>
              </w:rPr>
              <w:tab/>
            </w:r>
            <w:r>
              <w:rPr>
                <w:i w:val="0"/>
                <w:spacing w:val="-10"/>
                <w:sz w:val="24"/>
              </w:rPr>
              <w:t>-</w:t>
            </w:r>
            <w:r>
              <w:rPr>
                <w:i w:val="0"/>
                <w:sz w:val="24"/>
              </w:rPr>
              <w:tab/>
            </w:r>
            <w:r>
              <w:rPr>
                <w:i w:val="0"/>
                <w:spacing w:val="-10"/>
                <w:sz w:val="24"/>
              </w:rPr>
              <w:t>-</w:t>
            </w:r>
            <w:r>
              <w:rPr>
                <w:i w:val="0"/>
                <w:sz w:val="24"/>
              </w:rPr>
              <w:tab/>
            </w:r>
            <w:r>
              <w:rPr>
                <w:i w:val="0"/>
                <w:spacing w:val="-10"/>
                <w:sz w:val="24"/>
              </w:rPr>
              <w:t>-</w:t>
            </w:r>
            <w:r>
              <w:rPr>
                <w:i w:val="0"/>
                <w:sz w:val="24"/>
              </w:rPr>
              <w:tab/>
            </w:r>
            <w:r>
              <w:rPr>
                <w:i w:val="0"/>
                <w:spacing w:val="-12"/>
                <w:sz w:val="24"/>
              </w:rPr>
              <w:t>-</w:t>
            </w:r>
            <w:r>
              <w:rPr>
                <w:i w:val="0"/>
                <w:sz w:val="24"/>
              </w:rPr>
              <w:tab/>
            </w:r>
            <w:r>
              <w:rPr>
                <w:i w:val="0"/>
                <w:spacing w:val="-10"/>
                <w:sz w:val="24"/>
              </w:rPr>
              <w:t>-</w:t>
            </w:r>
            <w:r>
              <w:rPr>
                <w:i w:val="0"/>
                <w:sz w:val="24"/>
              </w:rPr>
              <w:tab/>
            </w:r>
            <w:r>
              <w:rPr>
                <w:i w:val="0"/>
                <w:spacing w:val="-10"/>
                <w:sz w:val="24"/>
              </w:rPr>
              <w:t>-</w:t>
            </w:r>
            <w:r>
              <w:rPr>
                <w:i w:val="0"/>
                <w:sz w:val="24"/>
              </w:rPr>
              <w:tab/>
            </w:r>
            <w:r>
              <w:rPr>
                <w:i w:val="0"/>
                <w:spacing w:val="-10"/>
                <w:sz w:val="24"/>
              </w:rPr>
              <w:t>-</w:t>
            </w:r>
            <w:r>
              <w:rPr>
                <w:i w:val="0"/>
                <w:sz w:val="24"/>
              </w:rPr>
              <w:tab/>
            </w:r>
            <w:r>
              <w:rPr>
                <w:b w:val="0"/>
                <w:i w:val="0"/>
                <w:spacing w:val="-5"/>
                <w:sz w:val="24"/>
              </w:rPr>
              <w:t>xv</w:t>
            </w:r>
          </w:hyperlink>
        </w:p>
        <w:p>
          <w:pPr>
            <w:pStyle w:val="TOC1"/>
            <w:spacing w:before="482"/>
            <w:ind w:right="376"/>
          </w:pPr>
          <w:hyperlink w:history="true" w:anchor="_TOC_250014">
            <w:r>
              <w:rPr/>
              <w:t>CHAPTER</w:t>
            </w:r>
            <w:r>
              <w:rPr>
                <w:spacing w:val="-4"/>
              </w:rPr>
              <w:t> </w:t>
            </w:r>
            <w:r>
              <w:rPr>
                <w:spacing w:val="-5"/>
              </w:rPr>
              <w:t>ONE</w:t>
            </w:r>
          </w:hyperlink>
        </w:p>
        <w:p>
          <w:pPr>
            <w:pStyle w:val="TOC2"/>
            <w:numPr>
              <w:ilvl w:val="1"/>
              <w:numId w:val="1"/>
            </w:numPr>
            <w:tabs>
              <w:tab w:pos="1467" w:val="left" w:leader="none"/>
            </w:tabs>
            <w:spacing w:line="240" w:lineRule="auto" w:before="476" w:after="0"/>
            <w:ind w:left="1467" w:right="0" w:hanging="720"/>
            <w:jc w:val="left"/>
          </w:pPr>
          <w:hyperlink w:history="true" w:anchor="_TOC_250013">
            <w:r>
              <w:rPr>
                <w:spacing w:val="-2"/>
              </w:rPr>
              <w:t>INTRODUCTION</w:t>
            </w:r>
          </w:hyperlink>
        </w:p>
        <w:p>
          <w:pPr>
            <w:pStyle w:val="TOC2"/>
            <w:numPr>
              <w:ilvl w:val="1"/>
              <w:numId w:val="1"/>
            </w:numPr>
            <w:tabs>
              <w:tab w:pos="1467" w:val="left" w:leader="none"/>
            </w:tabs>
            <w:spacing w:line="240" w:lineRule="auto" w:before="473" w:after="0"/>
            <w:ind w:left="1467" w:right="0" w:hanging="720"/>
            <w:jc w:val="left"/>
          </w:pPr>
          <w:r>
            <w:rPr/>
            <w:t>Systemic</w:t>
          </w:r>
          <w:r>
            <w:rPr>
              <w:spacing w:val="-4"/>
            </w:rPr>
            <w:t> </w:t>
          </w:r>
          <w:r>
            <w:rPr/>
            <w:t>Responses</w:t>
          </w:r>
          <w:r>
            <w:rPr>
              <w:spacing w:val="-3"/>
            </w:rPr>
            <w:t> </w:t>
          </w:r>
          <w:r>
            <w:rPr/>
            <w:t>in</w:t>
          </w:r>
          <w:r>
            <w:rPr>
              <w:spacing w:val="-2"/>
            </w:rPr>
            <w:t> </w:t>
          </w:r>
          <w:r>
            <w:rPr/>
            <w:t>Immunosuppression</w:t>
          </w:r>
          <w:r>
            <w:rPr>
              <w:spacing w:val="-3"/>
            </w:rPr>
            <w:t> </w:t>
          </w:r>
          <w:r>
            <w:rPr/>
            <w:t>from </w:t>
          </w:r>
          <w:r>
            <w:rPr>
              <w:spacing w:val="-2"/>
            </w:rPr>
            <w:t>Microbial</w:t>
          </w:r>
        </w:p>
        <w:p>
          <w:pPr>
            <w:pStyle w:val="TOC5"/>
            <w:tabs>
              <w:tab w:pos="7229" w:val="left" w:leader="none"/>
              <w:tab w:pos="7949" w:val="left" w:leader="none"/>
              <w:tab w:pos="8789" w:val="right" w:leader="none"/>
            </w:tabs>
          </w:pPr>
          <w:r>
            <w:rPr/>
            <w:t>Infections,</w:t>
          </w:r>
          <w:r>
            <w:rPr>
              <w:spacing w:val="-1"/>
            </w:rPr>
            <w:t> </w:t>
          </w:r>
          <w:r>
            <w:rPr/>
            <w:t>Drug</w:t>
          </w:r>
          <w:r>
            <w:rPr>
              <w:spacing w:val="-1"/>
            </w:rPr>
            <w:t> </w:t>
          </w:r>
          <w:r>
            <w:rPr/>
            <w:t>Therapy</w:t>
          </w:r>
          <w:r>
            <w:rPr>
              <w:spacing w:val="-1"/>
            </w:rPr>
            <w:t> </w:t>
          </w:r>
          <w:r>
            <w:rPr/>
            <w:t>and</w:t>
          </w:r>
          <w:r>
            <w:rPr>
              <w:spacing w:val="-1"/>
            </w:rPr>
            <w:t> </w:t>
          </w:r>
          <w:r>
            <w:rPr/>
            <w:t>Disease </w:t>
          </w:r>
          <w:r>
            <w:rPr>
              <w:spacing w:val="-2"/>
            </w:rPr>
            <w:t>Conditions</w:t>
          </w:r>
          <w:r>
            <w:rPr/>
            <w:tab/>
          </w:r>
          <w:r>
            <w:rPr>
              <w:spacing w:val="-10"/>
            </w:rPr>
            <w:t>-</w:t>
          </w:r>
          <w:r>
            <w:rPr/>
            <w:tab/>
          </w:r>
          <w:r>
            <w:rPr>
              <w:spacing w:val="-10"/>
            </w:rPr>
            <w:t>-</w:t>
          </w:r>
          <w:r>
            <w:rPr/>
            <w:tab/>
          </w:r>
          <w:r>
            <w:rPr>
              <w:spacing w:val="-10"/>
            </w:rPr>
            <w:t>1</w:t>
          </w:r>
        </w:p>
        <w:p>
          <w:pPr>
            <w:pStyle w:val="TOC2"/>
            <w:numPr>
              <w:ilvl w:val="1"/>
              <w:numId w:val="1"/>
            </w:numPr>
            <w:tabs>
              <w:tab w:pos="1467" w:val="left" w:leader="none"/>
              <w:tab w:pos="5068" w:val="left" w:leader="none"/>
              <w:tab w:pos="5788" w:val="left" w:leader="none"/>
              <w:tab w:pos="6509" w:val="left" w:leader="none"/>
              <w:tab w:pos="7229" w:val="left" w:leader="none"/>
              <w:tab w:pos="7949" w:val="left" w:leader="none"/>
              <w:tab w:pos="8789" w:val="right" w:leader="none"/>
            </w:tabs>
            <w:spacing w:line="240" w:lineRule="auto" w:before="278" w:after="0"/>
            <w:ind w:left="1467" w:right="0" w:hanging="720"/>
            <w:jc w:val="left"/>
          </w:pPr>
          <w:hyperlink w:history="true" w:anchor="_TOC_250012">
            <w:r>
              <w:rPr/>
              <w:t>Statement</w:t>
            </w:r>
            <w:r>
              <w:rPr>
                <w:spacing w:val="-3"/>
              </w:rPr>
              <w:t> </w:t>
            </w:r>
            <w:r>
              <w:rPr/>
              <w:t>of</w:t>
            </w:r>
            <w:r>
              <w:rPr>
                <w:spacing w:val="-3"/>
              </w:rPr>
              <w:t> </w:t>
            </w:r>
            <w:r>
              <w:rPr/>
              <w:t>Research</w:t>
            </w:r>
            <w:r>
              <w:rPr>
                <w:spacing w:val="-1"/>
              </w:rPr>
              <w:t> </w:t>
            </w:r>
            <w:r>
              <w:rPr>
                <w:spacing w:val="-2"/>
              </w:rPr>
              <w:t>Problem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5</w:t>
            </w:r>
          </w:hyperlink>
        </w:p>
        <w:p>
          <w:pPr>
            <w:pStyle w:val="TOC2"/>
            <w:numPr>
              <w:ilvl w:val="1"/>
              <w:numId w:val="1"/>
            </w:numPr>
            <w:tabs>
              <w:tab w:pos="1467" w:val="left" w:leader="none"/>
              <w:tab w:pos="4348" w:val="left" w:leader="none"/>
              <w:tab w:pos="5068" w:val="left" w:leader="none"/>
              <w:tab w:pos="5788" w:val="left" w:leader="none"/>
              <w:tab w:pos="6509" w:val="left" w:leader="none"/>
              <w:tab w:pos="7229" w:val="left" w:leader="none"/>
              <w:tab w:pos="7949" w:val="left" w:leader="none"/>
              <w:tab w:pos="8789" w:val="right" w:leader="none"/>
            </w:tabs>
            <w:spacing w:line="240" w:lineRule="auto" w:before="478" w:after="0"/>
            <w:ind w:left="1467" w:right="0" w:hanging="720"/>
            <w:jc w:val="left"/>
          </w:pPr>
          <w:hyperlink w:history="true" w:anchor="_TOC_250011">
            <w:r>
              <w:rPr/>
              <w:t>Justification</w:t>
            </w:r>
            <w:r>
              <w:rPr>
                <w:spacing w:val="-1"/>
              </w:rPr>
              <w:t> </w:t>
            </w:r>
            <w:r>
              <w:rPr/>
              <w:t>of</w:t>
            </w:r>
            <w:r>
              <w:rPr>
                <w:spacing w:val="-1"/>
              </w:rPr>
              <w:t> </w:t>
            </w:r>
            <w:r>
              <w:rPr/>
              <w:t>the</w:t>
            </w:r>
            <w:r>
              <w:rPr>
                <w:spacing w:val="-2"/>
              </w:rPr>
              <w:t> 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6</w:t>
            </w:r>
          </w:hyperlink>
        </w:p>
        <w:p>
          <w:pPr>
            <w:pStyle w:val="TOC2"/>
            <w:numPr>
              <w:ilvl w:val="1"/>
              <w:numId w:val="1"/>
            </w:numPr>
            <w:tabs>
              <w:tab w:pos="1467" w:val="left" w:leader="none"/>
              <w:tab w:pos="5068" w:val="left" w:leader="none"/>
              <w:tab w:pos="5788" w:val="left" w:leader="none"/>
              <w:tab w:pos="6509" w:val="left" w:leader="none"/>
              <w:tab w:pos="7229" w:val="left" w:leader="none"/>
              <w:tab w:pos="7949" w:val="left" w:leader="none"/>
              <w:tab w:pos="8789" w:val="right" w:leader="none"/>
            </w:tabs>
            <w:spacing w:line="240" w:lineRule="auto" w:before="475" w:after="0"/>
            <w:ind w:left="1467" w:right="0" w:hanging="720"/>
            <w:jc w:val="left"/>
          </w:pPr>
          <w:r>
            <w:rPr/>
            <w:t>Aim</w:t>
          </w:r>
          <w:r>
            <w:rPr>
              <w:spacing w:val="-5"/>
            </w:rPr>
            <w:t> </w:t>
          </w:r>
          <w:r>
            <w:rPr/>
            <w:t>and Objective</w:t>
          </w:r>
          <w:r>
            <w:rPr>
              <w:spacing w:val="-1"/>
            </w:rPr>
            <w:t> </w:t>
          </w:r>
          <w:r>
            <w:rPr/>
            <w:t>of</w:t>
          </w:r>
          <w:r>
            <w:rPr>
              <w:spacing w:val="1"/>
            </w:rPr>
            <w:t> </w:t>
          </w:r>
          <w:r>
            <w:rPr/>
            <w:t>the</w:t>
          </w:r>
          <w:r>
            <w:rPr>
              <w:spacing w:val="-1"/>
            </w:rPr>
            <w:t> </w:t>
          </w:r>
          <w:r>
            <w:rPr>
              <w:spacing w:val="-2"/>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7</w:t>
          </w:r>
        </w:p>
        <w:p>
          <w:pPr>
            <w:pStyle w:val="TOC2"/>
            <w:numPr>
              <w:ilvl w:val="1"/>
              <w:numId w:val="1"/>
            </w:numPr>
            <w:tabs>
              <w:tab w:pos="1467" w:val="left" w:leader="none"/>
              <w:tab w:pos="4348" w:val="left" w:leader="none"/>
              <w:tab w:pos="5068" w:val="left" w:leader="none"/>
              <w:tab w:pos="5788" w:val="left" w:leader="none"/>
              <w:tab w:pos="6509" w:val="left" w:leader="none"/>
              <w:tab w:pos="7229" w:val="left" w:leader="none"/>
              <w:tab w:pos="7949" w:val="left" w:leader="none"/>
              <w:tab w:pos="8789" w:val="right" w:leader="none"/>
            </w:tabs>
            <w:spacing w:line="240" w:lineRule="auto" w:before="476" w:after="20"/>
            <w:ind w:left="1467" w:right="0" w:hanging="720"/>
            <w:jc w:val="left"/>
          </w:pPr>
          <w:r>
            <w:rPr/>
            <w:t>Research</w:t>
          </w:r>
          <w:r>
            <w:rPr>
              <w:spacing w:val="-3"/>
            </w:rPr>
            <w:t> </w:t>
          </w:r>
          <w:r>
            <w:rPr>
              <w:spacing w:val="-2"/>
            </w:rPr>
            <w:t>Hypothesis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8</w:t>
          </w:r>
        </w:p>
        <w:p>
          <w:pPr>
            <w:pStyle w:val="TOC1"/>
            <w:ind w:left="50"/>
          </w:pPr>
          <w:hyperlink w:history="true" w:anchor="_TOC_250010">
            <w:r>
              <w:rPr/>
              <w:t>CHAPTER</w:t>
            </w:r>
            <w:r>
              <w:rPr>
                <w:spacing w:val="-4"/>
              </w:rPr>
              <w:t> </w:t>
            </w:r>
            <w:r>
              <w:rPr>
                <w:spacing w:val="-5"/>
              </w:rPr>
              <w:t>TWO</w:t>
            </w:r>
          </w:hyperlink>
        </w:p>
        <w:p>
          <w:pPr>
            <w:pStyle w:val="TOC2"/>
            <w:numPr>
              <w:ilvl w:val="1"/>
              <w:numId w:val="2"/>
            </w:numPr>
            <w:tabs>
              <w:tab w:pos="1467" w:val="left" w:leader="none"/>
              <w:tab w:pos="4348" w:val="left" w:leader="none"/>
              <w:tab w:pos="5068" w:val="left" w:leader="none"/>
              <w:tab w:pos="5788" w:val="left" w:leader="none"/>
              <w:tab w:pos="6509" w:val="left" w:leader="none"/>
              <w:tab w:pos="7229" w:val="left" w:leader="none"/>
              <w:tab w:pos="7949" w:val="left" w:leader="none"/>
              <w:tab w:pos="8628" w:val="left" w:leader="none"/>
            </w:tabs>
            <w:spacing w:line="240" w:lineRule="auto" w:before="475" w:after="0"/>
            <w:ind w:left="1467" w:right="0" w:hanging="720"/>
            <w:jc w:val="left"/>
          </w:pPr>
          <w:hyperlink w:history="true" w:anchor="_TOC_250009">
            <w:r>
              <w:rPr/>
              <w:t>LITERATURE</w:t>
            </w:r>
            <w:r>
              <w:rPr>
                <w:spacing w:val="-2"/>
              </w:rPr>
              <w:t> REVIEW</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9</w:t>
            </w:r>
          </w:hyperlink>
        </w:p>
        <w:p>
          <w:pPr>
            <w:pStyle w:val="TOC4"/>
            <w:numPr>
              <w:ilvl w:val="1"/>
              <w:numId w:val="2"/>
            </w:numPr>
            <w:tabs>
              <w:tab w:pos="1467" w:val="left" w:leader="none"/>
              <w:tab w:pos="7949" w:val="left" w:leader="none"/>
              <w:tab w:pos="8628" w:val="left" w:leader="none"/>
            </w:tabs>
            <w:spacing w:line="240" w:lineRule="auto" w:before="478" w:after="0"/>
            <w:ind w:left="1467" w:right="0" w:hanging="720"/>
            <w:jc w:val="left"/>
            <w:rPr>
              <w:i w:val="0"/>
              <w:sz w:val="24"/>
            </w:rPr>
          </w:pPr>
          <w:r>
            <w:rPr>
              <w:i w:val="0"/>
              <w:sz w:val="24"/>
            </w:rPr>
            <w:t>History</w:t>
          </w:r>
          <w:r>
            <w:rPr>
              <w:i w:val="0"/>
              <w:spacing w:val="-2"/>
              <w:sz w:val="24"/>
            </w:rPr>
            <w:t> </w:t>
          </w:r>
          <w:r>
            <w:rPr>
              <w:i w:val="0"/>
              <w:sz w:val="24"/>
            </w:rPr>
            <w:t>and</w:t>
          </w:r>
          <w:r>
            <w:rPr>
              <w:i w:val="0"/>
              <w:spacing w:val="-1"/>
              <w:sz w:val="24"/>
            </w:rPr>
            <w:t> </w:t>
          </w:r>
          <w:r>
            <w:rPr>
              <w:i w:val="0"/>
              <w:sz w:val="24"/>
            </w:rPr>
            <w:t>description</w:t>
          </w:r>
          <w:r>
            <w:rPr>
              <w:i w:val="0"/>
              <w:spacing w:val="-4"/>
              <w:sz w:val="24"/>
            </w:rPr>
            <w:t> </w:t>
          </w:r>
          <w:r>
            <w:rPr>
              <w:i w:val="0"/>
              <w:sz w:val="24"/>
            </w:rPr>
            <w:t>of</w:t>
          </w:r>
          <w:r>
            <w:rPr>
              <w:i w:val="0"/>
              <w:spacing w:val="2"/>
              <w:sz w:val="24"/>
            </w:rPr>
            <w:t> </w:t>
          </w:r>
          <w:r>
            <w:rPr>
              <w:sz w:val="24"/>
            </w:rPr>
            <w:t>Combretum</w:t>
          </w:r>
          <w:r>
            <w:rPr>
              <w:spacing w:val="-4"/>
              <w:sz w:val="24"/>
            </w:rPr>
            <w:t> </w:t>
          </w:r>
          <w:r>
            <w:rPr>
              <w:sz w:val="24"/>
            </w:rPr>
            <w:t>micranthum</w:t>
          </w:r>
          <w:r>
            <w:rPr>
              <w:spacing w:val="3"/>
              <w:sz w:val="24"/>
            </w:rPr>
            <w:t> </w:t>
          </w:r>
          <w:r>
            <w:rPr>
              <w:i w:val="0"/>
              <w:spacing w:val="-2"/>
              <w:sz w:val="24"/>
            </w:rPr>
            <w:t>plant</w:t>
          </w:r>
          <w:r>
            <w:rPr>
              <w:i w:val="0"/>
              <w:sz w:val="24"/>
            </w:rPr>
            <w:tab/>
          </w:r>
          <w:r>
            <w:rPr>
              <w:i w:val="0"/>
              <w:spacing w:val="-10"/>
              <w:sz w:val="24"/>
            </w:rPr>
            <w:t>-</w:t>
          </w:r>
          <w:r>
            <w:rPr>
              <w:i w:val="0"/>
              <w:sz w:val="24"/>
            </w:rPr>
            <w:tab/>
          </w:r>
          <w:r>
            <w:rPr>
              <w:i w:val="0"/>
              <w:spacing w:val="-10"/>
              <w:sz w:val="24"/>
            </w:rPr>
            <w:t>9</w:t>
          </w:r>
        </w:p>
        <w:p>
          <w:pPr>
            <w:pStyle w:val="TOC3"/>
            <w:numPr>
              <w:ilvl w:val="2"/>
              <w:numId w:val="2"/>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70" w:after="0"/>
            <w:ind w:left="1467" w:right="0" w:hanging="720"/>
            <w:jc w:val="left"/>
          </w:pPr>
          <w:r>
            <w:rPr/>
            <w:t>The</w:t>
          </w:r>
          <w:r>
            <w:rPr>
              <w:spacing w:val="-2"/>
            </w:rPr>
            <w:t> </w:t>
          </w:r>
          <w:r>
            <w:rPr/>
            <w:t>plant </w:t>
          </w:r>
          <w:r>
            <w:rPr>
              <w:spacing w:val="-2"/>
            </w:rPr>
            <w:t>taxonomy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10</w:t>
          </w:r>
        </w:p>
        <w:p>
          <w:pPr>
            <w:pStyle w:val="TOC3"/>
            <w:numPr>
              <w:ilvl w:val="2"/>
              <w:numId w:val="2"/>
            </w:numPr>
            <w:tabs>
              <w:tab w:pos="1467"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76" w:after="0"/>
            <w:ind w:left="1467" w:right="0" w:hanging="720"/>
            <w:jc w:val="left"/>
          </w:pPr>
          <w:hyperlink w:history="true" w:anchor="_TOC_250008">
            <w:r>
              <w:rPr/>
              <w:t>Chemical</w:t>
            </w:r>
            <w:r>
              <w:rPr>
                <w:spacing w:val="-3"/>
              </w:rPr>
              <w:t> </w:t>
            </w:r>
            <w:r>
              <w:rPr/>
              <w:t>constituents</w:t>
            </w:r>
            <w:r>
              <w:rPr>
                <w:spacing w:val="-26"/>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13</w:t>
            </w:r>
          </w:hyperlink>
        </w:p>
        <w:p>
          <w:pPr>
            <w:pStyle w:val="TOC4"/>
            <w:numPr>
              <w:ilvl w:val="2"/>
              <w:numId w:val="2"/>
            </w:numPr>
            <w:tabs>
              <w:tab w:pos="1467" w:val="left" w:leader="none"/>
              <w:tab w:pos="7949" w:val="left" w:leader="none"/>
              <w:tab w:pos="8568" w:val="left" w:leader="none"/>
            </w:tabs>
            <w:spacing w:line="240" w:lineRule="auto" w:before="475" w:after="0"/>
            <w:ind w:left="1467" w:right="0" w:hanging="720"/>
            <w:jc w:val="left"/>
            <w:rPr>
              <w:b w:val="0"/>
              <w:i w:val="0"/>
              <w:sz w:val="24"/>
            </w:rPr>
          </w:pPr>
          <w:r>
            <w:rPr>
              <w:b w:val="0"/>
              <w:i w:val="0"/>
              <w:sz w:val="24"/>
            </w:rPr>
            <w:t>Ethnomedicinal</w:t>
          </w:r>
          <w:r>
            <w:rPr>
              <w:b w:val="0"/>
              <w:i w:val="0"/>
              <w:spacing w:val="-1"/>
              <w:sz w:val="24"/>
            </w:rPr>
            <w:t> </w:t>
          </w:r>
          <w:r>
            <w:rPr>
              <w:b w:val="0"/>
              <w:i w:val="0"/>
              <w:sz w:val="24"/>
            </w:rPr>
            <w:t>and other</w:t>
          </w:r>
          <w:r>
            <w:rPr>
              <w:b w:val="0"/>
              <w:i w:val="0"/>
              <w:spacing w:val="-1"/>
              <w:sz w:val="24"/>
            </w:rPr>
            <w:t> </w:t>
          </w:r>
          <w:r>
            <w:rPr>
              <w:b w:val="0"/>
              <w:i w:val="0"/>
              <w:sz w:val="24"/>
            </w:rPr>
            <w:t>uses of </w:t>
          </w:r>
          <w:r>
            <w:rPr>
              <w:b w:val="0"/>
              <w:sz w:val="24"/>
            </w:rPr>
            <w:t>Combretum</w:t>
          </w:r>
          <w:r>
            <w:rPr>
              <w:b w:val="0"/>
              <w:spacing w:val="59"/>
              <w:sz w:val="24"/>
            </w:rPr>
            <w:t> </w:t>
          </w:r>
          <w:r>
            <w:rPr>
              <w:b w:val="0"/>
              <w:sz w:val="24"/>
            </w:rPr>
            <w:t>micranthum</w:t>
          </w:r>
          <w:r>
            <w:rPr>
              <w:b w:val="0"/>
              <w:spacing w:val="15"/>
              <w:sz w:val="24"/>
            </w:rPr>
            <w:t> </w:t>
          </w:r>
          <w:r>
            <w:rPr>
              <w:b w:val="0"/>
              <w:i w:val="0"/>
              <w:spacing w:val="-10"/>
              <w:sz w:val="24"/>
            </w:rPr>
            <w:t>-</w:t>
          </w:r>
          <w:r>
            <w:rPr>
              <w:b w:val="0"/>
              <w:i w:val="0"/>
              <w:sz w:val="24"/>
            </w:rPr>
            <w:tab/>
          </w:r>
          <w:r>
            <w:rPr>
              <w:b w:val="0"/>
              <w:i w:val="0"/>
              <w:spacing w:val="-10"/>
              <w:sz w:val="24"/>
            </w:rPr>
            <w:t>-</w:t>
          </w:r>
          <w:r>
            <w:rPr>
              <w:b w:val="0"/>
              <w:i w:val="0"/>
              <w:sz w:val="24"/>
            </w:rPr>
            <w:tab/>
          </w:r>
          <w:r>
            <w:rPr>
              <w:b w:val="0"/>
              <w:i w:val="0"/>
              <w:spacing w:val="-5"/>
              <w:sz w:val="24"/>
            </w:rPr>
            <w:t>13</w:t>
          </w:r>
        </w:p>
        <w:p>
          <w:pPr>
            <w:pStyle w:val="TOC4"/>
            <w:numPr>
              <w:ilvl w:val="2"/>
              <w:numId w:val="2"/>
            </w:numPr>
            <w:tabs>
              <w:tab w:pos="1467" w:val="left" w:leader="none"/>
              <w:tab w:pos="7229" w:val="left" w:leader="none"/>
              <w:tab w:pos="7949" w:val="left" w:leader="none"/>
              <w:tab w:pos="8568" w:val="left" w:leader="none"/>
            </w:tabs>
            <w:spacing w:line="240" w:lineRule="auto" w:before="478" w:after="0"/>
            <w:ind w:left="1467" w:right="0" w:hanging="720"/>
            <w:jc w:val="left"/>
            <w:rPr>
              <w:b w:val="0"/>
              <w:i w:val="0"/>
              <w:sz w:val="24"/>
            </w:rPr>
          </w:pPr>
          <w:r>
            <w:rPr>
              <w:b w:val="0"/>
              <w:i w:val="0"/>
              <w:sz w:val="24"/>
            </w:rPr>
            <w:t>Previous</w:t>
          </w:r>
          <w:r>
            <w:rPr>
              <w:b w:val="0"/>
              <w:i w:val="0"/>
              <w:spacing w:val="-2"/>
              <w:sz w:val="24"/>
            </w:rPr>
            <w:t> </w:t>
          </w:r>
          <w:r>
            <w:rPr>
              <w:b w:val="0"/>
              <w:i w:val="0"/>
              <w:sz w:val="24"/>
            </w:rPr>
            <w:t>studies</w:t>
          </w:r>
          <w:r>
            <w:rPr>
              <w:b w:val="0"/>
              <w:i w:val="0"/>
              <w:spacing w:val="-2"/>
              <w:sz w:val="24"/>
            </w:rPr>
            <w:t> </w:t>
          </w:r>
          <w:r>
            <w:rPr>
              <w:b w:val="0"/>
              <w:i w:val="0"/>
              <w:sz w:val="24"/>
            </w:rPr>
            <w:t>reported</w:t>
          </w:r>
          <w:r>
            <w:rPr>
              <w:b w:val="0"/>
              <w:i w:val="0"/>
              <w:spacing w:val="1"/>
              <w:sz w:val="24"/>
            </w:rPr>
            <w:t> </w:t>
          </w:r>
          <w:r>
            <w:rPr>
              <w:b w:val="0"/>
              <w:sz w:val="24"/>
            </w:rPr>
            <w:t>Combretum</w:t>
          </w:r>
          <w:r>
            <w:rPr>
              <w:b w:val="0"/>
              <w:spacing w:val="57"/>
              <w:sz w:val="24"/>
            </w:rPr>
            <w:t> </w:t>
          </w:r>
          <w:r>
            <w:rPr>
              <w:b w:val="0"/>
              <w:sz w:val="24"/>
            </w:rPr>
            <w:t>micranthum</w:t>
          </w:r>
          <w:r>
            <w:rPr>
              <w:b w:val="0"/>
              <w:spacing w:val="-1"/>
              <w:sz w:val="24"/>
            </w:rPr>
            <w:t> </w:t>
          </w:r>
          <w:r>
            <w:rPr>
              <w:b w:val="0"/>
              <w:i w:val="0"/>
              <w:spacing w:val="-2"/>
              <w:sz w:val="24"/>
            </w:rPr>
            <w:t>plant</w:t>
          </w:r>
          <w:r>
            <w:rPr>
              <w:b w:val="0"/>
              <w:i w:val="0"/>
              <w:sz w:val="24"/>
            </w:rPr>
            <w:tab/>
          </w:r>
          <w:r>
            <w:rPr>
              <w:b w:val="0"/>
              <w:i w:val="0"/>
              <w:spacing w:val="-10"/>
              <w:sz w:val="24"/>
            </w:rPr>
            <w:t>-</w:t>
          </w:r>
          <w:r>
            <w:rPr>
              <w:b w:val="0"/>
              <w:i w:val="0"/>
              <w:sz w:val="24"/>
            </w:rPr>
            <w:tab/>
          </w:r>
          <w:r>
            <w:rPr>
              <w:b w:val="0"/>
              <w:i w:val="0"/>
              <w:spacing w:val="-10"/>
              <w:sz w:val="24"/>
            </w:rPr>
            <w:t>-</w:t>
          </w:r>
          <w:r>
            <w:rPr>
              <w:b w:val="0"/>
              <w:i w:val="0"/>
              <w:sz w:val="24"/>
            </w:rPr>
            <w:tab/>
          </w:r>
          <w:r>
            <w:rPr>
              <w:b w:val="0"/>
              <w:i w:val="0"/>
              <w:spacing w:val="-5"/>
              <w:sz w:val="24"/>
            </w:rPr>
            <w:t>14</w:t>
          </w:r>
        </w:p>
        <w:p>
          <w:pPr>
            <w:pStyle w:val="TOC2"/>
            <w:numPr>
              <w:ilvl w:val="1"/>
              <w:numId w:val="2"/>
            </w:numPr>
            <w:tabs>
              <w:tab w:pos="1467"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80" w:after="0"/>
            <w:ind w:left="1467" w:right="0" w:hanging="720"/>
            <w:jc w:val="left"/>
          </w:pPr>
          <w:hyperlink w:history="true" w:anchor="_TOC_250007">
            <w:r>
              <w:rPr/>
              <w:t>The</w:t>
            </w:r>
            <w:r>
              <w:rPr>
                <w:spacing w:val="-4"/>
              </w:rPr>
              <w:t> </w:t>
            </w:r>
            <w:r>
              <w:rPr/>
              <w:t>Immune</w:t>
            </w:r>
            <w:r>
              <w:rPr>
                <w:spacing w:val="-2"/>
              </w:rPr>
              <w:t> </w:t>
            </w:r>
            <w:r>
              <w:rPr/>
              <w:t>System</w:t>
            </w:r>
            <w:r>
              <w:rPr>
                <w:spacing w:val="-1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15</w:t>
            </w:r>
          </w:hyperlink>
        </w:p>
        <w:p>
          <w:pPr>
            <w:pStyle w:val="TOC3"/>
            <w:numPr>
              <w:ilvl w:val="2"/>
              <w:numId w:val="3"/>
            </w:numPr>
            <w:tabs>
              <w:tab w:pos="1467"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70" w:after="0"/>
            <w:ind w:left="1467" w:right="0" w:hanging="720"/>
            <w:jc w:val="left"/>
          </w:pPr>
          <w:hyperlink w:history="true" w:anchor="_TOC_250006">
            <w:r>
              <w:rPr>
                <w:spacing w:val="-2"/>
              </w:rPr>
              <w:t>Immunity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15</w:t>
            </w:r>
          </w:hyperlink>
        </w:p>
        <w:p>
          <w:pPr>
            <w:pStyle w:val="TOC3"/>
            <w:numPr>
              <w:ilvl w:val="2"/>
              <w:numId w:val="3"/>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78" w:after="0"/>
            <w:ind w:left="1467" w:right="0" w:hanging="720"/>
            <w:jc w:val="left"/>
          </w:pPr>
          <w:hyperlink w:history="true" w:anchor="_TOC_250005">
            <w:r>
              <w:rPr/>
              <w:t>Acquired</w:t>
            </w:r>
            <w:r>
              <w:rPr>
                <w:spacing w:val="-4"/>
              </w:rPr>
              <w:t> </w:t>
            </w:r>
            <w:r>
              <w:rPr>
                <w:spacing w:val="-2"/>
              </w:rPr>
              <w:t>immunity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16</w:t>
            </w:r>
          </w:hyperlink>
        </w:p>
        <w:p>
          <w:pPr>
            <w:pStyle w:val="TOC3"/>
            <w:numPr>
              <w:ilvl w:val="2"/>
              <w:numId w:val="3"/>
            </w:numPr>
            <w:tabs>
              <w:tab w:pos="1467" w:val="left" w:leader="none"/>
              <w:tab w:pos="6509" w:val="left" w:leader="none"/>
              <w:tab w:pos="7229" w:val="left" w:leader="none"/>
              <w:tab w:pos="7949" w:val="left" w:leader="none"/>
              <w:tab w:pos="8568" w:val="left" w:leader="none"/>
            </w:tabs>
            <w:spacing w:line="240" w:lineRule="auto" w:before="476" w:after="0"/>
            <w:ind w:left="1467" w:right="0" w:hanging="720"/>
            <w:jc w:val="left"/>
          </w:pPr>
          <w:hyperlink w:history="true" w:anchor="_TOC_250004">
            <w:r>
              <w:rPr/>
              <w:t>Cells</w:t>
            </w:r>
            <w:r>
              <w:rPr>
                <w:spacing w:val="-1"/>
              </w:rPr>
              <w:t> </w:t>
            </w:r>
            <w:r>
              <w:rPr/>
              <w:t>involved</w:t>
            </w:r>
            <w:r>
              <w:rPr>
                <w:spacing w:val="-1"/>
              </w:rPr>
              <w:t> </w:t>
            </w:r>
            <w:r>
              <w:rPr/>
              <w:t>in acquired</w:t>
            </w:r>
            <w:r>
              <w:rPr>
                <w:spacing w:val="-1"/>
              </w:rPr>
              <w:t> </w:t>
            </w:r>
            <w:r>
              <w:rPr/>
              <w:t>immune response</w:t>
            </w:r>
            <w:r>
              <w:rPr>
                <w:spacing w:val="-13"/>
              </w:rPr>
              <w:t> </w:t>
            </w:r>
            <w:r>
              <w:rPr>
                <w:spacing w:val="-10"/>
              </w:rPr>
              <w:t>-</w:t>
            </w:r>
            <w:r>
              <w:rPr/>
              <w:tab/>
            </w:r>
            <w:r>
              <w:rPr>
                <w:spacing w:val="-10"/>
              </w:rPr>
              <w:t>-</w:t>
            </w:r>
            <w:r>
              <w:rPr/>
              <w:tab/>
            </w:r>
            <w:r>
              <w:rPr>
                <w:spacing w:val="-10"/>
              </w:rPr>
              <w:t>-</w:t>
            </w:r>
            <w:r>
              <w:rPr/>
              <w:tab/>
            </w:r>
            <w:r>
              <w:rPr>
                <w:spacing w:val="-10"/>
              </w:rPr>
              <w:t>-</w:t>
            </w:r>
            <w:r>
              <w:rPr/>
              <w:tab/>
            </w:r>
            <w:r>
              <w:rPr>
                <w:spacing w:val="-5"/>
              </w:rPr>
              <w:t>17</w:t>
            </w:r>
          </w:hyperlink>
        </w:p>
        <w:p>
          <w:pPr>
            <w:pStyle w:val="TOC3"/>
            <w:numPr>
              <w:ilvl w:val="2"/>
              <w:numId w:val="3"/>
            </w:numPr>
            <w:tabs>
              <w:tab w:pos="1467" w:val="left" w:leader="none"/>
              <w:tab w:pos="6509" w:val="left" w:leader="none"/>
              <w:tab w:pos="7229" w:val="left" w:leader="none"/>
              <w:tab w:pos="7949" w:val="left" w:leader="none"/>
              <w:tab w:pos="8568" w:val="left" w:leader="none"/>
            </w:tabs>
            <w:spacing w:line="240" w:lineRule="auto" w:before="475" w:after="0"/>
            <w:ind w:left="1467" w:right="0" w:hanging="720"/>
            <w:jc w:val="left"/>
          </w:pPr>
          <w:r>
            <w:rPr/>
            <w:t>Humoral</w:t>
          </w:r>
          <w:r>
            <w:rPr>
              <w:spacing w:val="-1"/>
            </w:rPr>
            <w:t> </w:t>
          </w:r>
          <w:r>
            <w:rPr/>
            <w:t>response</w:t>
          </w:r>
          <w:r>
            <w:rPr>
              <w:spacing w:val="-1"/>
            </w:rPr>
            <w:t> </w:t>
          </w:r>
          <w:r>
            <w:rPr/>
            <w:t>type</w:t>
          </w:r>
          <w:r>
            <w:rPr>
              <w:spacing w:val="-1"/>
            </w:rPr>
            <w:t> </w:t>
          </w:r>
          <w:r>
            <w:rPr/>
            <w:t>of</w:t>
          </w:r>
          <w:r>
            <w:rPr>
              <w:spacing w:val="-1"/>
            </w:rPr>
            <w:t> </w:t>
          </w:r>
          <w:r>
            <w:rPr/>
            <w:t>acquired </w:t>
          </w:r>
          <w:r>
            <w:rPr>
              <w:spacing w:val="-2"/>
            </w:rPr>
            <w:t>immunity</w:t>
          </w:r>
          <w:r>
            <w:rPr/>
            <w:tab/>
          </w:r>
          <w:r>
            <w:rPr>
              <w:spacing w:val="-10"/>
            </w:rPr>
            <w:t>-</w:t>
          </w:r>
          <w:r>
            <w:rPr/>
            <w:tab/>
          </w:r>
          <w:r>
            <w:rPr>
              <w:spacing w:val="-10"/>
            </w:rPr>
            <w:t>-</w:t>
          </w:r>
          <w:r>
            <w:rPr/>
            <w:tab/>
          </w:r>
          <w:r>
            <w:rPr>
              <w:spacing w:val="-10"/>
            </w:rPr>
            <w:t>-</w:t>
          </w:r>
          <w:r>
            <w:rPr/>
            <w:tab/>
          </w:r>
          <w:r>
            <w:rPr>
              <w:spacing w:val="-5"/>
            </w:rPr>
            <w:t>19</w:t>
          </w:r>
        </w:p>
        <w:p>
          <w:pPr>
            <w:pStyle w:val="TOC3"/>
            <w:numPr>
              <w:ilvl w:val="2"/>
              <w:numId w:val="3"/>
            </w:numPr>
            <w:tabs>
              <w:tab w:pos="1467" w:val="left" w:leader="none"/>
            </w:tabs>
            <w:spacing w:line="240" w:lineRule="auto" w:before="475" w:after="0"/>
            <w:ind w:left="1467" w:right="0" w:hanging="720"/>
            <w:jc w:val="left"/>
          </w:pPr>
          <w:r>
            <w:rPr/>
            <w:t>Cell</w:t>
          </w:r>
          <w:r>
            <w:rPr>
              <w:spacing w:val="-3"/>
            </w:rPr>
            <w:t> </w:t>
          </w:r>
          <w:r>
            <w:rPr/>
            <w:t>mediated</w:t>
          </w:r>
          <w:r>
            <w:rPr>
              <w:spacing w:val="-1"/>
            </w:rPr>
            <w:t> </w:t>
          </w:r>
          <w:r>
            <w:rPr/>
            <w:t>response</w:t>
          </w:r>
          <w:r>
            <w:rPr>
              <w:spacing w:val="-1"/>
            </w:rPr>
            <w:t> </w:t>
          </w:r>
          <w:r>
            <w:rPr/>
            <w:t>type</w:t>
          </w:r>
          <w:r>
            <w:rPr>
              <w:spacing w:val="-2"/>
            </w:rPr>
            <w:t> </w:t>
          </w:r>
          <w:r>
            <w:rPr/>
            <w:t>of</w:t>
          </w:r>
          <w:r>
            <w:rPr>
              <w:spacing w:val="-1"/>
            </w:rPr>
            <w:t> </w:t>
          </w:r>
          <w:r>
            <w:rPr/>
            <w:t>acquired</w:t>
          </w:r>
          <w:r>
            <w:rPr>
              <w:spacing w:val="-1"/>
            </w:rPr>
            <w:t> </w:t>
          </w:r>
          <w:r>
            <w:rPr/>
            <w:t>immunity</w:t>
          </w:r>
          <w:r>
            <w:rPr>
              <w:spacing w:val="-4"/>
            </w:rPr>
            <w:t> </w:t>
          </w:r>
          <w:r>
            <w:rPr/>
            <w:t>involving</w:t>
          </w:r>
          <w:r>
            <w:rPr>
              <w:spacing w:val="-2"/>
            </w:rPr>
            <w:t> </w:t>
          </w:r>
          <w:r>
            <w:rPr>
              <w:spacing w:val="-5"/>
            </w:rPr>
            <w:t>the</w:t>
          </w:r>
        </w:p>
        <w:p>
          <w:pPr>
            <w:pStyle w:val="TOC6"/>
            <w:tabs>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pPr>
          <w:r>
            <w:rPr/>
            <w:t>T </w:t>
          </w:r>
          <w:r>
            <w:rPr>
              <w:spacing w:val="-2"/>
            </w:rPr>
            <w:t>lymphocytes-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21</w:t>
          </w:r>
        </w:p>
        <w:p>
          <w:pPr>
            <w:pStyle w:val="TOC3"/>
            <w:numPr>
              <w:ilvl w:val="2"/>
              <w:numId w:val="3"/>
            </w:numPr>
            <w:tabs>
              <w:tab w:pos="1467" w:val="left" w:leader="none"/>
              <w:tab w:pos="7229" w:val="left" w:leader="none"/>
              <w:tab w:pos="7949" w:val="left" w:leader="none"/>
              <w:tab w:pos="8568" w:val="left" w:leader="none"/>
            </w:tabs>
            <w:spacing w:line="240" w:lineRule="auto" w:before="279" w:after="0"/>
            <w:ind w:left="1467" w:right="0" w:hanging="720"/>
            <w:jc w:val="left"/>
          </w:pPr>
          <w:hyperlink w:history="true" w:anchor="_TOC_250003">
            <w:r>
              <w:rPr/>
              <w:t>White</w:t>
            </w:r>
            <w:r>
              <w:rPr>
                <w:spacing w:val="-3"/>
              </w:rPr>
              <w:t> </w:t>
            </w:r>
            <w:r>
              <w:rPr/>
              <w:t>blood</w:t>
            </w:r>
            <w:r>
              <w:rPr>
                <w:spacing w:val="-1"/>
              </w:rPr>
              <w:t> </w:t>
            </w:r>
            <w:r>
              <w:rPr/>
              <w:t>cells</w:t>
            </w:r>
            <w:r>
              <w:rPr>
                <w:spacing w:val="-1"/>
              </w:rPr>
              <w:t> </w:t>
            </w:r>
            <w:r>
              <w:rPr/>
              <w:t>(WBCs, Leukocytes</w:t>
            </w:r>
            <w:r>
              <w:rPr>
                <w:spacing w:val="-1"/>
              </w:rPr>
              <w:t> </w:t>
            </w:r>
            <w:r>
              <w:rPr/>
              <w:t>or </w:t>
            </w:r>
            <w:r>
              <w:rPr>
                <w:spacing w:val="-2"/>
              </w:rPr>
              <w:t>Leucocytes)</w:t>
            </w:r>
            <w:r>
              <w:rPr/>
              <w:tab/>
            </w:r>
            <w:r>
              <w:rPr>
                <w:spacing w:val="-10"/>
              </w:rPr>
              <w:t>-</w:t>
            </w:r>
            <w:r>
              <w:rPr/>
              <w:tab/>
            </w:r>
            <w:r>
              <w:rPr>
                <w:spacing w:val="-10"/>
              </w:rPr>
              <w:t>-</w:t>
            </w:r>
            <w:r>
              <w:rPr/>
              <w:tab/>
            </w:r>
            <w:r>
              <w:rPr>
                <w:spacing w:val="-5"/>
              </w:rPr>
              <w:t>23</w:t>
            </w:r>
          </w:hyperlink>
        </w:p>
        <w:p>
          <w:pPr>
            <w:pStyle w:val="TOC3"/>
            <w:numPr>
              <w:ilvl w:val="2"/>
              <w:numId w:val="3"/>
            </w:numPr>
            <w:tabs>
              <w:tab w:pos="1467" w:val="left" w:leader="none"/>
              <w:tab w:pos="6509" w:val="left" w:leader="none"/>
              <w:tab w:pos="7229" w:val="left" w:leader="none"/>
              <w:tab w:pos="7949" w:val="left" w:leader="none"/>
              <w:tab w:pos="8568" w:val="left" w:leader="none"/>
            </w:tabs>
            <w:spacing w:line="240" w:lineRule="auto" w:before="475" w:after="0"/>
            <w:ind w:left="1467" w:right="0" w:hanging="720"/>
            <w:jc w:val="left"/>
          </w:pPr>
          <w:r>
            <w:rPr/>
            <w:t>Vascular</w:t>
          </w:r>
          <w:r>
            <w:rPr>
              <w:spacing w:val="-3"/>
            </w:rPr>
            <w:t> </w:t>
          </w:r>
          <w:r>
            <w:rPr/>
            <w:t>tissue response</w:t>
          </w:r>
          <w:r>
            <w:rPr>
              <w:spacing w:val="1"/>
            </w:rPr>
            <w:t> </w:t>
          </w:r>
          <w:r>
            <w:rPr/>
            <w:t>in</w:t>
          </w:r>
          <w:r>
            <w:rPr>
              <w:spacing w:val="-1"/>
            </w:rPr>
            <w:t> </w:t>
          </w:r>
          <w:r>
            <w:rPr/>
            <w:t>immune </w:t>
          </w:r>
          <w:r>
            <w:rPr>
              <w:spacing w:val="-2"/>
            </w:rPr>
            <w:t>regulation</w:t>
          </w:r>
          <w:r>
            <w:rPr/>
            <w:tab/>
          </w:r>
          <w:r>
            <w:rPr>
              <w:spacing w:val="-10"/>
            </w:rPr>
            <w:t>-</w:t>
          </w:r>
          <w:r>
            <w:rPr/>
            <w:tab/>
          </w:r>
          <w:r>
            <w:rPr>
              <w:spacing w:val="-10"/>
            </w:rPr>
            <w:t>-</w:t>
          </w:r>
          <w:r>
            <w:rPr/>
            <w:tab/>
          </w:r>
          <w:r>
            <w:rPr>
              <w:spacing w:val="-10"/>
            </w:rPr>
            <w:t>-</w:t>
          </w:r>
          <w:r>
            <w:rPr/>
            <w:tab/>
          </w:r>
          <w:r>
            <w:rPr>
              <w:spacing w:val="-5"/>
            </w:rPr>
            <w:t>26</w:t>
          </w:r>
        </w:p>
        <w:p>
          <w:pPr>
            <w:pStyle w:val="TOC3"/>
            <w:numPr>
              <w:ilvl w:val="2"/>
              <w:numId w:val="3"/>
            </w:numPr>
            <w:tabs>
              <w:tab w:pos="1467"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76" w:after="0"/>
            <w:ind w:left="1467" w:right="0" w:hanging="720"/>
            <w:jc w:val="left"/>
          </w:pPr>
          <w:hyperlink w:history="true" w:anchor="_TOC_250002">
            <w:r>
              <w:rPr>
                <w:spacing w:val="-2"/>
              </w:rPr>
              <w:t>Leucopenia</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28</w:t>
            </w:r>
          </w:hyperlink>
        </w:p>
        <w:p>
          <w:pPr>
            <w:pStyle w:val="TOC2"/>
            <w:numPr>
              <w:ilvl w:val="1"/>
              <w:numId w:val="2"/>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82" w:after="0"/>
            <w:ind w:left="1467" w:right="0" w:hanging="720"/>
            <w:jc w:val="left"/>
          </w:pPr>
          <w:hyperlink w:history="true" w:anchor="_TOC_250001">
            <w:r>
              <w:rPr>
                <w:spacing w:val="-2"/>
              </w:rPr>
              <w:t>Inflammation-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30</w:t>
            </w:r>
          </w:hyperlink>
        </w:p>
        <w:p>
          <w:pPr>
            <w:pStyle w:val="TOC3"/>
            <w:numPr>
              <w:ilvl w:val="2"/>
              <w:numId w:val="4"/>
            </w:numPr>
            <w:tabs>
              <w:tab w:pos="1467" w:val="left" w:leader="none"/>
              <w:tab w:pos="5068" w:val="left" w:leader="none"/>
              <w:tab w:pos="5788" w:val="left" w:leader="none"/>
              <w:tab w:pos="6509" w:val="left" w:leader="none"/>
              <w:tab w:pos="7229" w:val="left" w:leader="none"/>
              <w:tab w:pos="7949" w:val="left" w:leader="none"/>
              <w:tab w:pos="8568" w:val="left" w:leader="none"/>
            </w:tabs>
            <w:spacing w:line="240" w:lineRule="auto" w:before="470" w:after="0"/>
            <w:ind w:left="1467" w:right="0" w:hanging="720"/>
            <w:jc w:val="left"/>
          </w:pPr>
          <w:r>
            <w:rPr/>
            <w:t>Acute</w:t>
          </w:r>
          <w:r>
            <w:rPr>
              <w:spacing w:val="-2"/>
            </w:rPr>
            <w:t> </w:t>
          </w:r>
          <w:r>
            <w:rPr/>
            <w:t>and</w:t>
          </w:r>
          <w:r>
            <w:rPr>
              <w:spacing w:val="-1"/>
            </w:rPr>
            <w:t> </w:t>
          </w:r>
          <w:r>
            <w:rPr/>
            <w:t>chronic</w:t>
          </w:r>
          <w:r>
            <w:rPr>
              <w:spacing w:val="-1"/>
            </w:rPr>
            <w:t> </w:t>
          </w:r>
          <w:r>
            <w:rPr>
              <w:spacing w:val="-2"/>
            </w:rPr>
            <w:t>inflammation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31</w:t>
          </w:r>
        </w:p>
        <w:p>
          <w:pPr>
            <w:pStyle w:val="TOC3"/>
            <w:numPr>
              <w:ilvl w:val="2"/>
              <w:numId w:val="4"/>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68" w:val="left" w:leader="none"/>
            </w:tabs>
            <w:spacing w:line="240" w:lineRule="auto" w:before="476" w:after="0"/>
            <w:ind w:left="1467" w:right="0" w:hanging="720"/>
            <w:jc w:val="left"/>
          </w:pPr>
          <w:hyperlink w:history="true" w:anchor="_TOC_250000">
            <w:r>
              <w:rPr/>
              <w:t>Acute</w:t>
            </w:r>
            <w:r>
              <w:rPr>
                <w:spacing w:val="-2"/>
              </w:rPr>
              <w:t> inflammation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31</w:t>
            </w:r>
          </w:hyperlink>
        </w:p>
      </w:sdtContent>
    </w:sdt>
    <w:p>
      <w:pPr>
        <w:spacing w:after="0" w:line="240" w:lineRule="auto"/>
        <w:jc w:val="left"/>
        <w:sectPr>
          <w:type w:val="continuous"/>
          <w:pgSz w:w="11910" w:h="16840"/>
          <w:pgMar w:header="0" w:footer="981" w:top="1339" w:bottom="1519" w:left="1240" w:right="560"/>
        </w:sectPr>
      </w:pP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0"/>
        <w:gridCol w:w="676"/>
        <w:gridCol w:w="1334"/>
        <w:gridCol w:w="589"/>
      </w:tblGrid>
      <w:tr>
        <w:trPr>
          <w:trHeight w:val="508" w:hRule="atLeast"/>
        </w:trPr>
        <w:tc>
          <w:tcPr>
            <w:tcW w:w="6236" w:type="dxa"/>
            <w:gridSpan w:val="2"/>
          </w:tcPr>
          <w:p>
            <w:pPr>
              <w:pStyle w:val="TableParagraph"/>
              <w:tabs>
                <w:tab w:pos="769" w:val="left" w:leader="none"/>
                <w:tab w:pos="4370" w:val="left" w:leader="none"/>
                <w:tab w:pos="5090" w:val="left" w:leader="none"/>
                <w:tab w:pos="5811" w:val="left" w:leader="none"/>
              </w:tabs>
              <w:spacing w:line="266" w:lineRule="exact"/>
              <w:ind w:left="50"/>
              <w:rPr>
                <w:sz w:val="24"/>
              </w:rPr>
            </w:pPr>
            <w:r>
              <w:rPr>
                <w:spacing w:val="-2"/>
                <w:sz w:val="24"/>
              </w:rPr>
              <w:t>2.3.3</w:t>
            </w:r>
            <w:r>
              <w:rPr>
                <w:sz w:val="24"/>
              </w:rPr>
              <w:tab/>
              <w:t>Symptoms</w:t>
            </w:r>
            <w:r>
              <w:rPr>
                <w:spacing w:val="-3"/>
                <w:sz w:val="24"/>
              </w:rPr>
              <w:t> </w:t>
            </w:r>
            <w:r>
              <w:rPr>
                <w:sz w:val="24"/>
              </w:rPr>
              <w:t>of</w:t>
            </w:r>
            <w:r>
              <w:rPr>
                <w:spacing w:val="-1"/>
                <w:sz w:val="24"/>
              </w:rPr>
              <w:t> </w:t>
            </w:r>
            <w:r>
              <w:rPr>
                <w:sz w:val="24"/>
              </w:rPr>
              <w:t>acute</w:t>
            </w:r>
            <w:r>
              <w:rPr>
                <w:spacing w:val="-2"/>
                <w:sz w:val="24"/>
              </w:rPr>
              <w:t> inflammation</w:t>
            </w:r>
            <w:r>
              <w:rPr>
                <w:sz w:val="24"/>
              </w:rPr>
              <w:tab/>
            </w:r>
            <w:r>
              <w:rPr>
                <w:spacing w:val="-10"/>
                <w:sz w:val="24"/>
              </w:rPr>
              <w:t>-</w:t>
            </w:r>
            <w:r>
              <w:rPr>
                <w:sz w:val="24"/>
              </w:rPr>
              <w:tab/>
            </w:r>
            <w:r>
              <w:rPr>
                <w:spacing w:val="-10"/>
                <w:sz w:val="24"/>
              </w:rPr>
              <w:t>-</w:t>
            </w:r>
            <w:r>
              <w:rPr>
                <w:sz w:val="24"/>
              </w:rPr>
              <w:tab/>
            </w:r>
            <w:r>
              <w:rPr>
                <w:spacing w:val="-10"/>
                <w:sz w:val="24"/>
              </w:rPr>
              <w:t>-</w:t>
            </w:r>
          </w:p>
        </w:tc>
        <w:tc>
          <w:tcPr>
            <w:tcW w:w="1334" w:type="dxa"/>
          </w:tcPr>
          <w:p>
            <w:pPr>
              <w:pStyle w:val="TableParagraph"/>
              <w:tabs>
                <w:tab w:pos="776" w:val="left" w:leader="none"/>
              </w:tabs>
              <w:spacing w:line="266" w:lineRule="exact"/>
              <w:ind w:left="56"/>
              <w:jc w:val="center"/>
              <w:rPr>
                <w:sz w:val="24"/>
              </w:rPr>
            </w:pPr>
            <w:r>
              <w:rPr>
                <w:spacing w:val="-10"/>
                <w:sz w:val="24"/>
              </w:rPr>
              <w:t>-</w:t>
            </w:r>
            <w:r>
              <w:rPr>
                <w:sz w:val="24"/>
              </w:rPr>
              <w:tab/>
            </w:r>
            <w:r>
              <w:rPr>
                <w:spacing w:val="-10"/>
                <w:sz w:val="24"/>
              </w:rPr>
              <w:t>-</w:t>
            </w:r>
          </w:p>
        </w:tc>
        <w:tc>
          <w:tcPr>
            <w:tcW w:w="589" w:type="dxa"/>
          </w:tcPr>
          <w:p>
            <w:pPr>
              <w:pStyle w:val="TableParagraph"/>
              <w:spacing w:line="266" w:lineRule="exact"/>
              <w:ind w:right="46"/>
              <w:jc w:val="right"/>
              <w:rPr>
                <w:sz w:val="24"/>
              </w:rPr>
            </w:pPr>
            <w:r>
              <w:rPr>
                <w:spacing w:val="-5"/>
                <w:sz w:val="24"/>
              </w:rPr>
              <w:t>32</w:t>
            </w:r>
          </w:p>
        </w:tc>
      </w:tr>
      <w:tr>
        <w:trPr>
          <w:trHeight w:val="752" w:hRule="atLeast"/>
        </w:trPr>
        <w:tc>
          <w:tcPr>
            <w:tcW w:w="6236" w:type="dxa"/>
            <w:gridSpan w:val="2"/>
          </w:tcPr>
          <w:p>
            <w:pPr>
              <w:pStyle w:val="TableParagraph"/>
              <w:tabs>
                <w:tab w:pos="769" w:val="left" w:leader="none"/>
              </w:tabs>
              <w:spacing w:before="232"/>
              <w:ind w:left="50"/>
              <w:rPr>
                <w:sz w:val="24"/>
              </w:rPr>
            </w:pPr>
            <w:r>
              <w:rPr>
                <w:spacing w:val="-2"/>
                <w:sz w:val="24"/>
              </w:rPr>
              <w:t>2.3.4</w:t>
            </w:r>
            <w:r>
              <w:rPr>
                <w:sz w:val="24"/>
              </w:rPr>
              <w:tab/>
              <w:t>Process</w:t>
            </w:r>
            <w:r>
              <w:rPr>
                <w:spacing w:val="-4"/>
                <w:sz w:val="24"/>
              </w:rPr>
              <w:t> </w:t>
            </w:r>
            <w:r>
              <w:rPr>
                <w:sz w:val="24"/>
              </w:rPr>
              <w:t>of</w:t>
            </w:r>
            <w:r>
              <w:rPr>
                <w:spacing w:val="-1"/>
                <w:sz w:val="24"/>
              </w:rPr>
              <w:t> </w:t>
            </w:r>
            <w:r>
              <w:rPr>
                <w:sz w:val="24"/>
              </w:rPr>
              <w:t>acute</w:t>
            </w:r>
            <w:r>
              <w:rPr>
                <w:spacing w:val="-2"/>
                <w:sz w:val="24"/>
              </w:rPr>
              <w:t> </w:t>
            </w:r>
            <w:r>
              <w:rPr>
                <w:sz w:val="24"/>
              </w:rPr>
              <w:t>inflammation/</w:t>
            </w:r>
            <w:r>
              <w:rPr>
                <w:spacing w:val="-1"/>
                <w:sz w:val="24"/>
              </w:rPr>
              <w:t> </w:t>
            </w:r>
            <w:r>
              <w:rPr>
                <w:sz w:val="24"/>
              </w:rPr>
              <w:t>cell</w:t>
            </w:r>
            <w:r>
              <w:rPr>
                <w:spacing w:val="1"/>
                <w:sz w:val="24"/>
              </w:rPr>
              <w:t> </w:t>
            </w:r>
            <w:r>
              <w:rPr>
                <w:sz w:val="24"/>
              </w:rPr>
              <w:t>derived</w:t>
            </w:r>
            <w:r>
              <w:rPr>
                <w:spacing w:val="-1"/>
                <w:sz w:val="24"/>
              </w:rPr>
              <w:t> </w:t>
            </w:r>
            <w:r>
              <w:rPr>
                <w:spacing w:val="-2"/>
                <w:sz w:val="24"/>
              </w:rPr>
              <w:t>mediators</w:t>
            </w:r>
          </w:p>
        </w:tc>
        <w:tc>
          <w:tcPr>
            <w:tcW w:w="1334" w:type="dxa"/>
          </w:tcPr>
          <w:p>
            <w:pPr>
              <w:pStyle w:val="TableParagraph"/>
              <w:tabs>
                <w:tab w:pos="776" w:val="left" w:leader="none"/>
              </w:tabs>
              <w:spacing w:before="232"/>
              <w:ind w:left="56"/>
              <w:jc w:val="center"/>
              <w:rPr>
                <w:sz w:val="24"/>
              </w:rPr>
            </w:pPr>
            <w:r>
              <w:rPr>
                <w:spacing w:val="-10"/>
                <w:sz w:val="24"/>
              </w:rPr>
              <w:t>-</w:t>
            </w:r>
            <w:r>
              <w:rPr>
                <w:sz w:val="24"/>
              </w:rPr>
              <w:tab/>
            </w:r>
            <w:r>
              <w:rPr>
                <w:spacing w:val="-10"/>
                <w:sz w:val="24"/>
              </w:rPr>
              <w:t>-</w:t>
            </w:r>
          </w:p>
        </w:tc>
        <w:tc>
          <w:tcPr>
            <w:tcW w:w="589" w:type="dxa"/>
          </w:tcPr>
          <w:p>
            <w:pPr>
              <w:pStyle w:val="TableParagraph"/>
              <w:spacing w:before="232"/>
              <w:ind w:right="46"/>
              <w:jc w:val="right"/>
              <w:rPr>
                <w:sz w:val="24"/>
              </w:rPr>
            </w:pPr>
            <w:r>
              <w:rPr>
                <w:spacing w:val="-5"/>
                <w:sz w:val="24"/>
              </w:rPr>
              <w:t>32</w:t>
            </w:r>
          </w:p>
        </w:tc>
      </w:tr>
      <w:tr>
        <w:trPr>
          <w:trHeight w:val="752" w:hRule="atLeast"/>
        </w:trPr>
        <w:tc>
          <w:tcPr>
            <w:tcW w:w="6236" w:type="dxa"/>
            <w:gridSpan w:val="2"/>
          </w:tcPr>
          <w:p>
            <w:pPr>
              <w:pStyle w:val="TableParagraph"/>
              <w:tabs>
                <w:tab w:pos="769" w:val="left" w:leader="none"/>
                <w:tab w:pos="3650" w:val="left" w:leader="none"/>
                <w:tab w:pos="4370" w:val="left" w:leader="none"/>
                <w:tab w:pos="5090" w:val="left" w:leader="none"/>
                <w:tab w:pos="5811" w:val="left" w:leader="none"/>
              </w:tabs>
              <w:spacing w:before="233"/>
              <w:ind w:left="50"/>
              <w:rPr>
                <w:sz w:val="24"/>
              </w:rPr>
            </w:pPr>
            <w:r>
              <w:rPr>
                <w:spacing w:val="-2"/>
                <w:sz w:val="24"/>
              </w:rPr>
              <w:t>2.3.5</w:t>
            </w:r>
            <w:r>
              <w:rPr>
                <w:sz w:val="24"/>
              </w:rPr>
              <w:tab/>
              <w:t>Chronic</w:t>
            </w:r>
            <w:r>
              <w:rPr>
                <w:spacing w:val="-3"/>
                <w:sz w:val="24"/>
              </w:rPr>
              <w:t> </w:t>
            </w:r>
            <w:r>
              <w:rPr>
                <w:sz w:val="24"/>
              </w:rPr>
              <w:t>inflammation</w:t>
            </w:r>
            <w:r>
              <w:rPr>
                <w:spacing w:val="-26"/>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1334" w:type="dxa"/>
          </w:tcPr>
          <w:p>
            <w:pPr>
              <w:pStyle w:val="TableParagraph"/>
              <w:tabs>
                <w:tab w:pos="776" w:val="left" w:leader="none"/>
              </w:tabs>
              <w:spacing w:before="233"/>
              <w:ind w:left="56"/>
              <w:jc w:val="center"/>
              <w:rPr>
                <w:sz w:val="24"/>
              </w:rPr>
            </w:pPr>
            <w:r>
              <w:rPr>
                <w:spacing w:val="-10"/>
                <w:sz w:val="24"/>
              </w:rPr>
              <w:t>-</w:t>
            </w:r>
            <w:r>
              <w:rPr>
                <w:sz w:val="24"/>
              </w:rPr>
              <w:tab/>
            </w:r>
            <w:r>
              <w:rPr>
                <w:spacing w:val="-10"/>
                <w:sz w:val="24"/>
              </w:rPr>
              <w:t>-</w:t>
            </w:r>
          </w:p>
        </w:tc>
        <w:tc>
          <w:tcPr>
            <w:tcW w:w="589" w:type="dxa"/>
          </w:tcPr>
          <w:p>
            <w:pPr>
              <w:pStyle w:val="TableParagraph"/>
              <w:spacing w:before="233"/>
              <w:ind w:right="46"/>
              <w:jc w:val="right"/>
              <w:rPr>
                <w:sz w:val="24"/>
              </w:rPr>
            </w:pPr>
            <w:r>
              <w:rPr>
                <w:spacing w:val="-5"/>
                <w:sz w:val="24"/>
              </w:rPr>
              <w:t>33</w:t>
            </w:r>
          </w:p>
        </w:tc>
      </w:tr>
      <w:tr>
        <w:trPr>
          <w:trHeight w:val="751" w:hRule="atLeast"/>
        </w:trPr>
        <w:tc>
          <w:tcPr>
            <w:tcW w:w="6236" w:type="dxa"/>
            <w:gridSpan w:val="2"/>
          </w:tcPr>
          <w:p>
            <w:pPr>
              <w:pStyle w:val="TableParagraph"/>
              <w:tabs>
                <w:tab w:pos="769" w:val="left" w:leader="none"/>
              </w:tabs>
              <w:spacing w:before="232"/>
              <w:ind w:left="50"/>
              <w:rPr>
                <w:sz w:val="24"/>
              </w:rPr>
            </w:pPr>
            <w:r>
              <w:rPr>
                <w:spacing w:val="-2"/>
                <w:sz w:val="24"/>
              </w:rPr>
              <w:t>2.3.6</w:t>
            </w:r>
            <w:r>
              <w:rPr>
                <w:sz w:val="24"/>
              </w:rPr>
              <w:tab/>
              <w:t>Systemic</w:t>
            </w:r>
            <w:r>
              <w:rPr>
                <w:spacing w:val="-3"/>
                <w:sz w:val="24"/>
              </w:rPr>
              <w:t> </w:t>
            </w:r>
            <w:r>
              <w:rPr>
                <w:sz w:val="24"/>
              </w:rPr>
              <w:t>inflammatory</w:t>
            </w:r>
            <w:r>
              <w:rPr>
                <w:spacing w:val="-4"/>
                <w:sz w:val="24"/>
              </w:rPr>
              <w:t> </w:t>
            </w:r>
            <w:r>
              <w:rPr>
                <w:sz w:val="24"/>
              </w:rPr>
              <w:t>immune response</w:t>
            </w:r>
            <w:r>
              <w:rPr>
                <w:spacing w:val="1"/>
                <w:sz w:val="24"/>
              </w:rPr>
              <w:t> </w:t>
            </w:r>
            <w:r>
              <w:rPr>
                <w:spacing w:val="-2"/>
                <w:sz w:val="24"/>
              </w:rPr>
              <w:t>syndromes</w:t>
            </w:r>
          </w:p>
        </w:tc>
        <w:tc>
          <w:tcPr>
            <w:tcW w:w="1334" w:type="dxa"/>
          </w:tcPr>
          <w:p>
            <w:pPr>
              <w:pStyle w:val="TableParagraph"/>
              <w:tabs>
                <w:tab w:pos="776" w:val="left" w:leader="none"/>
              </w:tabs>
              <w:spacing w:before="232"/>
              <w:ind w:left="56"/>
              <w:jc w:val="center"/>
              <w:rPr>
                <w:sz w:val="24"/>
              </w:rPr>
            </w:pPr>
            <w:r>
              <w:rPr>
                <w:spacing w:val="-10"/>
                <w:sz w:val="24"/>
              </w:rPr>
              <w:t>-</w:t>
            </w:r>
            <w:r>
              <w:rPr>
                <w:sz w:val="24"/>
              </w:rPr>
              <w:tab/>
            </w:r>
            <w:r>
              <w:rPr>
                <w:spacing w:val="-10"/>
                <w:sz w:val="24"/>
              </w:rPr>
              <w:t>-</w:t>
            </w:r>
          </w:p>
        </w:tc>
        <w:tc>
          <w:tcPr>
            <w:tcW w:w="589" w:type="dxa"/>
          </w:tcPr>
          <w:p>
            <w:pPr>
              <w:pStyle w:val="TableParagraph"/>
              <w:spacing w:before="232"/>
              <w:ind w:right="46"/>
              <w:jc w:val="right"/>
              <w:rPr>
                <w:sz w:val="24"/>
              </w:rPr>
            </w:pPr>
            <w:r>
              <w:rPr>
                <w:spacing w:val="-5"/>
                <w:sz w:val="24"/>
              </w:rPr>
              <w:t>34</w:t>
            </w:r>
          </w:p>
        </w:tc>
      </w:tr>
      <w:tr>
        <w:trPr>
          <w:trHeight w:val="751" w:hRule="atLeast"/>
        </w:trPr>
        <w:tc>
          <w:tcPr>
            <w:tcW w:w="6236" w:type="dxa"/>
            <w:gridSpan w:val="2"/>
          </w:tcPr>
          <w:p>
            <w:pPr>
              <w:pStyle w:val="TableParagraph"/>
              <w:tabs>
                <w:tab w:pos="769" w:val="left" w:leader="none"/>
                <w:tab w:pos="3650" w:val="left" w:leader="none"/>
                <w:tab w:pos="4370" w:val="left" w:leader="none"/>
                <w:tab w:pos="5090" w:val="left" w:leader="none"/>
                <w:tab w:pos="5811" w:val="left" w:leader="none"/>
              </w:tabs>
              <w:spacing w:before="232"/>
              <w:ind w:left="50"/>
              <w:rPr>
                <w:sz w:val="24"/>
              </w:rPr>
            </w:pPr>
            <w:r>
              <w:rPr>
                <w:spacing w:val="-2"/>
                <w:sz w:val="24"/>
              </w:rPr>
              <w:t>2.3.7</w:t>
            </w:r>
            <w:r>
              <w:rPr>
                <w:sz w:val="24"/>
              </w:rPr>
              <w:tab/>
              <w:t>Hypersensitivity</w:t>
            </w:r>
            <w:r>
              <w:rPr>
                <w:spacing w:val="-8"/>
                <w:sz w:val="24"/>
              </w:rPr>
              <w:t> </w:t>
            </w:r>
            <w:r>
              <w:rPr>
                <w:spacing w:val="-2"/>
                <w:sz w:val="24"/>
              </w:rPr>
              <w:t>reactions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1334" w:type="dxa"/>
          </w:tcPr>
          <w:p>
            <w:pPr>
              <w:pStyle w:val="TableParagraph"/>
              <w:tabs>
                <w:tab w:pos="776" w:val="left" w:leader="none"/>
              </w:tabs>
              <w:spacing w:before="232"/>
              <w:ind w:left="56"/>
              <w:jc w:val="center"/>
              <w:rPr>
                <w:sz w:val="24"/>
              </w:rPr>
            </w:pPr>
            <w:r>
              <w:rPr>
                <w:spacing w:val="-10"/>
                <w:sz w:val="24"/>
              </w:rPr>
              <w:t>-</w:t>
            </w:r>
            <w:r>
              <w:rPr>
                <w:sz w:val="24"/>
              </w:rPr>
              <w:tab/>
            </w:r>
            <w:r>
              <w:rPr>
                <w:spacing w:val="-10"/>
                <w:sz w:val="24"/>
              </w:rPr>
              <w:t>-</w:t>
            </w:r>
          </w:p>
        </w:tc>
        <w:tc>
          <w:tcPr>
            <w:tcW w:w="589" w:type="dxa"/>
          </w:tcPr>
          <w:p>
            <w:pPr>
              <w:pStyle w:val="TableParagraph"/>
              <w:spacing w:before="232"/>
              <w:ind w:right="46"/>
              <w:jc w:val="right"/>
              <w:rPr>
                <w:sz w:val="24"/>
              </w:rPr>
            </w:pPr>
            <w:r>
              <w:rPr>
                <w:spacing w:val="-5"/>
                <w:sz w:val="24"/>
              </w:rPr>
              <w:t>37</w:t>
            </w:r>
          </w:p>
        </w:tc>
      </w:tr>
      <w:tr>
        <w:trPr>
          <w:trHeight w:val="755" w:hRule="atLeast"/>
        </w:trPr>
        <w:tc>
          <w:tcPr>
            <w:tcW w:w="6236" w:type="dxa"/>
            <w:gridSpan w:val="2"/>
          </w:tcPr>
          <w:p>
            <w:pPr>
              <w:pStyle w:val="TableParagraph"/>
              <w:tabs>
                <w:tab w:pos="769" w:val="left" w:leader="none"/>
                <w:tab w:pos="4370" w:val="left" w:leader="none"/>
                <w:tab w:pos="5090" w:val="left" w:leader="none"/>
                <w:tab w:pos="5811" w:val="left" w:leader="none"/>
              </w:tabs>
              <w:spacing w:before="233"/>
              <w:ind w:left="50"/>
              <w:rPr>
                <w:sz w:val="24"/>
              </w:rPr>
            </w:pPr>
            <w:r>
              <w:rPr>
                <w:spacing w:val="-2"/>
                <w:sz w:val="24"/>
              </w:rPr>
              <w:t>2.3.8</w:t>
            </w:r>
            <w:r>
              <w:rPr>
                <w:sz w:val="24"/>
              </w:rPr>
              <w:tab/>
              <w:t>Forms</w:t>
            </w:r>
            <w:r>
              <w:rPr>
                <w:spacing w:val="-2"/>
                <w:sz w:val="24"/>
              </w:rPr>
              <w:t> </w:t>
            </w:r>
            <w:r>
              <w:rPr>
                <w:sz w:val="24"/>
              </w:rPr>
              <w:t>of</w:t>
            </w:r>
            <w:r>
              <w:rPr>
                <w:spacing w:val="-1"/>
                <w:sz w:val="24"/>
              </w:rPr>
              <w:t> </w:t>
            </w:r>
            <w:r>
              <w:rPr>
                <w:sz w:val="24"/>
              </w:rPr>
              <w:t>hypersensitivity</w:t>
            </w:r>
            <w:r>
              <w:rPr>
                <w:spacing w:val="-3"/>
                <w:sz w:val="24"/>
              </w:rPr>
              <w:t> </w:t>
            </w:r>
            <w:r>
              <w:rPr>
                <w:spacing w:val="-2"/>
                <w:sz w:val="24"/>
              </w:rPr>
              <w:t>reactions</w:t>
            </w:r>
            <w:r>
              <w:rPr>
                <w:sz w:val="24"/>
              </w:rPr>
              <w:tab/>
            </w:r>
            <w:r>
              <w:rPr>
                <w:spacing w:val="-10"/>
                <w:sz w:val="24"/>
              </w:rPr>
              <w:t>-</w:t>
            </w:r>
            <w:r>
              <w:rPr>
                <w:sz w:val="24"/>
              </w:rPr>
              <w:tab/>
            </w:r>
            <w:r>
              <w:rPr>
                <w:spacing w:val="-10"/>
                <w:sz w:val="24"/>
              </w:rPr>
              <w:t>-</w:t>
            </w:r>
            <w:r>
              <w:rPr>
                <w:sz w:val="24"/>
              </w:rPr>
              <w:tab/>
            </w:r>
            <w:r>
              <w:rPr>
                <w:spacing w:val="-10"/>
                <w:sz w:val="24"/>
              </w:rPr>
              <w:t>-</w:t>
            </w:r>
          </w:p>
        </w:tc>
        <w:tc>
          <w:tcPr>
            <w:tcW w:w="1334" w:type="dxa"/>
          </w:tcPr>
          <w:p>
            <w:pPr>
              <w:pStyle w:val="TableParagraph"/>
              <w:tabs>
                <w:tab w:pos="776" w:val="left" w:leader="none"/>
              </w:tabs>
              <w:spacing w:before="233"/>
              <w:ind w:left="56"/>
              <w:jc w:val="center"/>
              <w:rPr>
                <w:sz w:val="24"/>
              </w:rPr>
            </w:pPr>
            <w:r>
              <w:rPr>
                <w:spacing w:val="-10"/>
                <w:sz w:val="24"/>
              </w:rPr>
              <w:t>-</w:t>
            </w:r>
            <w:r>
              <w:rPr>
                <w:sz w:val="24"/>
              </w:rPr>
              <w:tab/>
            </w:r>
            <w:r>
              <w:rPr>
                <w:spacing w:val="-10"/>
                <w:sz w:val="24"/>
              </w:rPr>
              <w:t>-</w:t>
            </w:r>
          </w:p>
        </w:tc>
        <w:tc>
          <w:tcPr>
            <w:tcW w:w="589" w:type="dxa"/>
          </w:tcPr>
          <w:p>
            <w:pPr>
              <w:pStyle w:val="TableParagraph"/>
              <w:spacing w:before="233"/>
              <w:ind w:right="46"/>
              <w:jc w:val="right"/>
              <w:rPr>
                <w:sz w:val="24"/>
              </w:rPr>
            </w:pPr>
            <w:r>
              <w:rPr>
                <w:spacing w:val="-5"/>
                <w:sz w:val="24"/>
              </w:rPr>
              <w:t>38</w:t>
            </w:r>
          </w:p>
        </w:tc>
      </w:tr>
      <w:tr>
        <w:trPr>
          <w:trHeight w:val="752" w:hRule="atLeast"/>
        </w:trPr>
        <w:tc>
          <w:tcPr>
            <w:tcW w:w="6236" w:type="dxa"/>
            <w:gridSpan w:val="2"/>
          </w:tcPr>
          <w:p>
            <w:pPr>
              <w:pStyle w:val="TableParagraph"/>
              <w:tabs>
                <w:tab w:pos="769" w:val="left" w:leader="none"/>
                <w:tab w:pos="4370" w:val="left" w:leader="none"/>
                <w:tab w:pos="5090" w:val="left" w:leader="none"/>
                <w:tab w:pos="5811" w:val="left" w:leader="none"/>
              </w:tabs>
              <w:spacing w:before="236"/>
              <w:ind w:left="50"/>
              <w:rPr>
                <w:b/>
                <w:sz w:val="24"/>
              </w:rPr>
            </w:pPr>
            <w:r>
              <w:rPr>
                <w:b/>
                <w:spacing w:val="-5"/>
                <w:sz w:val="24"/>
              </w:rPr>
              <w:t>2.4</w:t>
            </w:r>
            <w:r>
              <w:rPr>
                <w:b/>
                <w:sz w:val="24"/>
              </w:rPr>
              <w:tab/>
              <w:t>The</w:t>
            </w:r>
            <w:r>
              <w:rPr>
                <w:b/>
                <w:spacing w:val="-2"/>
                <w:sz w:val="24"/>
              </w:rPr>
              <w:t> </w:t>
            </w:r>
            <w:r>
              <w:rPr>
                <w:b/>
                <w:sz w:val="24"/>
              </w:rPr>
              <w:t>Models used</w:t>
            </w:r>
            <w:r>
              <w:rPr>
                <w:b/>
                <w:spacing w:val="-1"/>
                <w:sz w:val="24"/>
              </w:rPr>
              <w:t> </w:t>
            </w:r>
            <w:r>
              <w:rPr>
                <w:b/>
                <w:sz w:val="24"/>
              </w:rPr>
              <w:t>for</w:t>
            </w:r>
            <w:r>
              <w:rPr>
                <w:b/>
                <w:spacing w:val="-2"/>
                <w:sz w:val="24"/>
              </w:rPr>
              <w:t> </w:t>
            </w:r>
            <w:r>
              <w:rPr>
                <w:b/>
                <w:sz w:val="24"/>
              </w:rPr>
              <w:t>this </w:t>
            </w:r>
            <w:r>
              <w:rPr>
                <w:b/>
                <w:spacing w:val="-2"/>
                <w:sz w:val="24"/>
              </w:rPr>
              <w:t>Study</w:t>
            </w:r>
            <w:r>
              <w:rPr>
                <w:b/>
                <w:sz w:val="24"/>
              </w:rPr>
              <w:tab/>
            </w:r>
            <w:r>
              <w:rPr>
                <w:b/>
                <w:spacing w:val="-10"/>
                <w:sz w:val="24"/>
              </w:rPr>
              <w:t>-</w:t>
            </w:r>
            <w:r>
              <w:rPr>
                <w:b/>
                <w:sz w:val="24"/>
              </w:rPr>
              <w:tab/>
            </w:r>
            <w:r>
              <w:rPr>
                <w:b/>
                <w:spacing w:val="-10"/>
                <w:sz w:val="24"/>
              </w:rPr>
              <w:t>-</w:t>
            </w:r>
            <w:r>
              <w:rPr>
                <w:b/>
                <w:sz w:val="24"/>
              </w:rPr>
              <w:tab/>
            </w:r>
            <w:r>
              <w:rPr>
                <w:b/>
                <w:spacing w:val="-10"/>
                <w:sz w:val="24"/>
              </w:rPr>
              <w:t>-</w:t>
            </w:r>
          </w:p>
        </w:tc>
        <w:tc>
          <w:tcPr>
            <w:tcW w:w="1334" w:type="dxa"/>
          </w:tcPr>
          <w:p>
            <w:pPr>
              <w:pStyle w:val="TableParagraph"/>
              <w:tabs>
                <w:tab w:pos="776" w:val="left" w:leader="none"/>
              </w:tabs>
              <w:spacing w:before="236"/>
              <w:ind w:left="56"/>
              <w:jc w:val="center"/>
              <w:rPr>
                <w:b/>
                <w:sz w:val="24"/>
              </w:rPr>
            </w:pPr>
            <w:r>
              <w:rPr>
                <w:b/>
                <w:spacing w:val="-10"/>
                <w:sz w:val="24"/>
              </w:rPr>
              <w:t>-</w:t>
            </w:r>
            <w:r>
              <w:rPr>
                <w:b/>
                <w:sz w:val="24"/>
              </w:rPr>
              <w:tab/>
            </w:r>
            <w:r>
              <w:rPr>
                <w:b/>
                <w:spacing w:val="-10"/>
                <w:sz w:val="24"/>
              </w:rPr>
              <w:t>-</w:t>
            </w:r>
          </w:p>
        </w:tc>
        <w:tc>
          <w:tcPr>
            <w:tcW w:w="589" w:type="dxa"/>
          </w:tcPr>
          <w:p>
            <w:pPr>
              <w:pStyle w:val="TableParagraph"/>
              <w:spacing w:before="236"/>
              <w:ind w:right="46"/>
              <w:jc w:val="right"/>
              <w:rPr>
                <w:b/>
                <w:sz w:val="24"/>
              </w:rPr>
            </w:pPr>
            <w:r>
              <w:rPr>
                <w:b/>
                <w:spacing w:val="-5"/>
                <w:sz w:val="24"/>
              </w:rPr>
              <w:t>41</w:t>
            </w:r>
          </w:p>
        </w:tc>
      </w:tr>
      <w:tr>
        <w:trPr>
          <w:trHeight w:val="748" w:hRule="atLeast"/>
        </w:trPr>
        <w:tc>
          <w:tcPr>
            <w:tcW w:w="6236" w:type="dxa"/>
            <w:gridSpan w:val="2"/>
          </w:tcPr>
          <w:p>
            <w:pPr>
              <w:pStyle w:val="TableParagraph"/>
              <w:tabs>
                <w:tab w:pos="769" w:val="left" w:leader="none"/>
                <w:tab w:pos="5811" w:val="left" w:leader="none"/>
              </w:tabs>
              <w:spacing w:before="230"/>
              <w:ind w:left="50"/>
              <w:rPr>
                <w:sz w:val="24"/>
              </w:rPr>
            </w:pPr>
            <w:r>
              <w:rPr>
                <w:spacing w:val="-2"/>
                <w:sz w:val="24"/>
              </w:rPr>
              <w:t>2.4.1</w:t>
            </w:r>
            <w:r>
              <w:rPr>
                <w:sz w:val="24"/>
              </w:rPr>
              <w:tab/>
              <w:t>Cyclophosphamide</w:t>
            </w:r>
            <w:r>
              <w:rPr>
                <w:spacing w:val="-3"/>
                <w:sz w:val="24"/>
              </w:rPr>
              <w:t> </w:t>
            </w:r>
            <w:r>
              <w:rPr>
                <w:sz w:val="24"/>
              </w:rPr>
              <w:t>induced</w:t>
            </w:r>
            <w:r>
              <w:rPr>
                <w:spacing w:val="-1"/>
                <w:sz w:val="24"/>
              </w:rPr>
              <w:t> </w:t>
            </w:r>
            <w:r>
              <w:rPr>
                <w:sz w:val="24"/>
              </w:rPr>
              <w:t>neutropenia</w:t>
            </w:r>
            <w:r>
              <w:rPr>
                <w:spacing w:val="-2"/>
                <w:sz w:val="24"/>
              </w:rPr>
              <w:t> </w:t>
            </w:r>
            <w:r>
              <w:rPr>
                <w:sz w:val="24"/>
              </w:rPr>
              <w:t>in</w:t>
            </w:r>
            <w:r>
              <w:rPr>
                <w:spacing w:val="1"/>
                <w:sz w:val="24"/>
              </w:rPr>
              <w:t> </w:t>
            </w:r>
            <w:r>
              <w:rPr>
                <w:spacing w:val="-4"/>
                <w:sz w:val="24"/>
              </w:rPr>
              <w:t>rats</w:t>
            </w:r>
            <w:r>
              <w:rPr>
                <w:sz w:val="24"/>
              </w:rPr>
              <w:tab/>
            </w:r>
            <w:r>
              <w:rPr>
                <w:spacing w:val="-10"/>
                <w:sz w:val="24"/>
              </w:rPr>
              <w:t>-</w:t>
            </w:r>
          </w:p>
        </w:tc>
        <w:tc>
          <w:tcPr>
            <w:tcW w:w="1334" w:type="dxa"/>
          </w:tcPr>
          <w:p>
            <w:pPr>
              <w:pStyle w:val="TableParagraph"/>
              <w:tabs>
                <w:tab w:pos="776" w:val="left" w:leader="none"/>
              </w:tabs>
              <w:spacing w:before="230"/>
              <w:ind w:left="56"/>
              <w:jc w:val="center"/>
              <w:rPr>
                <w:sz w:val="24"/>
              </w:rPr>
            </w:pPr>
            <w:r>
              <w:rPr>
                <w:spacing w:val="-10"/>
                <w:sz w:val="24"/>
              </w:rPr>
              <w:t>-</w:t>
            </w:r>
            <w:r>
              <w:rPr>
                <w:sz w:val="24"/>
              </w:rPr>
              <w:tab/>
            </w:r>
            <w:r>
              <w:rPr>
                <w:spacing w:val="-10"/>
                <w:sz w:val="24"/>
              </w:rPr>
              <w:t>-</w:t>
            </w:r>
          </w:p>
        </w:tc>
        <w:tc>
          <w:tcPr>
            <w:tcW w:w="589" w:type="dxa"/>
          </w:tcPr>
          <w:p>
            <w:pPr>
              <w:pStyle w:val="TableParagraph"/>
              <w:spacing w:before="230"/>
              <w:ind w:right="46"/>
              <w:jc w:val="right"/>
              <w:rPr>
                <w:sz w:val="24"/>
              </w:rPr>
            </w:pPr>
            <w:r>
              <w:rPr>
                <w:spacing w:val="-5"/>
                <w:sz w:val="24"/>
              </w:rPr>
              <w:t>41</w:t>
            </w:r>
          </w:p>
        </w:tc>
      </w:tr>
      <w:tr>
        <w:trPr>
          <w:trHeight w:val="752" w:hRule="atLeast"/>
        </w:trPr>
        <w:tc>
          <w:tcPr>
            <w:tcW w:w="6236" w:type="dxa"/>
            <w:gridSpan w:val="2"/>
          </w:tcPr>
          <w:p>
            <w:pPr>
              <w:pStyle w:val="TableParagraph"/>
              <w:tabs>
                <w:tab w:pos="769" w:val="left" w:leader="none"/>
                <w:tab w:pos="5090" w:val="left" w:leader="none"/>
                <w:tab w:pos="5811" w:val="left" w:leader="none"/>
              </w:tabs>
              <w:spacing w:before="232"/>
              <w:ind w:left="50"/>
              <w:rPr>
                <w:sz w:val="24"/>
              </w:rPr>
            </w:pPr>
            <w:r>
              <w:rPr>
                <w:spacing w:val="-2"/>
                <w:sz w:val="24"/>
              </w:rPr>
              <w:t>2.4.2</w:t>
            </w:r>
            <w:r>
              <w:rPr>
                <w:sz w:val="24"/>
              </w:rPr>
              <w:tab/>
            </w:r>
            <w:r>
              <w:rPr>
                <w:i/>
                <w:sz w:val="24"/>
              </w:rPr>
              <w:t>Escherichia</w:t>
            </w:r>
            <w:r>
              <w:rPr>
                <w:i/>
                <w:spacing w:val="-4"/>
                <w:sz w:val="24"/>
              </w:rPr>
              <w:t> </w:t>
            </w:r>
            <w:r>
              <w:rPr>
                <w:i/>
                <w:sz w:val="24"/>
              </w:rPr>
              <w:t>coli</w:t>
            </w:r>
            <w:r>
              <w:rPr>
                <w:i/>
                <w:spacing w:val="-1"/>
                <w:sz w:val="24"/>
              </w:rPr>
              <w:t> </w:t>
            </w:r>
            <w:r>
              <w:rPr>
                <w:sz w:val="24"/>
              </w:rPr>
              <w:t>induced abdominal</w:t>
            </w:r>
            <w:r>
              <w:rPr>
                <w:spacing w:val="-1"/>
                <w:sz w:val="24"/>
              </w:rPr>
              <w:t> </w:t>
            </w:r>
            <w:r>
              <w:rPr>
                <w:spacing w:val="-2"/>
                <w:sz w:val="24"/>
              </w:rPr>
              <w:t>sepsis</w:t>
            </w:r>
            <w:r>
              <w:rPr>
                <w:sz w:val="24"/>
              </w:rPr>
              <w:tab/>
            </w:r>
            <w:r>
              <w:rPr>
                <w:spacing w:val="-10"/>
                <w:sz w:val="24"/>
              </w:rPr>
              <w:t>-</w:t>
            </w:r>
            <w:r>
              <w:rPr>
                <w:sz w:val="24"/>
              </w:rPr>
              <w:tab/>
            </w:r>
            <w:r>
              <w:rPr>
                <w:spacing w:val="-10"/>
                <w:sz w:val="24"/>
              </w:rPr>
              <w:t>-</w:t>
            </w:r>
          </w:p>
        </w:tc>
        <w:tc>
          <w:tcPr>
            <w:tcW w:w="1334" w:type="dxa"/>
          </w:tcPr>
          <w:p>
            <w:pPr>
              <w:pStyle w:val="TableParagraph"/>
              <w:tabs>
                <w:tab w:pos="776" w:val="left" w:leader="none"/>
              </w:tabs>
              <w:spacing w:before="232"/>
              <w:ind w:left="56"/>
              <w:jc w:val="center"/>
              <w:rPr>
                <w:sz w:val="24"/>
              </w:rPr>
            </w:pPr>
            <w:r>
              <w:rPr>
                <w:spacing w:val="-10"/>
                <w:sz w:val="24"/>
              </w:rPr>
              <w:t>-</w:t>
            </w:r>
            <w:r>
              <w:rPr>
                <w:sz w:val="24"/>
              </w:rPr>
              <w:tab/>
            </w:r>
            <w:r>
              <w:rPr>
                <w:spacing w:val="-10"/>
                <w:sz w:val="24"/>
              </w:rPr>
              <w:t>-</w:t>
            </w:r>
          </w:p>
        </w:tc>
        <w:tc>
          <w:tcPr>
            <w:tcW w:w="589" w:type="dxa"/>
          </w:tcPr>
          <w:p>
            <w:pPr>
              <w:pStyle w:val="TableParagraph"/>
              <w:spacing w:before="232"/>
              <w:ind w:right="46"/>
              <w:jc w:val="right"/>
              <w:rPr>
                <w:sz w:val="24"/>
              </w:rPr>
            </w:pPr>
            <w:r>
              <w:rPr>
                <w:spacing w:val="-5"/>
                <w:sz w:val="24"/>
              </w:rPr>
              <w:t>42</w:t>
            </w:r>
          </w:p>
        </w:tc>
      </w:tr>
      <w:tr>
        <w:trPr>
          <w:trHeight w:val="1265" w:hRule="atLeast"/>
        </w:trPr>
        <w:tc>
          <w:tcPr>
            <w:tcW w:w="6236" w:type="dxa"/>
            <w:gridSpan w:val="2"/>
          </w:tcPr>
          <w:p>
            <w:pPr>
              <w:pStyle w:val="TableParagraph"/>
              <w:tabs>
                <w:tab w:pos="769" w:val="left" w:leader="none"/>
                <w:tab w:pos="5811" w:val="left" w:leader="none"/>
              </w:tabs>
              <w:spacing w:before="234"/>
              <w:ind w:left="50"/>
              <w:rPr>
                <w:sz w:val="24"/>
              </w:rPr>
            </w:pPr>
            <w:r>
              <w:rPr>
                <w:spacing w:val="-2"/>
                <w:sz w:val="24"/>
              </w:rPr>
              <w:t>2.4.3</w:t>
            </w:r>
            <w:r>
              <w:rPr>
                <w:sz w:val="24"/>
              </w:rPr>
              <w:tab/>
              <w:t>Antibody</w:t>
            </w:r>
            <w:r>
              <w:rPr>
                <w:spacing w:val="-5"/>
                <w:sz w:val="24"/>
              </w:rPr>
              <w:t> </w:t>
            </w:r>
            <w:r>
              <w:rPr>
                <w:sz w:val="24"/>
              </w:rPr>
              <w:t>response to sheep</w:t>
            </w:r>
            <w:r>
              <w:rPr>
                <w:spacing w:val="1"/>
                <w:sz w:val="24"/>
              </w:rPr>
              <w:t> </w:t>
            </w:r>
            <w:r>
              <w:rPr>
                <w:sz w:val="24"/>
              </w:rPr>
              <w:t>red blood cells</w:t>
            </w:r>
            <w:r>
              <w:rPr>
                <w:spacing w:val="34"/>
                <w:sz w:val="24"/>
              </w:rPr>
              <w:t>  </w:t>
            </w:r>
            <w:r>
              <w:rPr>
                <w:spacing w:val="-10"/>
                <w:sz w:val="24"/>
              </w:rPr>
              <w:t>-</w:t>
            </w:r>
            <w:r>
              <w:rPr>
                <w:sz w:val="24"/>
              </w:rPr>
              <w:tab/>
            </w:r>
            <w:r>
              <w:rPr>
                <w:spacing w:val="-10"/>
                <w:sz w:val="24"/>
              </w:rPr>
              <w:t>-</w:t>
            </w:r>
          </w:p>
          <w:p>
            <w:pPr>
              <w:pStyle w:val="TableParagraph"/>
              <w:spacing w:before="203"/>
              <w:rPr>
                <w:sz w:val="24"/>
              </w:rPr>
            </w:pPr>
          </w:p>
          <w:p>
            <w:pPr>
              <w:pStyle w:val="TableParagraph"/>
              <w:spacing w:line="256" w:lineRule="exact" w:before="1"/>
              <w:ind w:left="3290"/>
              <w:rPr>
                <w:b/>
                <w:sz w:val="24"/>
              </w:rPr>
            </w:pPr>
            <w:r>
              <w:rPr>
                <w:b/>
                <w:sz w:val="24"/>
              </w:rPr>
              <w:t>CHAPTER</w:t>
            </w:r>
            <w:r>
              <w:rPr>
                <w:b/>
                <w:spacing w:val="-4"/>
                <w:sz w:val="24"/>
              </w:rPr>
              <w:t> </w:t>
            </w:r>
            <w:r>
              <w:rPr>
                <w:b/>
                <w:spacing w:val="-2"/>
                <w:sz w:val="24"/>
              </w:rPr>
              <w:t>THREE</w:t>
            </w:r>
          </w:p>
        </w:tc>
        <w:tc>
          <w:tcPr>
            <w:tcW w:w="1334" w:type="dxa"/>
          </w:tcPr>
          <w:p>
            <w:pPr>
              <w:pStyle w:val="TableParagraph"/>
              <w:tabs>
                <w:tab w:pos="776" w:val="left" w:leader="none"/>
              </w:tabs>
              <w:spacing w:before="234"/>
              <w:ind w:left="56"/>
              <w:jc w:val="center"/>
              <w:rPr>
                <w:sz w:val="24"/>
              </w:rPr>
            </w:pPr>
            <w:r>
              <w:rPr>
                <w:spacing w:val="-10"/>
                <w:sz w:val="24"/>
              </w:rPr>
              <w:t>-</w:t>
            </w:r>
            <w:r>
              <w:rPr>
                <w:sz w:val="24"/>
              </w:rPr>
              <w:tab/>
            </w:r>
            <w:r>
              <w:rPr>
                <w:spacing w:val="-10"/>
                <w:sz w:val="24"/>
              </w:rPr>
              <w:t>-</w:t>
            </w:r>
          </w:p>
        </w:tc>
        <w:tc>
          <w:tcPr>
            <w:tcW w:w="589" w:type="dxa"/>
          </w:tcPr>
          <w:p>
            <w:pPr>
              <w:pStyle w:val="TableParagraph"/>
              <w:spacing w:before="234"/>
              <w:ind w:right="46"/>
              <w:jc w:val="right"/>
              <w:rPr>
                <w:sz w:val="24"/>
              </w:rPr>
            </w:pPr>
            <w:r>
              <w:rPr>
                <w:spacing w:val="-5"/>
                <w:sz w:val="24"/>
              </w:rPr>
              <w:t>42</w:t>
            </w:r>
          </w:p>
        </w:tc>
      </w:tr>
      <w:tr>
        <w:trPr>
          <w:trHeight w:val="995" w:hRule="atLeast"/>
        </w:trPr>
        <w:tc>
          <w:tcPr>
            <w:tcW w:w="5560" w:type="dxa"/>
          </w:tcPr>
          <w:p>
            <w:pPr>
              <w:pStyle w:val="TableParagraph"/>
              <w:spacing w:before="199"/>
              <w:rPr>
                <w:sz w:val="24"/>
              </w:rPr>
            </w:pPr>
          </w:p>
          <w:p>
            <w:pPr>
              <w:pStyle w:val="TableParagraph"/>
              <w:tabs>
                <w:tab w:pos="769" w:val="left" w:leader="none"/>
                <w:tab w:pos="4370" w:val="left" w:leader="none"/>
                <w:tab w:pos="5090" w:val="left" w:leader="none"/>
              </w:tabs>
              <w:ind w:left="50"/>
              <w:rPr>
                <w:b/>
                <w:sz w:val="24"/>
              </w:rPr>
            </w:pPr>
            <w:r>
              <w:rPr>
                <w:b/>
                <w:spacing w:val="-5"/>
                <w:sz w:val="24"/>
              </w:rPr>
              <w:t>3.0</w:t>
            </w:r>
            <w:r>
              <w:rPr>
                <w:b/>
                <w:sz w:val="24"/>
              </w:rPr>
              <w:tab/>
              <w:t>MATERIALS</w:t>
            </w:r>
            <w:r>
              <w:rPr>
                <w:b/>
                <w:spacing w:val="-2"/>
                <w:sz w:val="24"/>
              </w:rPr>
              <w:t> </w:t>
            </w:r>
            <w:r>
              <w:rPr>
                <w:b/>
                <w:sz w:val="24"/>
              </w:rPr>
              <w:t>AND</w:t>
            </w:r>
            <w:r>
              <w:rPr>
                <w:b/>
                <w:spacing w:val="-1"/>
                <w:sz w:val="24"/>
              </w:rPr>
              <w:t> </w:t>
            </w:r>
            <w:r>
              <w:rPr>
                <w:b/>
                <w:spacing w:val="-2"/>
                <w:sz w:val="24"/>
              </w:rPr>
              <w:t>METHODS</w:t>
            </w:r>
            <w:r>
              <w:rPr>
                <w:b/>
                <w:sz w:val="24"/>
              </w:rPr>
              <w:tab/>
            </w:r>
            <w:r>
              <w:rPr>
                <w:b/>
                <w:spacing w:val="-10"/>
                <w:sz w:val="24"/>
              </w:rPr>
              <w:t>-</w:t>
            </w:r>
            <w:r>
              <w:rPr>
                <w:b/>
                <w:sz w:val="24"/>
              </w:rPr>
              <w:tab/>
            </w:r>
            <w:r>
              <w:rPr>
                <w:b/>
                <w:spacing w:val="-10"/>
                <w:sz w:val="24"/>
              </w:rPr>
              <w:t>-</w:t>
            </w:r>
          </w:p>
        </w:tc>
        <w:tc>
          <w:tcPr>
            <w:tcW w:w="2010" w:type="dxa"/>
            <w:gridSpan w:val="2"/>
          </w:tcPr>
          <w:p>
            <w:pPr>
              <w:pStyle w:val="TableParagraph"/>
              <w:spacing w:before="199"/>
              <w:rPr>
                <w:sz w:val="24"/>
              </w:rPr>
            </w:pPr>
          </w:p>
          <w:p>
            <w:pPr>
              <w:pStyle w:val="TableParagraph"/>
              <w:tabs>
                <w:tab w:pos="971" w:val="left" w:leader="none"/>
                <w:tab w:pos="1691" w:val="left" w:leader="none"/>
              </w:tabs>
              <w:ind w:left="251"/>
              <w:rPr>
                <w:b/>
                <w:sz w:val="24"/>
              </w:rPr>
            </w:pPr>
            <w:r>
              <w:rPr>
                <w:b/>
                <w:spacing w:val="-10"/>
                <w:sz w:val="24"/>
              </w:rPr>
              <w:t>-</w:t>
            </w:r>
            <w:r>
              <w:rPr>
                <w:b/>
                <w:sz w:val="24"/>
              </w:rPr>
              <w:tab/>
            </w:r>
            <w:r>
              <w:rPr>
                <w:b/>
                <w:spacing w:val="-10"/>
                <w:sz w:val="24"/>
              </w:rPr>
              <w:t>-</w:t>
            </w:r>
            <w:r>
              <w:rPr>
                <w:b/>
                <w:sz w:val="24"/>
              </w:rPr>
              <w:tab/>
            </w:r>
            <w:r>
              <w:rPr>
                <w:b/>
                <w:spacing w:val="-10"/>
                <w:sz w:val="24"/>
              </w:rPr>
              <w:t>-</w:t>
            </w:r>
          </w:p>
        </w:tc>
        <w:tc>
          <w:tcPr>
            <w:tcW w:w="589" w:type="dxa"/>
          </w:tcPr>
          <w:p>
            <w:pPr>
              <w:pStyle w:val="TableParagraph"/>
              <w:spacing w:before="199"/>
              <w:rPr>
                <w:sz w:val="24"/>
              </w:rPr>
            </w:pPr>
          </w:p>
          <w:p>
            <w:pPr>
              <w:pStyle w:val="TableParagraph"/>
              <w:ind w:right="46"/>
              <w:jc w:val="right"/>
              <w:rPr>
                <w:b/>
                <w:sz w:val="24"/>
              </w:rPr>
            </w:pPr>
            <w:r>
              <w:rPr>
                <w:b/>
                <w:spacing w:val="-5"/>
                <w:sz w:val="24"/>
              </w:rPr>
              <w:t>43</w:t>
            </w:r>
          </w:p>
        </w:tc>
      </w:tr>
      <w:tr>
        <w:trPr>
          <w:trHeight w:val="750" w:hRule="atLeast"/>
        </w:trPr>
        <w:tc>
          <w:tcPr>
            <w:tcW w:w="5560" w:type="dxa"/>
          </w:tcPr>
          <w:p>
            <w:pPr>
              <w:pStyle w:val="TableParagraph"/>
              <w:tabs>
                <w:tab w:pos="769" w:val="left" w:leader="none"/>
                <w:tab w:pos="2210" w:val="left" w:leader="none"/>
                <w:tab w:pos="2930" w:val="left" w:leader="none"/>
                <w:tab w:pos="3650" w:val="left" w:leader="none"/>
                <w:tab w:pos="4370" w:val="left" w:leader="none"/>
                <w:tab w:pos="5090" w:val="left" w:leader="none"/>
              </w:tabs>
              <w:spacing w:before="233"/>
              <w:ind w:left="50"/>
              <w:rPr>
                <w:b/>
                <w:sz w:val="24"/>
              </w:rPr>
            </w:pPr>
            <w:r>
              <w:rPr>
                <w:b/>
                <w:spacing w:val="-5"/>
                <w:sz w:val="24"/>
              </w:rPr>
              <w:t>3.1</w:t>
            </w:r>
            <w:r>
              <w:rPr>
                <w:b/>
                <w:sz w:val="24"/>
              </w:rPr>
              <w:tab/>
            </w:r>
            <w:r>
              <w:rPr>
                <w:b/>
                <w:spacing w:val="-2"/>
                <w:sz w:val="24"/>
              </w:rPr>
              <w:t>Materials</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p>
        </w:tc>
        <w:tc>
          <w:tcPr>
            <w:tcW w:w="2010" w:type="dxa"/>
            <w:gridSpan w:val="2"/>
          </w:tcPr>
          <w:p>
            <w:pPr>
              <w:pStyle w:val="TableParagraph"/>
              <w:tabs>
                <w:tab w:pos="971" w:val="left" w:leader="none"/>
                <w:tab w:pos="1691" w:val="left" w:leader="none"/>
              </w:tabs>
              <w:spacing w:before="233"/>
              <w:ind w:left="251"/>
              <w:rPr>
                <w:b/>
                <w:sz w:val="24"/>
              </w:rPr>
            </w:pPr>
            <w:r>
              <w:rPr>
                <w:b/>
                <w:spacing w:val="-10"/>
                <w:sz w:val="24"/>
              </w:rPr>
              <w:t>-</w:t>
            </w:r>
            <w:r>
              <w:rPr>
                <w:b/>
                <w:sz w:val="24"/>
              </w:rPr>
              <w:tab/>
            </w:r>
            <w:r>
              <w:rPr>
                <w:b/>
                <w:spacing w:val="-10"/>
                <w:sz w:val="24"/>
              </w:rPr>
              <w:t>-</w:t>
            </w:r>
            <w:r>
              <w:rPr>
                <w:b/>
                <w:sz w:val="24"/>
              </w:rPr>
              <w:tab/>
            </w:r>
            <w:r>
              <w:rPr>
                <w:b/>
                <w:spacing w:val="-10"/>
                <w:sz w:val="24"/>
              </w:rPr>
              <w:t>-</w:t>
            </w:r>
          </w:p>
        </w:tc>
        <w:tc>
          <w:tcPr>
            <w:tcW w:w="589" w:type="dxa"/>
          </w:tcPr>
          <w:p>
            <w:pPr>
              <w:pStyle w:val="TableParagraph"/>
              <w:spacing w:before="233"/>
              <w:ind w:right="46"/>
              <w:jc w:val="right"/>
              <w:rPr>
                <w:b/>
                <w:sz w:val="24"/>
              </w:rPr>
            </w:pPr>
            <w:r>
              <w:rPr>
                <w:b/>
                <w:spacing w:val="-5"/>
                <w:sz w:val="24"/>
              </w:rPr>
              <w:t>43</w:t>
            </w:r>
          </w:p>
        </w:tc>
      </w:tr>
      <w:tr>
        <w:trPr>
          <w:trHeight w:val="749" w:hRule="atLeast"/>
        </w:trPr>
        <w:tc>
          <w:tcPr>
            <w:tcW w:w="5560" w:type="dxa"/>
          </w:tcPr>
          <w:p>
            <w:pPr>
              <w:pStyle w:val="TableParagraph"/>
              <w:tabs>
                <w:tab w:pos="769" w:val="left" w:leader="none"/>
              </w:tabs>
              <w:spacing w:before="230"/>
              <w:ind w:left="50"/>
              <w:rPr>
                <w:sz w:val="24"/>
              </w:rPr>
            </w:pPr>
            <w:r>
              <w:rPr>
                <w:spacing w:val="-2"/>
                <w:sz w:val="24"/>
              </w:rPr>
              <w:t>3.1.1</w:t>
            </w:r>
            <w:r>
              <w:rPr>
                <w:sz w:val="24"/>
              </w:rPr>
              <w:tab/>
              <w:t>Collection</w:t>
            </w:r>
            <w:r>
              <w:rPr>
                <w:spacing w:val="-2"/>
                <w:sz w:val="24"/>
              </w:rPr>
              <w:t> </w:t>
            </w:r>
            <w:r>
              <w:rPr>
                <w:sz w:val="24"/>
              </w:rPr>
              <w:t>and</w:t>
            </w:r>
            <w:r>
              <w:rPr>
                <w:spacing w:val="1"/>
                <w:sz w:val="24"/>
              </w:rPr>
              <w:t> </w:t>
            </w:r>
            <w:r>
              <w:rPr>
                <w:sz w:val="24"/>
              </w:rPr>
              <w:t>Identification</w:t>
            </w:r>
            <w:r>
              <w:rPr>
                <w:spacing w:val="-1"/>
                <w:sz w:val="24"/>
              </w:rPr>
              <w:t> </w:t>
            </w:r>
            <w:r>
              <w:rPr>
                <w:sz w:val="24"/>
              </w:rPr>
              <w:t>of</w:t>
            </w:r>
            <w:r>
              <w:rPr>
                <w:spacing w:val="-1"/>
                <w:sz w:val="24"/>
              </w:rPr>
              <w:t> </w:t>
            </w:r>
            <w:r>
              <w:rPr>
                <w:sz w:val="24"/>
              </w:rPr>
              <w:t>Plant</w:t>
            </w:r>
            <w:r>
              <w:rPr>
                <w:spacing w:val="-1"/>
                <w:sz w:val="24"/>
              </w:rPr>
              <w:t> </w:t>
            </w:r>
            <w:r>
              <w:rPr>
                <w:spacing w:val="-2"/>
                <w:sz w:val="24"/>
              </w:rPr>
              <w:t>Materials</w:t>
            </w:r>
          </w:p>
        </w:tc>
        <w:tc>
          <w:tcPr>
            <w:tcW w:w="2010" w:type="dxa"/>
            <w:gridSpan w:val="2"/>
          </w:tcPr>
          <w:p>
            <w:pPr>
              <w:pStyle w:val="TableParagraph"/>
              <w:tabs>
                <w:tab w:pos="971" w:val="left" w:leader="none"/>
                <w:tab w:pos="1691" w:val="left" w:leader="none"/>
              </w:tabs>
              <w:spacing w:before="230"/>
              <w:ind w:left="251"/>
              <w:rPr>
                <w:sz w:val="24"/>
              </w:rPr>
            </w:pPr>
            <w:r>
              <w:rPr>
                <w:spacing w:val="-10"/>
                <w:sz w:val="24"/>
              </w:rPr>
              <w:t>-</w:t>
            </w:r>
            <w:r>
              <w:rPr>
                <w:sz w:val="24"/>
              </w:rPr>
              <w:tab/>
            </w:r>
            <w:r>
              <w:rPr>
                <w:spacing w:val="-10"/>
                <w:sz w:val="24"/>
              </w:rPr>
              <w:t>-</w:t>
            </w:r>
            <w:r>
              <w:rPr>
                <w:sz w:val="24"/>
              </w:rPr>
              <w:tab/>
            </w:r>
            <w:r>
              <w:rPr>
                <w:spacing w:val="-10"/>
                <w:sz w:val="24"/>
              </w:rPr>
              <w:t>-</w:t>
            </w:r>
          </w:p>
        </w:tc>
        <w:tc>
          <w:tcPr>
            <w:tcW w:w="589" w:type="dxa"/>
          </w:tcPr>
          <w:p>
            <w:pPr>
              <w:pStyle w:val="TableParagraph"/>
              <w:spacing w:before="230"/>
              <w:ind w:left="240"/>
              <w:rPr>
                <w:sz w:val="24"/>
              </w:rPr>
            </w:pPr>
            <w:r>
              <w:rPr>
                <w:spacing w:val="-5"/>
                <w:sz w:val="24"/>
              </w:rPr>
              <w:t>43</w:t>
            </w:r>
          </w:p>
        </w:tc>
      </w:tr>
      <w:tr>
        <w:trPr>
          <w:trHeight w:val="752" w:hRule="atLeast"/>
        </w:trPr>
        <w:tc>
          <w:tcPr>
            <w:tcW w:w="5560" w:type="dxa"/>
          </w:tcPr>
          <w:p>
            <w:pPr>
              <w:pStyle w:val="TableParagraph"/>
              <w:tabs>
                <w:tab w:pos="769" w:val="left" w:leader="none"/>
                <w:tab w:pos="3650" w:val="left" w:leader="none"/>
                <w:tab w:pos="4370" w:val="left" w:leader="none"/>
                <w:tab w:pos="5090" w:val="left" w:leader="none"/>
              </w:tabs>
              <w:spacing w:before="233"/>
              <w:ind w:left="50"/>
              <w:rPr>
                <w:sz w:val="24"/>
              </w:rPr>
            </w:pPr>
            <w:r>
              <w:rPr>
                <w:spacing w:val="-2"/>
                <w:sz w:val="24"/>
              </w:rPr>
              <w:t>3.1.2</w:t>
            </w:r>
            <w:r>
              <w:rPr>
                <w:sz w:val="24"/>
              </w:rPr>
              <w:tab/>
              <w:t>Experimental</w:t>
            </w:r>
            <w:r>
              <w:rPr>
                <w:spacing w:val="-1"/>
                <w:sz w:val="24"/>
              </w:rPr>
              <w:t> </w:t>
            </w:r>
            <w:r>
              <w:rPr>
                <w:spacing w:val="-2"/>
                <w:sz w:val="24"/>
              </w:rPr>
              <w:t>Animals</w:t>
            </w:r>
            <w:r>
              <w:rPr>
                <w:sz w:val="24"/>
              </w:rPr>
              <w:tab/>
            </w:r>
            <w:r>
              <w:rPr>
                <w:spacing w:val="-10"/>
                <w:sz w:val="24"/>
              </w:rPr>
              <w:t>-</w:t>
            </w:r>
            <w:r>
              <w:rPr>
                <w:sz w:val="24"/>
              </w:rPr>
              <w:tab/>
            </w:r>
            <w:r>
              <w:rPr>
                <w:spacing w:val="-10"/>
                <w:sz w:val="24"/>
              </w:rPr>
              <w:t>-</w:t>
            </w:r>
            <w:r>
              <w:rPr>
                <w:sz w:val="24"/>
              </w:rPr>
              <w:tab/>
            </w:r>
            <w:r>
              <w:rPr>
                <w:spacing w:val="-10"/>
                <w:sz w:val="24"/>
              </w:rPr>
              <w:t>-</w:t>
            </w:r>
          </w:p>
        </w:tc>
        <w:tc>
          <w:tcPr>
            <w:tcW w:w="2010" w:type="dxa"/>
            <w:gridSpan w:val="2"/>
          </w:tcPr>
          <w:p>
            <w:pPr>
              <w:pStyle w:val="TableParagraph"/>
              <w:tabs>
                <w:tab w:pos="971" w:val="left" w:leader="none"/>
                <w:tab w:pos="1691" w:val="left" w:leader="none"/>
              </w:tabs>
              <w:spacing w:before="233"/>
              <w:ind w:left="251"/>
              <w:rPr>
                <w:sz w:val="24"/>
              </w:rPr>
            </w:pPr>
            <w:r>
              <w:rPr>
                <w:spacing w:val="-10"/>
                <w:sz w:val="24"/>
              </w:rPr>
              <w:t>-</w:t>
            </w:r>
            <w:r>
              <w:rPr>
                <w:sz w:val="24"/>
              </w:rPr>
              <w:tab/>
            </w:r>
            <w:r>
              <w:rPr>
                <w:spacing w:val="-10"/>
                <w:sz w:val="24"/>
              </w:rPr>
              <w:t>-</w:t>
            </w:r>
            <w:r>
              <w:rPr>
                <w:sz w:val="24"/>
              </w:rPr>
              <w:tab/>
            </w:r>
            <w:r>
              <w:rPr>
                <w:spacing w:val="-10"/>
                <w:sz w:val="24"/>
              </w:rPr>
              <w:t>-</w:t>
            </w:r>
          </w:p>
        </w:tc>
        <w:tc>
          <w:tcPr>
            <w:tcW w:w="589" w:type="dxa"/>
          </w:tcPr>
          <w:p>
            <w:pPr>
              <w:pStyle w:val="TableParagraph"/>
              <w:spacing w:before="233"/>
              <w:ind w:left="240"/>
              <w:rPr>
                <w:sz w:val="24"/>
              </w:rPr>
            </w:pPr>
            <w:r>
              <w:rPr>
                <w:spacing w:val="-5"/>
                <w:sz w:val="24"/>
              </w:rPr>
              <w:t>43</w:t>
            </w:r>
          </w:p>
        </w:tc>
      </w:tr>
      <w:tr>
        <w:trPr>
          <w:trHeight w:val="752" w:hRule="atLeast"/>
        </w:trPr>
        <w:tc>
          <w:tcPr>
            <w:tcW w:w="5560" w:type="dxa"/>
          </w:tcPr>
          <w:p>
            <w:pPr>
              <w:pStyle w:val="TableParagraph"/>
              <w:tabs>
                <w:tab w:pos="769" w:val="left" w:leader="none"/>
                <w:tab w:pos="2930" w:val="left" w:leader="none"/>
                <w:tab w:pos="3650" w:val="left" w:leader="none"/>
                <w:tab w:pos="4370" w:val="left" w:leader="none"/>
                <w:tab w:pos="5090" w:val="left" w:leader="none"/>
              </w:tabs>
              <w:spacing w:before="233"/>
              <w:ind w:left="50"/>
              <w:rPr>
                <w:sz w:val="24"/>
              </w:rPr>
            </w:pPr>
            <w:r>
              <w:rPr>
                <w:spacing w:val="-2"/>
                <w:sz w:val="24"/>
              </w:rPr>
              <w:t>3.1.3</w:t>
            </w:r>
            <w:r>
              <w:rPr>
                <w:sz w:val="24"/>
              </w:rPr>
              <w:tab/>
            </w:r>
            <w:r>
              <w:rPr>
                <w:spacing w:val="-2"/>
                <w:sz w:val="24"/>
              </w:rPr>
              <w:t>Microorganisms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2010" w:type="dxa"/>
            <w:gridSpan w:val="2"/>
          </w:tcPr>
          <w:p>
            <w:pPr>
              <w:pStyle w:val="TableParagraph"/>
              <w:tabs>
                <w:tab w:pos="971" w:val="left" w:leader="none"/>
                <w:tab w:pos="1691" w:val="left" w:leader="none"/>
              </w:tabs>
              <w:spacing w:before="233"/>
              <w:ind w:left="251"/>
              <w:rPr>
                <w:sz w:val="24"/>
              </w:rPr>
            </w:pPr>
            <w:r>
              <w:rPr>
                <w:spacing w:val="-10"/>
                <w:sz w:val="24"/>
              </w:rPr>
              <w:t>-</w:t>
            </w:r>
            <w:r>
              <w:rPr>
                <w:sz w:val="24"/>
              </w:rPr>
              <w:tab/>
            </w:r>
            <w:r>
              <w:rPr>
                <w:spacing w:val="-10"/>
                <w:sz w:val="24"/>
              </w:rPr>
              <w:t>-</w:t>
            </w:r>
            <w:r>
              <w:rPr>
                <w:sz w:val="24"/>
              </w:rPr>
              <w:tab/>
            </w:r>
            <w:r>
              <w:rPr>
                <w:spacing w:val="-10"/>
                <w:sz w:val="24"/>
              </w:rPr>
              <w:t>-</w:t>
            </w:r>
          </w:p>
        </w:tc>
        <w:tc>
          <w:tcPr>
            <w:tcW w:w="589" w:type="dxa"/>
          </w:tcPr>
          <w:p>
            <w:pPr>
              <w:pStyle w:val="TableParagraph"/>
              <w:spacing w:before="233"/>
              <w:ind w:left="240"/>
              <w:rPr>
                <w:sz w:val="24"/>
              </w:rPr>
            </w:pPr>
            <w:r>
              <w:rPr>
                <w:spacing w:val="-5"/>
                <w:sz w:val="24"/>
              </w:rPr>
              <w:t>43</w:t>
            </w:r>
          </w:p>
        </w:tc>
      </w:tr>
      <w:tr>
        <w:trPr>
          <w:trHeight w:val="751" w:hRule="atLeast"/>
        </w:trPr>
        <w:tc>
          <w:tcPr>
            <w:tcW w:w="5560" w:type="dxa"/>
          </w:tcPr>
          <w:p>
            <w:pPr>
              <w:pStyle w:val="TableParagraph"/>
              <w:tabs>
                <w:tab w:pos="769" w:val="left" w:leader="none"/>
                <w:tab w:pos="3650" w:val="left" w:leader="none"/>
                <w:tab w:pos="4370" w:val="left" w:leader="none"/>
                <w:tab w:pos="5090" w:val="left" w:leader="none"/>
              </w:tabs>
              <w:spacing w:before="232"/>
              <w:ind w:left="50"/>
              <w:rPr>
                <w:sz w:val="24"/>
              </w:rPr>
            </w:pPr>
            <w:r>
              <w:rPr>
                <w:spacing w:val="-2"/>
                <w:sz w:val="24"/>
              </w:rPr>
              <w:t>3.1.4</w:t>
            </w:r>
            <w:r>
              <w:rPr>
                <w:sz w:val="24"/>
              </w:rPr>
              <w:tab/>
              <w:t>Sheep</w:t>
            </w:r>
            <w:r>
              <w:rPr>
                <w:spacing w:val="-1"/>
                <w:sz w:val="24"/>
              </w:rPr>
              <w:t> </w:t>
            </w:r>
            <w:r>
              <w:rPr>
                <w:sz w:val="24"/>
              </w:rPr>
              <w:t>red</w:t>
            </w:r>
            <w:r>
              <w:rPr>
                <w:spacing w:val="-1"/>
                <w:sz w:val="24"/>
              </w:rPr>
              <w:t> </w:t>
            </w:r>
            <w:r>
              <w:rPr>
                <w:sz w:val="24"/>
              </w:rPr>
              <w:t>blood</w:t>
            </w:r>
            <w:r>
              <w:rPr>
                <w:spacing w:val="-1"/>
                <w:sz w:val="24"/>
              </w:rPr>
              <w:t> </w:t>
            </w:r>
            <w:r>
              <w:rPr>
                <w:sz w:val="24"/>
              </w:rPr>
              <w:t>cells</w:t>
            </w:r>
            <w:r>
              <w:rPr>
                <w:spacing w:val="40"/>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2010" w:type="dxa"/>
            <w:gridSpan w:val="2"/>
          </w:tcPr>
          <w:p>
            <w:pPr>
              <w:pStyle w:val="TableParagraph"/>
              <w:tabs>
                <w:tab w:pos="971" w:val="left" w:leader="none"/>
                <w:tab w:pos="1691" w:val="left" w:leader="none"/>
              </w:tabs>
              <w:spacing w:before="232"/>
              <w:ind w:left="251"/>
              <w:rPr>
                <w:sz w:val="24"/>
              </w:rPr>
            </w:pPr>
            <w:r>
              <w:rPr>
                <w:spacing w:val="-10"/>
                <w:sz w:val="24"/>
              </w:rPr>
              <w:t>-</w:t>
            </w:r>
            <w:r>
              <w:rPr>
                <w:sz w:val="24"/>
              </w:rPr>
              <w:tab/>
            </w:r>
            <w:r>
              <w:rPr>
                <w:spacing w:val="-10"/>
                <w:sz w:val="24"/>
              </w:rPr>
              <w:t>-</w:t>
            </w:r>
            <w:r>
              <w:rPr>
                <w:sz w:val="24"/>
              </w:rPr>
              <w:tab/>
            </w:r>
            <w:r>
              <w:rPr>
                <w:spacing w:val="-10"/>
                <w:sz w:val="24"/>
              </w:rPr>
              <w:t>-</w:t>
            </w:r>
          </w:p>
        </w:tc>
        <w:tc>
          <w:tcPr>
            <w:tcW w:w="589" w:type="dxa"/>
          </w:tcPr>
          <w:p>
            <w:pPr>
              <w:pStyle w:val="TableParagraph"/>
              <w:spacing w:before="232"/>
              <w:ind w:left="240"/>
              <w:rPr>
                <w:sz w:val="24"/>
              </w:rPr>
            </w:pPr>
            <w:r>
              <w:rPr>
                <w:spacing w:val="-5"/>
                <w:sz w:val="24"/>
              </w:rPr>
              <w:t>44</w:t>
            </w:r>
          </w:p>
        </w:tc>
      </w:tr>
      <w:tr>
        <w:trPr>
          <w:trHeight w:val="752" w:hRule="atLeast"/>
        </w:trPr>
        <w:tc>
          <w:tcPr>
            <w:tcW w:w="5560" w:type="dxa"/>
          </w:tcPr>
          <w:p>
            <w:pPr>
              <w:pStyle w:val="TableParagraph"/>
              <w:tabs>
                <w:tab w:pos="769" w:val="left" w:leader="none"/>
                <w:tab w:pos="2210" w:val="left" w:leader="none"/>
                <w:tab w:pos="2930" w:val="left" w:leader="none"/>
                <w:tab w:pos="3650" w:val="left" w:leader="none"/>
                <w:tab w:pos="4370" w:val="left" w:leader="none"/>
                <w:tab w:pos="5090" w:val="left" w:leader="none"/>
              </w:tabs>
              <w:spacing w:before="232"/>
              <w:ind w:left="50"/>
              <w:rPr>
                <w:sz w:val="24"/>
              </w:rPr>
            </w:pPr>
            <w:r>
              <w:rPr>
                <w:spacing w:val="-2"/>
                <w:sz w:val="24"/>
              </w:rPr>
              <w:t>3.1.5</w:t>
            </w:r>
            <w:r>
              <w:rPr>
                <w:sz w:val="24"/>
              </w:rPr>
              <w:tab/>
            </w:r>
            <w:r>
              <w:rPr>
                <w:spacing w:val="-2"/>
                <w:sz w:val="24"/>
              </w:rPr>
              <w:t>Equipments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2010" w:type="dxa"/>
            <w:gridSpan w:val="2"/>
          </w:tcPr>
          <w:p>
            <w:pPr>
              <w:pStyle w:val="TableParagraph"/>
              <w:tabs>
                <w:tab w:pos="971" w:val="left" w:leader="none"/>
                <w:tab w:pos="1691" w:val="left" w:leader="none"/>
              </w:tabs>
              <w:spacing w:before="232"/>
              <w:ind w:left="251"/>
              <w:rPr>
                <w:sz w:val="24"/>
              </w:rPr>
            </w:pPr>
            <w:r>
              <w:rPr>
                <w:spacing w:val="-10"/>
                <w:sz w:val="24"/>
              </w:rPr>
              <w:t>-</w:t>
            </w:r>
            <w:r>
              <w:rPr>
                <w:sz w:val="24"/>
              </w:rPr>
              <w:tab/>
            </w:r>
            <w:r>
              <w:rPr>
                <w:spacing w:val="-10"/>
                <w:sz w:val="24"/>
              </w:rPr>
              <w:t>-</w:t>
            </w:r>
            <w:r>
              <w:rPr>
                <w:sz w:val="24"/>
              </w:rPr>
              <w:tab/>
            </w:r>
            <w:r>
              <w:rPr>
                <w:spacing w:val="-10"/>
                <w:sz w:val="24"/>
              </w:rPr>
              <w:t>-</w:t>
            </w:r>
          </w:p>
        </w:tc>
        <w:tc>
          <w:tcPr>
            <w:tcW w:w="589" w:type="dxa"/>
          </w:tcPr>
          <w:p>
            <w:pPr>
              <w:pStyle w:val="TableParagraph"/>
              <w:spacing w:before="232"/>
              <w:ind w:left="240"/>
              <w:rPr>
                <w:sz w:val="24"/>
              </w:rPr>
            </w:pPr>
            <w:r>
              <w:rPr>
                <w:spacing w:val="-5"/>
                <w:sz w:val="24"/>
              </w:rPr>
              <w:t>44</w:t>
            </w:r>
          </w:p>
        </w:tc>
      </w:tr>
      <w:tr>
        <w:trPr>
          <w:trHeight w:val="509" w:hRule="atLeast"/>
        </w:trPr>
        <w:tc>
          <w:tcPr>
            <w:tcW w:w="5560" w:type="dxa"/>
          </w:tcPr>
          <w:p>
            <w:pPr>
              <w:pStyle w:val="TableParagraph"/>
              <w:tabs>
                <w:tab w:pos="769" w:val="left" w:leader="none"/>
                <w:tab w:pos="4370" w:val="left" w:leader="none"/>
                <w:tab w:pos="5090" w:val="left" w:leader="none"/>
              </w:tabs>
              <w:spacing w:line="256" w:lineRule="exact" w:before="234"/>
              <w:ind w:left="50"/>
              <w:rPr>
                <w:sz w:val="24"/>
              </w:rPr>
            </w:pPr>
            <w:r>
              <w:rPr>
                <w:spacing w:val="-2"/>
                <w:sz w:val="24"/>
              </w:rPr>
              <w:t>3.1.6</w:t>
            </w:r>
            <w:r>
              <w:rPr>
                <w:sz w:val="24"/>
              </w:rPr>
              <w:tab/>
              <w:t>Drugs,</w:t>
            </w:r>
            <w:r>
              <w:rPr>
                <w:spacing w:val="-2"/>
                <w:sz w:val="24"/>
              </w:rPr>
              <w:t> </w:t>
            </w:r>
            <w:r>
              <w:rPr>
                <w:sz w:val="24"/>
              </w:rPr>
              <w:t>Chemicals</w:t>
            </w:r>
            <w:r>
              <w:rPr>
                <w:spacing w:val="-2"/>
                <w:sz w:val="24"/>
              </w:rPr>
              <w:t> </w:t>
            </w:r>
            <w:r>
              <w:rPr>
                <w:sz w:val="24"/>
              </w:rPr>
              <w:t>and</w:t>
            </w:r>
            <w:r>
              <w:rPr>
                <w:spacing w:val="-1"/>
                <w:sz w:val="24"/>
              </w:rPr>
              <w:t> </w:t>
            </w:r>
            <w:r>
              <w:rPr>
                <w:spacing w:val="-2"/>
                <w:sz w:val="24"/>
              </w:rPr>
              <w:t>Solvents</w:t>
            </w:r>
            <w:r>
              <w:rPr>
                <w:sz w:val="24"/>
              </w:rPr>
              <w:tab/>
            </w:r>
            <w:r>
              <w:rPr>
                <w:spacing w:val="-10"/>
                <w:sz w:val="24"/>
              </w:rPr>
              <w:t>-</w:t>
            </w:r>
            <w:r>
              <w:rPr>
                <w:sz w:val="24"/>
              </w:rPr>
              <w:tab/>
            </w:r>
            <w:r>
              <w:rPr>
                <w:spacing w:val="-10"/>
                <w:sz w:val="24"/>
              </w:rPr>
              <w:t>-</w:t>
            </w:r>
          </w:p>
        </w:tc>
        <w:tc>
          <w:tcPr>
            <w:tcW w:w="2010" w:type="dxa"/>
            <w:gridSpan w:val="2"/>
          </w:tcPr>
          <w:p>
            <w:pPr>
              <w:pStyle w:val="TableParagraph"/>
              <w:tabs>
                <w:tab w:pos="971" w:val="left" w:leader="none"/>
                <w:tab w:pos="1691" w:val="left" w:leader="none"/>
              </w:tabs>
              <w:spacing w:line="256" w:lineRule="exact" w:before="234"/>
              <w:ind w:left="251"/>
              <w:rPr>
                <w:sz w:val="24"/>
              </w:rPr>
            </w:pPr>
            <w:r>
              <w:rPr>
                <w:spacing w:val="-10"/>
                <w:sz w:val="24"/>
              </w:rPr>
              <w:t>-</w:t>
            </w:r>
            <w:r>
              <w:rPr>
                <w:sz w:val="24"/>
              </w:rPr>
              <w:tab/>
            </w:r>
            <w:r>
              <w:rPr>
                <w:spacing w:val="-10"/>
                <w:sz w:val="24"/>
              </w:rPr>
              <w:t>-</w:t>
            </w:r>
            <w:r>
              <w:rPr>
                <w:sz w:val="24"/>
              </w:rPr>
              <w:tab/>
            </w:r>
            <w:r>
              <w:rPr>
                <w:spacing w:val="-10"/>
                <w:sz w:val="24"/>
              </w:rPr>
              <w:t>-</w:t>
            </w:r>
          </w:p>
        </w:tc>
        <w:tc>
          <w:tcPr>
            <w:tcW w:w="589" w:type="dxa"/>
          </w:tcPr>
          <w:p>
            <w:pPr>
              <w:pStyle w:val="TableParagraph"/>
              <w:spacing w:line="256" w:lineRule="exact" w:before="234"/>
              <w:ind w:left="240"/>
              <w:rPr>
                <w:sz w:val="24"/>
              </w:rPr>
            </w:pPr>
            <w:r>
              <w:rPr>
                <w:spacing w:val="-5"/>
                <w:sz w:val="24"/>
              </w:rPr>
              <w:t>44</w:t>
            </w:r>
          </w:p>
        </w:tc>
      </w:tr>
    </w:tbl>
    <w:p>
      <w:pPr>
        <w:spacing w:after="0" w:line="256" w:lineRule="exact"/>
        <w:rPr>
          <w:sz w:val="24"/>
        </w:rPr>
        <w:sectPr>
          <w:pgSz w:w="11910" w:h="16840"/>
          <w:pgMar w:header="0" w:footer="981" w:top="1380" w:bottom="1180" w:left="1240" w:right="560"/>
        </w:sectPr>
      </w:pPr>
    </w:p>
    <w:p>
      <w:pPr>
        <w:pStyle w:val="Heading2"/>
        <w:numPr>
          <w:ilvl w:val="1"/>
          <w:numId w:val="5"/>
        </w:numPr>
        <w:tabs>
          <w:tab w:pos="1467"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72" w:after="0"/>
        <w:ind w:left="1467" w:right="0" w:hanging="720"/>
        <w:jc w:val="left"/>
      </w:pPr>
      <w:r>
        <w:rPr>
          <w:spacing w:val="-2"/>
        </w:rPr>
        <w:t>Methods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45</w:t>
      </w:r>
    </w:p>
    <w:p>
      <w:pPr>
        <w:pStyle w:val="BodyText"/>
        <w:spacing w:before="194"/>
        <w:rPr>
          <w:b/>
        </w:rPr>
      </w:pPr>
    </w:p>
    <w:p>
      <w:pPr>
        <w:pStyle w:val="ListParagraph"/>
        <w:numPr>
          <w:ilvl w:val="2"/>
          <w:numId w:val="5"/>
        </w:numPr>
        <w:tabs>
          <w:tab w:pos="1467"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sz w:val="24"/>
        </w:rPr>
      </w:pPr>
      <w:r>
        <w:rPr>
          <w:sz w:val="24"/>
        </w:rPr>
        <w:t>Preparation</w:t>
      </w:r>
      <w:r>
        <w:rPr>
          <w:spacing w:val="-2"/>
          <w:sz w:val="24"/>
        </w:rPr>
        <w:t> </w:t>
      </w:r>
      <w:r>
        <w:rPr>
          <w:sz w:val="24"/>
        </w:rPr>
        <w:t>of</w:t>
      </w:r>
      <w:r>
        <w:rPr>
          <w:spacing w:val="-3"/>
          <w:sz w:val="24"/>
        </w:rPr>
        <w:t> </w:t>
      </w:r>
      <w:r>
        <w:rPr>
          <w:sz w:val="24"/>
        </w:rPr>
        <w:t>plant</w:t>
      </w:r>
      <w:r>
        <w:rPr>
          <w:spacing w:val="1"/>
          <w:sz w:val="24"/>
        </w:rPr>
        <w:t> </w:t>
      </w:r>
      <w:r>
        <w:rPr>
          <w:spacing w:val="-2"/>
          <w:sz w:val="24"/>
        </w:rPr>
        <w:t>extract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45</w:t>
      </w:r>
    </w:p>
    <w:p>
      <w:pPr>
        <w:pStyle w:val="BodyText"/>
        <w:spacing w:before="202"/>
      </w:pPr>
    </w:p>
    <w:p>
      <w:pPr>
        <w:pStyle w:val="ListParagraph"/>
        <w:numPr>
          <w:ilvl w:val="2"/>
          <w:numId w:val="5"/>
        </w:numPr>
        <w:tabs>
          <w:tab w:pos="1467"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sz w:val="24"/>
        </w:rPr>
      </w:pPr>
      <w:r>
        <w:rPr>
          <w:sz w:val="24"/>
        </w:rPr>
        <w:t>Validation</w:t>
      </w:r>
      <w:r>
        <w:rPr>
          <w:spacing w:val="-2"/>
          <w:sz w:val="24"/>
        </w:rPr>
        <w:t> </w:t>
      </w:r>
      <w:r>
        <w:rPr>
          <w:sz w:val="24"/>
        </w:rPr>
        <w:t>of</w:t>
      </w:r>
      <w:r>
        <w:rPr>
          <w:spacing w:val="-2"/>
          <w:sz w:val="24"/>
        </w:rPr>
        <w:t> </w:t>
      </w:r>
      <w:r>
        <w:rPr>
          <w:sz w:val="24"/>
        </w:rPr>
        <w:t>phytochemical</w:t>
      </w:r>
      <w:r>
        <w:rPr>
          <w:spacing w:val="-1"/>
          <w:sz w:val="24"/>
        </w:rPr>
        <w:t> </w:t>
      </w:r>
      <w:r>
        <w:rPr>
          <w:spacing w:val="-2"/>
          <w:sz w:val="24"/>
        </w:rPr>
        <w:t>components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45</w:t>
      </w:r>
    </w:p>
    <w:p>
      <w:pPr>
        <w:pStyle w:val="BodyText"/>
        <w:spacing w:before="199"/>
      </w:pPr>
    </w:p>
    <w:p>
      <w:pPr>
        <w:pStyle w:val="ListParagraph"/>
        <w:numPr>
          <w:ilvl w:val="2"/>
          <w:numId w:val="5"/>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sz w:val="24"/>
        </w:rPr>
      </w:pPr>
      <w:r>
        <w:rPr>
          <w:sz w:val="24"/>
        </w:rPr>
        <w:t>Acute</w:t>
      </w:r>
      <w:r>
        <w:rPr>
          <w:spacing w:val="-1"/>
          <w:sz w:val="24"/>
        </w:rPr>
        <w:t> </w:t>
      </w:r>
      <w:r>
        <w:rPr>
          <w:sz w:val="24"/>
        </w:rPr>
        <w:t>toxicity</w:t>
      </w:r>
      <w:r>
        <w:rPr>
          <w:spacing w:val="-7"/>
          <w:sz w:val="24"/>
        </w:rPr>
        <w:t> </w:t>
      </w:r>
      <w:r>
        <w:rPr>
          <w:spacing w:val="-4"/>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49</w:t>
      </w:r>
    </w:p>
    <w:p>
      <w:pPr>
        <w:pStyle w:val="BodyText"/>
        <w:spacing w:before="199"/>
      </w:pPr>
    </w:p>
    <w:p>
      <w:pPr>
        <w:pStyle w:val="ListParagraph"/>
        <w:numPr>
          <w:ilvl w:val="2"/>
          <w:numId w:val="5"/>
        </w:numPr>
        <w:tabs>
          <w:tab w:pos="1467" w:val="left" w:leader="none"/>
          <w:tab w:pos="5788" w:val="left" w:leader="none"/>
          <w:tab w:pos="6509" w:val="left" w:leader="none"/>
          <w:tab w:pos="7229" w:val="left" w:leader="none"/>
          <w:tab w:pos="7949" w:val="left" w:leader="none"/>
          <w:tab w:pos="8508" w:val="left" w:leader="none"/>
        </w:tabs>
        <w:spacing w:line="240" w:lineRule="auto" w:before="1" w:after="0"/>
        <w:ind w:left="1467" w:right="0" w:hanging="720"/>
        <w:jc w:val="left"/>
        <w:rPr>
          <w:sz w:val="24"/>
        </w:rPr>
      </w:pPr>
      <w:r>
        <w:rPr>
          <w:sz w:val="24"/>
        </w:rPr>
        <w:t>Cyclophosphamide</w:t>
      </w:r>
      <w:r>
        <w:rPr>
          <w:spacing w:val="-2"/>
          <w:sz w:val="24"/>
        </w:rPr>
        <w:t> </w:t>
      </w:r>
      <w:r>
        <w:rPr>
          <w:sz w:val="24"/>
        </w:rPr>
        <w:t>-</w:t>
      </w:r>
      <w:r>
        <w:rPr>
          <w:spacing w:val="-3"/>
          <w:sz w:val="24"/>
        </w:rPr>
        <w:t> </w:t>
      </w:r>
      <w:r>
        <w:rPr>
          <w:sz w:val="24"/>
        </w:rPr>
        <w:t>induced</w:t>
      </w:r>
      <w:r>
        <w:rPr>
          <w:spacing w:val="-1"/>
          <w:sz w:val="24"/>
        </w:rPr>
        <w:t> </w:t>
      </w:r>
      <w:r>
        <w:rPr>
          <w:spacing w:val="-2"/>
          <w:sz w:val="24"/>
        </w:rPr>
        <w:t>neutropenia</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49</w:t>
      </w:r>
    </w:p>
    <w:p>
      <w:pPr>
        <w:pStyle w:val="BodyText"/>
        <w:spacing w:before="197"/>
      </w:pPr>
    </w:p>
    <w:p>
      <w:pPr>
        <w:pStyle w:val="ListParagraph"/>
        <w:numPr>
          <w:ilvl w:val="2"/>
          <w:numId w:val="5"/>
        </w:numPr>
        <w:tabs>
          <w:tab w:pos="1527" w:val="left" w:leader="none"/>
        </w:tabs>
        <w:spacing w:line="240" w:lineRule="auto" w:before="0" w:after="0"/>
        <w:ind w:left="1527" w:right="0" w:hanging="780"/>
        <w:jc w:val="left"/>
        <w:rPr>
          <w:sz w:val="24"/>
        </w:rPr>
      </w:pPr>
      <w:r>
        <w:rPr>
          <w:sz w:val="24"/>
        </w:rPr>
        <w:t>Effect</w:t>
      </w:r>
      <w:r>
        <w:rPr>
          <w:spacing w:val="-1"/>
          <w:sz w:val="24"/>
        </w:rPr>
        <w:t> </w:t>
      </w:r>
      <w:r>
        <w:rPr>
          <w:sz w:val="24"/>
        </w:rPr>
        <w:t>of</w:t>
      </w:r>
      <w:r>
        <w:rPr>
          <w:spacing w:val="-1"/>
          <w:sz w:val="24"/>
        </w:rPr>
        <w:t> </w:t>
      </w:r>
      <w:r>
        <w:rPr>
          <w:sz w:val="24"/>
        </w:rPr>
        <w:t>the</w:t>
      </w:r>
      <w:r>
        <w:rPr>
          <w:spacing w:val="-3"/>
          <w:sz w:val="24"/>
        </w:rPr>
        <w:t> </w:t>
      </w:r>
      <w:r>
        <w:rPr>
          <w:sz w:val="24"/>
        </w:rPr>
        <w:t>extract</w:t>
      </w:r>
      <w:r>
        <w:rPr>
          <w:spacing w:val="-1"/>
          <w:sz w:val="24"/>
        </w:rPr>
        <w:t> </w:t>
      </w:r>
      <w:r>
        <w:rPr>
          <w:sz w:val="24"/>
        </w:rPr>
        <w:t>on</w:t>
      </w:r>
      <w:r>
        <w:rPr>
          <w:spacing w:val="3"/>
          <w:sz w:val="24"/>
        </w:rPr>
        <w:t> </w:t>
      </w:r>
      <w:r>
        <w:rPr>
          <w:i/>
          <w:sz w:val="24"/>
        </w:rPr>
        <w:t>E.</w:t>
      </w:r>
      <w:r>
        <w:rPr>
          <w:i/>
          <w:spacing w:val="-1"/>
          <w:sz w:val="24"/>
        </w:rPr>
        <w:t> </w:t>
      </w:r>
      <w:r>
        <w:rPr>
          <w:i/>
          <w:sz w:val="24"/>
        </w:rPr>
        <w:t>coli </w:t>
      </w:r>
      <w:r>
        <w:rPr>
          <w:sz w:val="24"/>
        </w:rPr>
        <w:t>induced</w:t>
      </w:r>
      <w:r>
        <w:rPr>
          <w:spacing w:val="-1"/>
          <w:sz w:val="24"/>
        </w:rPr>
        <w:t> </w:t>
      </w:r>
      <w:r>
        <w:rPr>
          <w:spacing w:val="-2"/>
          <w:sz w:val="24"/>
        </w:rPr>
        <w:t>abdominal</w:t>
      </w:r>
    </w:p>
    <w:p>
      <w:pPr>
        <w:pStyle w:val="BodyText"/>
        <w:tabs>
          <w:tab w:pos="4348" w:val="left" w:leader="none"/>
          <w:tab w:pos="5068" w:val="left" w:leader="none"/>
          <w:tab w:pos="5788" w:val="left" w:leader="none"/>
          <w:tab w:pos="6509" w:val="left" w:leader="none"/>
          <w:tab w:pos="7229" w:val="left" w:leader="none"/>
          <w:tab w:pos="7949" w:val="left" w:leader="none"/>
          <w:tab w:pos="8508" w:val="left" w:leader="none"/>
        </w:tabs>
        <w:ind w:left="1527"/>
      </w:pPr>
      <w:r>
        <w:rPr/>
        <w:t>sepsis study</w:t>
      </w:r>
      <w:r>
        <w:rPr>
          <w:spacing w:val="-5"/>
        </w:rPr>
        <w:t> </w:t>
      </w:r>
      <w:r>
        <w:rPr/>
        <w:t>in mice</w:t>
      </w:r>
      <w:r>
        <w:rPr>
          <w:spacing w:val="2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50</w:t>
      </w:r>
    </w:p>
    <w:p>
      <w:pPr>
        <w:pStyle w:val="BodyText"/>
      </w:pPr>
    </w:p>
    <w:p>
      <w:pPr>
        <w:pStyle w:val="BodyText"/>
      </w:pPr>
    </w:p>
    <w:p>
      <w:pPr>
        <w:pStyle w:val="ListParagraph"/>
        <w:numPr>
          <w:ilvl w:val="2"/>
          <w:numId w:val="5"/>
        </w:numPr>
        <w:tabs>
          <w:tab w:pos="1467" w:val="left" w:leader="none"/>
        </w:tabs>
        <w:spacing w:line="240" w:lineRule="auto" w:before="0" w:after="0"/>
        <w:ind w:left="1467" w:right="0" w:hanging="720"/>
        <w:jc w:val="left"/>
        <w:rPr>
          <w:sz w:val="24"/>
        </w:rPr>
      </w:pPr>
      <w:r>
        <w:rPr>
          <w:sz w:val="24"/>
        </w:rPr>
        <w:t>Effect</w:t>
      </w:r>
      <w:r>
        <w:rPr>
          <w:spacing w:val="-1"/>
          <w:sz w:val="24"/>
        </w:rPr>
        <w:t> </w:t>
      </w:r>
      <w:r>
        <w:rPr>
          <w:sz w:val="24"/>
        </w:rPr>
        <w:t>of</w:t>
      </w:r>
      <w:r>
        <w:rPr>
          <w:spacing w:val="-1"/>
          <w:sz w:val="24"/>
        </w:rPr>
        <w:t> </w:t>
      </w:r>
      <w:r>
        <w:rPr>
          <w:sz w:val="24"/>
        </w:rPr>
        <w:t>the</w:t>
      </w:r>
      <w:r>
        <w:rPr>
          <w:spacing w:val="-3"/>
          <w:sz w:val="24"/>
        </w:rPr>
        <w:t> </w:t>
      </w:r>
      <w:r>
        <w:rPr>
          <w:sz w:val="24"/>
        </w:rPr>
        <w:t>extract</w:t>
      </w:r>
      <w:r>
        <w:rPr>
          <w:spacing w:val="-1"/>
          <w:sz w:val="24"/>
        </w:rPr>
        <w:t> </w:t>
      </w:r>
      <w:r>
        <w:rPr>
          <w:sz w:val="24"/>
        </w:rPr>
        <w:t>on</w:t>
      </w:r>
      <w:r>
        <w:rPr>
          <w:spacing w:val="-1"/>
          <w:sz w:val="24"/>
        </w:rPr>
        <w:t> </w:t>
      </w:r>
      <w:r>
        <w:rPr>
          <w:sz w:val="24"/>
        </w:rPr>
        <w:t>Sheep</w:t>
      </w:r>
      <w:r>
        <w:rPr>
          <w:spacing w:val="-1"/>
          <w:sz w:val="24"/>
        </w:rPr>
        <w:t> </w:t>
      </w:r>
      <w:r>
        <w:rPr>
          <w:sz w:val="24"/>
        </w:rPr>
        <w:t>red</w:t>
      </w:r>
      <w:r>
        <w:rPr>
          <w:spacing w:val="-1"/>
          <w:sz w:val="24"/>
        </w:rPr>
        <w:t> </w:t>
      </w:r>
      <w:r>
        <w:rPr>
          <w:sz w:val="24"/>
        </w:rPr>
        <w:t>blood</w:t>
      </w:r>
      <w:r>
        <w:rPr>
          <w:spacing w:val="1"/>
          <w:sz w:val="24"/>
        </w:rPr>
        <w:t> </w:t>
      </w:r>
      <w:r>
        <w:rPr>
          <w:sz w:val="24"/>
        </w:rPr>
        <w:t>cell</w:t>
      </w:r>
      <w:r>
        <w:rPr>
          <w:spacing w:val="-1"/>
          <w:sz w:val="24"/>
        </w:rPr>
        <w:t> </w:t>
      </w:r>
      <w:r>
        <w:rPr>
          <w:spacing w:val="-2"/>
          <w:sz w:val="24"/>
        </w:rPr>
        <w:t>(SRBC)</w:t>
      </w:r>
    </w:p>
    <w:p>
      <w:pPr>
        <w:pStyle w:val="BodyText"/>
        <w:tabs>
          <w:tab w:pos="6509" w:val="left" w:leader="none"/>
          <w:tab w:pos="7229" w:val="left" w:leader="none"/>
          <w:tab w:pos="7949" w:val="left" w:leader="none"/>
          <w:tab w:pos="8508" w:val="left" w:leader="none"/>
        </w:tabs>
        <w:ind w:left="1467"/>
      </w:pPr>
      <w:r>
        <w:rPr/>
        <w:t>induced</w:t>
      </w:r>
      <w:r>
        <w:rPr>
          <w:spacing w:val="-1"/>
        </w:rPr>
        <w:t> </w:t>
      </w:r>
      <w:r>
        <w:rPr/>
        <w:t>delayed</w:t>
      </w:r>
      <w:r>
        <w:rPr>
          <w:spacing w:val="1"/>
        </w:rPr>
        <w:t> </w:t>
      </w:r>
      <w:r>
        <w:rPr/>
        <w:t>hypersensitivity</w:t>
      </w:r>
      <w:r>
        <w:rPr>
          <w:spacing w:val="-5"/>
        </w:rPr>
        <w:t> </w:t>
      </w:r>
      <w:r>
        <w:rPr/>
        <w:t>reaction</w:t>
      </w:r>
      <w:r>
        <w:rPr>
          <w:spacing w:val="1"/>
        </w:rPr>
        <w:t> </w:t>
      </w:r>
      <w:r>
        <w:rPr/>
        <w:t>in </w:t>
      </w:r>
      <w:r>
        <w:rPr>
          <w:spacing w:val="-4"/>
        </w:rPr>
        <w:t>rat-</w:t>
      </w:r>
      <w:r>
        <w:rPr/>
        <w:tab/>
      </w:r>
      <w:r>
        <w:rPr>
          <w:spacing w:val="-10"/>
        </w:rPr>
        <w:t>-</w:t>
      </w:r>
      <w:r>
        <w:rPr/>
        <w:tab/>
      </w:r>
      <w:r>
        <w:rPr>
          <w:spacing w:val="-10"/>
        </w:rPr>
        <w:t>-</w:t>
      </w:r>
      <w:r>
        <w:rPr/>
        <w:tab/>
      </w:r>
      <w:r>
        <w:rPr>
          <w:spacing w:val="-10"/>
        </w:rPr>
        <w:t>-</w:t>
      </w:r>
      <w:r>
        <w:rPr/>
        <w:tab/>
      </w:r>
      <w:r>
        <w:rPr>
          <w:spacing w:val="-5"/>
        </w:rPr>
        <w:t>51</w:t>
      </w:r>
    </w:p>
    <w:p>
      <w:pPr>
        <w:pStyle w:val="BodyText"/>
      </w:pPr>
    </w:p>
    <w:p>
      <w:pPr>
        <w:pStyle w:val="BodyText"/>
        <w:spacing w:before="2"/>
      </w:pPr>
    </w:p>
    <w:p>
      <w:pPr>
        <w:pStyle w:val="ListParagraph"/>
        <w:numPr>
          <w:ilvl w:val="2"/>
          <w:numId w:val="5"/>
        </w:numPr>
        <w:tabs>
          <w:tab w:pos="1467" w:val="left" w:leader="none"/>
          <w:tab w:pos="7229" w:val="left" w:leader="none"/>
          <w:tab w:pos="7949" w:val="left" w:leader="none"/>
          <w:tab w:pos="8508" w:val="left" w:leader="none"/>
        </w:tabs>
        <w:spacing w:line="240" w:lineRule="auto" w:before="1" w:after="0"/>
        <w:ind w:left="1467" w:right="0" w:hanging="720"/>
        <w:jc w:val="left"/>
        <w:rPr>
          <w:sz w:val="24"/>
        </w:rPr>
      </w:pPr>
      <w:r>
        <w:rPr>
          <w:sz w:val="24"/>
        </w:rPr>
        <w:t>Inhibitory</w:t>
      </w:r>
      <w:r>
        <w:rPr>
          <w:spacing w:val="-6"/>
          <w:sz w:val="24"/>
        </w:rPr>
        <w:t> </w:t>
      </w:r>
      <w:r>
        <w:rPr>
          <w:sz w:val="24"/>
        </w:rPr>
        <w:t>effect</w:t>
      </w:r>
      <w:r>
        <w:rPr>
          <w:spacing w:val="-1"/>
          <w:sz w:val="24"/>
        </w:rPr>
        <w:t> </w:t>
      </w:r>
      <w:r>
        <w:rPr>
          <w:sz w:val="24"/>
        </w:rPr>
        <w:t>of the</w:t>
      </w:r>
      <w:r>
        <w:rPr>
          <w:spacing w:val="-2"/>
          <w:sz w:val="24"/>
        </w:rPr>
        <w:t> </w:t>
      </w:r>
      <w:r>
        <w:rPr>
          <w:sz w:val="24"/>
        </w:rPr>
        <w:t>extract on</w:t>
      </w:r>
      <w:r>
        <w:rPr>
          <w:spacing w:val="-1"/>
          <w:sz w:val="24"/>
        </w:rPr>
        <w:t> </w:t>
      </w:r>
      <w:r>
        <w:rPr>
          <w:sz w:val="24"/>
        </w:rPr>
        <w:t>bacterial</w:t>
      </w:r>
      <w:r>
        <w:rPr>
          <w:spacing w:val="2"/>
          <w:sz w:val="24"/>
        </w:rPr>
        <w:t> </w:t>
      </w:r>
      <w:r>
        <w:rPr>
          <w:sz w:val="24"/>
        </w:rPr>
        <w:t>growth</w:t>
      </w:r>
      <w:r>
        <w:rPr>
          <w:b/>
          <w:sz w:val="24"/>
        </w:rPr>
        <w:t>:</w:t>
      </w:r>
      <w:r>
        <w:rPr>
          <w:b/>
          <w:spacing w:val="52"/>
          <w:w w:val="150"/>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52</w:t>
      </w:r>
    </w:p>
    <w:p>
      <w:pPr>
        <w:pStyle w:val="BodyText"/>
        <w:spacing w:before="202"/>
      </w:pPr>
    </w:p>
    <w:p>
      <w:pPr>
        <w:pStyle w:val="ListParagraph"/>
        <w:numPr>
          <w:ilvl w:val="2"/>
          <w:numId w:val="5"/>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sz w:val="24"/>
        </w:rPr>
      </w:pPr>
      <w:r>
        <w:rPr>
          <w:sz w:val="24"/>
        </w:rPr>
        <w:t>Statistical</w:t>
      </w:r>
      <w:r>
        <w:rPr>
          <w:spacing w:val="-2"/>
          <w:sz w:val="24"/>
        </w:rPr>
        <w:t> analysis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53</w:t>
      </w:r>
    </w:p>
    <w:p>
      <w:pPr>
        <w:pStyle w:val="BodyText"/>
        <w:spacing w:before="204"/>
      </w:pPr>
    </w:p>
    <w:p>
      <w:pPr>
        <w:pStyle w:val="Heading1"/>
        <w:ind w:right="575"/>
      </w:pPr>
      <w:r>
        <w:rPr/>
        <w:t>CHAPTER</w:t>
      </w:r>
      <w:r>
        <w:rPr>
          <w:spacing w:val="-5"/>
        </w:rPr>
        <w:t> </w:t>
      </w:r>
      <w:r>
        <w:rPr>
          <w:spacing w:val="-4"/>
        </w:rPr>
        <w:t>FOUR</w:t>
      </w:r>
    </w:p>
    <w:p>
      <w:pPr>
        <w:pStyle w:val="BodyText"/>
        <w:spacing w:before="199"/>
        <w:rPr>
          <w:b/>
        </w:rPr>
      </w:pPr>
    </w:p>
    <w:p>
      <w:pPr>
        <w:pStyle w:val="ListParagraph"/>
        <w:numPr>
          <w:ilvl w:val="1"/>
          <w:numId w:val="6"/>
        </w:numPr>
        <w:tabs>
          <w:tab w:pos="1467"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b/>
          <w:sz w:val="24"/>
        </w:rPr>
      </w:pPr>
      <w:r>
        <w:rPr>
          <w:b/>
          <w:spacing w:val="-2"/>
          <w:sz w:val="24"/>
        </w:rPr>
        <w:t>RESULTS</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54</w:t>
      </w:r>
    </w:p>
    <w:p>
      <w:pPr>
        <w:pStyle w:val="BodyText"/>
        <w:spacing w:before="201"/>
        <w:rPr>
          <w:b/>
        </w:rPr>
      </w:pPr>
    </w:p>
    <w:p>
      <w:pPr>
        <w:pStyle w:val="ListParagraph"/>
        <w:numPr>
          <w:ilvl w:val="1"/>
          <w:numId w:val="6"/>
        </w:numPr>
        <w:tabs>
          <w:tab w:pos="1467"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1" w:after="0"/>
        <w:ind w:left="1467" w:right="0" w:hanging="720"/>
        <w:jc w:val="left"/>
        <w:rPr>
          <w:b/>
          <w:sz w:val="24"/>
        </w:rPr>
      </w:pPr>
      <w:r>
        <w:rPr>
          <w:b/>
          <w:sz w:val="24"/>
        </w:rPr>
        <w:t>Yield of the</w:t>
      </w:r>
      <w:r>
        <w:rPr>
          <w:b/>
          <w:spacing w:val="-1"/>
          <w:sz w:val="24"/>
        </w:rPr>
        <w:t> </w:t>
      </w:r>
      <w:r>
        <w:rPr>
          <w:b/>
          <w:sz w:val="24"/>
        </w:rPr>
        <w:t>Plant</w:t>
      </w:r>
      <w:r>
        <w:rPr>
          <w:b/>
          <w:spacing w:val="-1"/>
          <w:sz w:val="24"/>
        </w:rPr>
        <w:t> </w:t>
      </w:r>
      <w:r>
        <w:rPr>
          <w:b/>
          <w:spacing w:val="-2"/>
          <w:sz w:val="24"/>
        </w:rPr>
        <w:t>Extract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54</w:t>
      </w:r>
    </w:p>
    <w:p>
      <w:pPr>
        <w:pStyle w:val="BodyText"/>
        <w:spacing w:before="199"/>
        <w:rPr>
          <w:b/>
        </w:rPr>
      </w:pPr>
    </w:p>
    <w:p>
      <w:pPr>
        <w:pStyle w:val="ListParagraph"/>
        <w:numPr>
          <w:ilvl w:val="1"/>
          <w:numId w:val="6"/>
        </w:numPr>
        <w:tabs>
          <w:tab w:pos="1467"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b/>
          <w:sz w:val="24"/>
        </w:rPr>
      </w:pPr>
      <w:r>
        <w:rPr>
          <w:b/>
          <w:sz w:val="24"/>
        </w:rPr>
        <w:t>Acute</w:t>
      </w:r>
      <w:r>
        <w:rPr>
          <w:b/>
          <w:spacing w:val="-3"/>
          <w:sz w:val="24"/>
        </w:rPr>
        <w:t> </w:t>
      </w:r>
      <w:r>
        <w:rPr>
          <w:b/>
          <w:sz w:val="24"/>
        </w:rPr>
        <w:t>Toxicity </w:t>
      </w:r>
      <w:r>
        <w:rPr>
          <w:b/>
          <w:spacing w:val="-4"/>
          <w:sz w:val="24"/>
        </w:rPr>
        <w:t>Study</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54</w:t>
      </w:r>
    </w:p>
    <w:p>
      <w:pPr>
        <w:pStyle w:val="BodyText"/>
        <w:spacing w:before="197"/>
        <w:rPr>
          <w:b/>
        </w:rPr>
      </w:pPr>
    </w:p>
    <w:p>
      <w:pPr>
        <w:pStyle w:val="ListParagraph"/>
        <w:numPr>
          <w:ilvl w:val="1"/>
          <w:numId w:val="6"/>
        </w:numPr>
        <w:tabs>
          <w:tab w:pos="1467" w:val="left" w:leader="none"/>
        </w:tabs>
        <w:spacing w:line="240" w:lineRule="auto" w:before="0" w:after="0"/>
        <w:ind w:left="1467" w:right="0" w:hanging="720"/>
        <w:jc w:val="left"/>
        <w:rPr>
          <w:b/>
          <w:sz w:val="24"/>
        </w:rPr>
      </w:pPr>
      <w:r>
        <w:rPr>
          <w:b/>
          <w:sz w:val="24"/>
        </w:rPr>
        <w:t>Preliminary</w:t>
      </w:r>
      <w:r>
        <w:rPr>
          <w:b/>
          <w:spacing w:val="-3"/>
          <w:sz w:val="24"/>
        </w:rPr>
        <w:t> </w:t>
      </w:r>
      <w:r>
        <w:rPr>
          <w:b/>
          <w:sz w:val="24"/>
        </w:rPr>
        <w:t>Phytochemical</w:t>
      </w:r>
      <w:r>
        <w:rPr>
          <w:b/>
          <w:spacing w:val="-2"/>
          <w:sz w:val="24"/>
        </w:rPr>
        <w:t> </w:t>
      </w:r>
      <w:r>
        <w:rPr>
          <w:b/>
          <w:sz w:val="24"/>
        </w:rPr>
        <w:t>Constituents</w:t>
      </w:r>
      <w:r>
        <w:rPr>
          <w:b/>
          <w:spacing w:val="1"/>
          <w:sz w:val="24"/>
        </w:rPr>
        <w:t> </w:t>
      </w:r>
      <w:r>
        <w:rPr>
          <w:b/>
          <w:sz w:val="24"/>
        </w:rPr>
        <w:t>of</w:t>
      </w:r>
      <w:r>
        <w:rPr>
          <w:b/>
          <w:spacing w:val="-1"/>
          <w:sz w:val="24"/>
        </w:rPr>
        <w:t> </w:t>
      </w:r>
      <w:r>
        <w:rPr>
          <w:b/>
          <w:sz w:val="24"/>
        </w:rPr>
        <w:t>the</w:t>
      </w:r>
      <w:r>
        <w:rPr>
          <w:b/>
          <w:spacing w:val="-3"/>
          <w:sz w:val="24"/>
        </w:rPr>
        <w:t> </w:t>
      </w:r>
      <w:r>
        <w:rPr>
          <w:b/>
          <w:sz w:val="24"/>
        </w:rPr>
        <w:t>Leaf</w:t>
      </w:r>
      <w:r>
        <w:rPr>
          <w:b/>
          <w:spacing w:val="-1"/>
          <w:sz w:val="24"/>
        </w:rPr>
        <w:t> </w:t>
      </w:r>
      <w:r>
        <w:rPr>
          <w:b/>
          <w:spacing w:val="-2"/>
          <w:sz w:val="24"/>
        </w:rPr>
        <w:t>Extract</w:t>
      </w:r>
    </w:p>
    <w:p>
      <w:pPr>
        <w:pStyle w:val="Heading3"/>
        <w:tabs>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ind w:left="1467" w:firstLine="0"/>
        <w:rPr>
          <w:i w:val="0"/>
        </w:rPr>
      </w:pPr>
      <w:r>
        <w:rPr>
          <w:i w:val="0"/>
        </w:rPr>
        <w:t>of</w:t>
      </w:r>
      <w:r>
        <w:rPr>
          <w:i w:val="0"/>
          <w:spacing w:val="1"/>
        </w:rPr>
        <w:t> </w:t>
      </w:r>
      <w:r>
        <w:rPr/>
        <w:t>C.</w:t>
      </w:r>
      <w:r>
        <w:rPr>
          <w:spacing w:val="-3"/>
        </w:rPr>
        <w:t> </w:t>
      </w:r>
      <w:r>
        <w:rPr>
          <w:spacing w:val="-2"/>
        </w:rPr>
        <w:t>micranthum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i w:val="0"/>
          <w:spacing w:val="-5"/>
        </w:rPr>
        <w:t>55</w:t>
      </w:r>
    </w:p>
    <w:p>
      <w:pPr>
        <w:pStyle w:val="BodyText"/>
        <w:rPr>
          <w:b/>
        </w:rPr>
      </w:pPr>
    </w:p>
    <w:p>
      <w:pPr>
        <w:pStyle w:val="BodyText"/>
        <w:rPr>
          <w:b/>
        </w:rPr>
      </w:pPr>
    </w:p>
    <w:p>
      <w:pPr>
        <w:pStyle w:val="ListParagraph"/>
        <w:numPr>
          <w:ilvl w:val="1"/>
          <w:numId w:val="6"/>
        </w:numPr>
        <w:tabs>
          <w:tab w:pos="1467" w:val="left" w:leader="none"/>
        </w:tabs>
        <w:spacing w:line="240" w:lineRule="auto" w:before="0" w:after="0"/>
        <w:ind w:left="1467" w:right="0" w:hanging="720"/>
        <w:jc w:val="left"/>
        <w:rPr>
          <w:b/>
          <w:sz w:val="24"/>
        </w:rPr>
      </w:pPr>
      <w:r>
        <w:rPr>
          <w:b/>
          <w:sz w:val="24"/>
        </w:rPr>
        <w:t>Effect</w:t>
      </w:r>
      <w:r>
        <w:rPr>
          <w:b/>
          <w:spacing w:val="-4"/>
          <w:sz w:val="24"/>
        </w:rPr>
        <w:t> </w:t>
      </w:r>
      <w:r>
        <w:rPr>
          <w:b/>
          <w:sz w:val="24"/>
        </w:rPr>
        <w:t>of</w:t>
      </w:r>
      <w:r>
        <w:rPr>
          <w:b/>
          <w:spacing w:val="1"/>
          <w:sz w:val="24"/>
        </w:rPr>
        <w:t> </w:t>
      </w:r>
      <w:r>
        <w:rPr>
          <w:b/>
          <w:i/>
          <w:sz w:val="24"/>
        </w:rPr>
        <w:t>C.</w:t>
      </w:r>
      <w:r>
        <w:rPr>
          <w:b/>
          <w:i/>
          <w:spacing w:val="-4"/>
          <w:sz w:val="24"/>
        </w:rPr>
        <w:t> </w:t>
      </w:r>
      <w:r>
        <w:rPr>
          <w:b/>
          <w:i/>
          <w:sz w:val="24"/>
        </w:rPr>
        <w:t>micranthum </w:t>
      </w:r>
      <w:r>
        <w:rPr>
          <w:b/>
          <w:sz w:val="24"/>
        </w:rPr>
        <w:t>Extract</w:t>
      </w:r>
      <w:r>
        <w:rPr>
          <w:b/>
          <w:spacing w:val="-1"/>
          <w:sz w:val="24"/>
        </w:rPr>
        <w:t> </w:t>
      </w:r>
      <w:r>
        <w:rPr>
          <w:b/>
          <w:sz w:val="24"/>
        </w:rPr>
        <w:t>on</w:t>
      </w:r>
      <w:r>
        <w:rPr>
          <w:b/>
          <w:spacing w:val="-1"/>
          <w:sz w:val="24"/>
        </w:rPr>
        <w:t> </w:t>
      </w:r>
      <w:r>
        <w:rPr>
          <w:b/>
          <w:spacing w:val="-2"/>
          <w:sz w:val="24"/>
        </w:rPr>
        <w:t>Cyclophosphamide</w:t>
      </w:r>
    </w:p>
    <w:p>
      <w:pPr>
        <w:tabs>
          <w:tab w:pos="4348" w:val="left" w:leader="none"/>
          <w:tab w:pos="5068" w:val="left" w:leader="none"/>
          <w:tab w:pos="5788" w:val="left" w:leader="none"/>
          <w:tab w:pos="6509" w:val="left" w:leader="none"/>
          <w:tab w:pos="7229" w:val="left" w:leader="none"/>
          <w:tab w:pos="7949" w:val="left" w:leader="none"/>
          <w:tab w:pos="8508" w:val="left" w:leader="none"/>
        </w:tabs>
        <w:spacing w:before="0"/>
        <w:ind w:left="1467" w:right="0" w:firstLine="0"/>
        <w:jc w:val="left"/>
        <w:rPr>
          <w:b/>
          <w:sz w:val="24"/>
        </w:rPr>
      </w:pPr>
      <w:r>
        <w:rPr>
          <w:b/>
          <w:sz w:val="24"/>
        </w:rPr>
        <w:t>Induced</w:t>
      </w:r>
      <w:r>
        <w:rPr>
          <w:b/>
          <w:spacing w:val="-2"/>
          <w:sz w:val="24"/>
        </w:rPr>
        <w:t> Neutropenia</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56</w:t>
      </w:r>
    </w:p>
    <w:p>
      <w:pPr>
        <w:pStyle w:val="BodyText"/>
        <w:rPr>
          <w:b/>
        </w:rPr>
      </w:pPr>
    </w:p>
    <w:p>
      <w:pPr>
        <w:pStyle w:val="BodyText"/>
        <w:rPr>
          <w:b/>
        </w:rPr>
      </w:pPr>
    </w:p>
    <w:p>
      <w:pPr>
        <w:pStyle w:val="ListParagraph"/>
        <w:numPr>
          <w:ilvl w:val="1"/>
          <w:numId w:val="6"/>
        </w:numPr>
        <w:tabs>
          <w:tab w:pos="1467" w:val="left" w:leader="none"/>
        </w:tabs>
        <w:spacing w:line="240" w:lineRule="auto" w:before="1" w:after="0"/>
        <w:ind w:left="1467" w:right="0" w:hanging="720"/>
        <w:jc w:val="left"/>
        <w:rPr>
          <w:b/>
          <w:sz w:val="24"/>
        </w:rPr>
      </w:pPr>
      <w:r>
        <w:rPr>
          <w:b/>
          <w:sz w:val="24"/>
        </w:rPr>
        <w:t>Effect</w:t>
      </w:r>
      <w:r>
        <w:rPr>
          <w:b/>
          <w:spacing w:val="-2"/>
          <w:sz w:val="24"/>
        </w:rPr>
        <w:t> </w:t>
      </w:r>
      <w:r>
        <w:rPr>
          <w:b/>
          <w:sz w:val="24"/>
        </w:rPr>
        <w:t>of</w:t>
      </w:r>
      <w:r>
        <w:rPr>
          <w:b/>
          <w:spacing w:val="-1"/>
          <w:sz w:val="24"/>
        </w:rPr>
        <w:t> </w:t>
      </w:r>
      <w:r>
        <w:rPr>
          <w:b/>
          <w:sz w:val="24"/>
        </w:rPr>
        <w:t>Extract</w:t>
      </w:r>
      <w:r>
        <w:rPr>
          <w:b/>
          <w:spacing w:val="-2"/>
          <w:sz w:val="24"/>
        </w:rPr>
        <w:t> </w:t>
      </w:r>
      <w:r>
        <w:rPr>
          <w:b/>
          <w:sz w:val="24"/>
        </w:rPr>
        <w:t>on</w:t>
      </w:r>
      <w:r>
        <w:rPr>
          <w:b/>
          <w:spacing w:val="-1"/>
          <w:sz w:val="24"/>
        </w:rPr>
        <w:t> </w:t>
      </w:r>
      <w:r>
        <w:rPr>
          <w:b/>
          <w:sz w:val="24"/>
        </w:rPr>
        <w:t>Sheep</w:t>
      </w:r>
      <w:r>
        <w:rPr>
          <w:b/>
          <w:spacing w:val="-2"/>
          <w:sz w:val="24"/>
        </w:rPr>
        <w:t> </w:t>
      </w:r>
      <w:r>
        <w:rPr>
          <w:b/>
          <w:sz w:val="24"/>
        </w:rPr>
        <w:t>Red</w:t>
      </w:r>
      <w:r>
        <w:rPr>
          <w:b/>
          <w:spacing w:val="-1"/>
          <w:sz w:val="24"/>
        </w:rPr>
        <w:t> </w:t>
      </w:r>
      <w:r>
        <w:rPr>
          <w:b/>
          <w:sz w:val="24"/>
        </w:rPr>
        <w:t>Blood</w:t>
      </w:r>
      <w:r>
        <w:rPr>
          <w:b/>
          <w:spacing w:val="-1"/>
          <w:sz w:val="24"/>
        </w:rPr>
        <w:t> </w:t>
      </w:r>
      <w:r>
        <w:rPr>
          <w:b/>
          <w:sz w:val="24"/>
        </w:rPr>
        <w:t>Cell</w:t>
      </w:r>
      <w:r>
        <w:rPr>
          <w:b/>
          <w:spacing w:val="3"/>
          <w:sz w:val="24"/>
        </w:rPr>
        <w:t> </w:t>
      </w:r>
      <w:r>
        <w:rPr>
          <w:b/>
          <w:sz w:val="24"/>
        </w:rPr>
        <w:t>(SRBC)</w:t>
      </w:r>
      <w:r>
        <w:rPr>
          <w:b/>
          <w:spacing w:val="-2"/>
          <w:sz w:val="24"/>
        </w:rPr>
        <w:t> Induced</w:t>
      </w:r>
    </w:p>
    <w:p>
      <w:pPr>
        <w:tabs>
          <w:tab w:pos="5788" w:val="left" w:leader="none"/>
          <w:tab w:pos="6509" w:val="left" w:leader="none"/>
          <w:tab w:pos="7229" w:val="left" w:leader="none"/>
          <w:tab w:pos="7949" w:val="left" w:leader="none"/>
          <w:tab w:pos="8508" w:val="left" w:leader="none"/>
        </w:tabs>
        <w:spacing w:before="0"/>
        <w:ind w:left="1467" w:right="0" w:firstLine="0"/>
        <w:jc w:val="left"/>
        <w:rPr>
          <w:b/>
          <w:sz w:val="24"/>
        </w:rPr>
      </w:pPr>
      <w:r>
        <w:rPr>
          <w:b/>
          <w:sz w:val="24"/>
        </w:rPr>
        <w:t>Delayed</w:t>
      </w:r>
      <w:r>
        <w:rPr>
          <w:b/>
          <w:spacing w:val="-2"/>
          <w:sz w:val="24"/>
        </w:rPr>
        <w:t> </w:t>
      </w:r>
      <w:r>
        <w:rPr>
          <w:b/>
          <w:sz w:val="24"/>
        </w:rPr>
        <w:t>Hypersensitivity</w:t>
      </w:r>
      <w:r>
        <w:rPr>
          <w:b/>
          <w:spacing w:val="-1"/>
          <w:sz w:val="24"/>
        </w:rPr>
        <w:t> </w:t>
      </w:r>
      <w:r>
        <w:rPr>
          <w:b/>
          <w:sz w:val="24"/>
        </w:rPr>
        <w:t>Reaction</w:t>
      </w:r>
      <w:r>
        <w:rPr>
          <w:b/>
          <w:spacing w:val="6"/>
          <w:sz w:val="24"/>
        </w:rPr>
        <w:t> </w:t>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58</w:t>
      </w:r>
    </w:p>
    <w:p>
      <w:pPr>
        <w:spacing w:after="0"/>
        <w:jc w:val="left"/>
        <w:rPr>
          <w:sz w:val="24"/>
        </w:rPr>
        <w:sectPr>
          <w:pgSz w:w="11910" w:h="16840"/>
          <w:pgMar w:header="0" w:footer="981" w:top="1320" w:bottom="1180" w:left="1240" w:right="560"/>
        </w:sectPr>
      </w:pPr>
    </w:p>
    <w:p>
      <w:pPr>
        <w:pStyle w:val="ListParagraph"/>
        <w:numPr>
          <w:ilvl w:val="1"/>
          <w:numId w:val="6"/>
        </w:numPr>
        <w:tabs>
          <w:tab w:pos="1467" w:val="left" w:leader="none"/>
          <w:tab w:pos="8508" w:val="left" w:leader="none"/>
        </w:tabs>
        <w:spacing w:line="240" w:lineRule="auto" w:before="72" w:after="0"/>
        <w:ind w:left="1467" w:right="0" w:hanging="720"/>
        <w:jc w:val="left"/>
        <w:rPr>
          <w:b/>
          <w:sz w:val="24"/>
        </w:rPr>
      </w:pPr>
      <w:r>
        <w:rPr>
          <w:b/>
          <w:sz w:val="24"/>
        </w:rPr>
        <w:t>Effect</w:t>
      </w:r>
      <w:r>
        <w:rPr>
          <w:b/>
          <w:spacing w:val="-2"/>
          <w:sz w:val="24"/>
        </w:rPr>
        <w:t> </w:t>
      </w:r>
      <w:r>
        <w:rPr>
          <w:b/>
          <w:sz w:val="24"/>
        </w:rPr>
        <w:t>of</w:t>
      </w:r>
      <w:r>
        <w:rPr>
          <w:b/>
          <w:spacing w:val="-1"/>
          <w:sz w:val="24"/>
        </w:rPr>
        <w:t> </w:t>
      </w:r>
      <w:r>
        <w:rPr>
          <w:b/>
          <w:sz w:val="24"/>
        </w:rPr>
        <w:t>Extract</w:t>
      </w:r>
      <w:r>
        <w:rPr>
          <w:b/>
          <w:spacing w:val="-2"/>
          <w:sz w:val="24"/>
        </w:rPr>
        <w:t> </w:t>
      </w:r>
      <w:r>
        <w:rPr>
          <w:b/>
          <w:sz w:val="24"/>
        </w:rPr>
        <w:t>on </w:t>
      </w:r>
      <w:r>
        <w:rPr>
          <w:b/>
          <w:i/>
          <w:sz w:val="24"/>
        </w:rPr>
        <w:t>E.</w:t>
      </w:r>
      <w:r>
        <w:rPr>
          <w:b/>
          <w:i/>
          <w:spacing w:val="-2"/>
          <w:sz w:val="24"/>
        </w:rPr>
        <w:t> </w:t>
      </w:r>
      <w:r>
        <w:rPr>
          <w:b/>
          <w:i/>
          <w:sz w:val="24"/>
        </w:rPr>
        <w:t>coli </w:t>
      </w:r>
      <w:r>
        <w:rPr>
          <w:b/>
          <w:sz w:val="24"/>
        </w:rPr>
        <w:t>Induced</w:t>
      </w:r>
      <w:r>
        <w:rPr>
          <w:b/>
          <w:spacing w:val="-2"/>
          <w:sz w:val="24"/>
        </w:rPr>
        <w:t> </w:t>
      </w:r>
      <w:r>
        <w:rPr>
          <w:b/>
          <w:sz w:val="24"/>
        </w:rPr>
        <w:t>Abdominal</w:t>
      </w:r>
      <w:r>
        <w:rPr>
          <w:b/>
          <w:spacing w:val="-1"/>
          <w:sz w:val="24"/>
        </w:rPr>
        <w:t> </w:t>
      </w:r>
      <w:r>
        <w:rPr>
          <w:b/>
          <w:sz w:val="24"/>
        </w:rPr>
        <w:t>Sepsis</w:t>
      </w:r>
      <w:r>
        <w:rPr>
          <w:b/>
          <w:spacing w:val="1"/>
          <w:sz w:val="24"/>
        </w:rPr>
        <w:t> </w:t>
      </w:r>
      <w:r>
        <w:rPr>
          <w:b/>
          <w:sz w:val="24"/>
        </w:rPr>
        <w:t>in</w:t>
      </w:r>
      <w:r>
        <w:rPr>
          <w:b/>
          <w:spacing w:val="-1"/>
          <w:sz w:val="24"/>
        </w:rPr>
        <w:t> </w:t>
      </w:r>
      <w:r>
        <w:rPr>
          <w:b/>
          <w:sz w:val="24"/>
        </w:rPr>
        <w:t>mice</w:t>
      </w:r>
      <w:r>
        <w:rPr>
          <w:b/>
          <w:spacing w:val="75"/>
          <w:w w:val="150"/>
          <w:sz w:val="24"/>
        </w:rPr>
        <w:t> </w:t>
      </w:r>
      <w:r>
        <w:rPr>
          <w:b/>
          <w:spacing w:val="-10"/>
          <w:sz w:val="24"/>
        </w:rPr>
        <w:t>-</w:t>
      </w:r>
      <w:r>
        <w:rPr>
          <w:b/>
          <w:sz w:val="24"/>
        </w:rPr>
        <w:tab/>
      </w:r>
      <w:r>
        <w:rPr>
          <w:b/>
          <w:spacing w:val="-5"/>
          <w:sz w:val="24"/>
        </w:rPr>
        <w:t>60</w:t>
      </w:r>
    </w:p>
    <w:p>
      <w:pPr>
        <w:pStyle w:val="BodyText"/>
        <w:spacing w:before="199"/>
        <w:rPr>
          <w:b/>
        </w:rPr>
      </w:pPr>
    </w:p>
    <w:p>
      <w:pPr>
        <w:pStyle w:val="ListParagraph"/>
        <w:numPr>
          <w:ilvl w:val="1"/>
          <w:numId w:val="6"/>
        </w:numPr>
        <w:tabs>
          <w:tab w:pos="1467" w:val="left" w:leader="none"/>
          <w:tab w:pos="3808" w:val="left" w:leader="none"/>
          <w:tab w:pos="7229" w:val="left" w:leader="none"/>
          <w:tab w:pos="7949" w:val="left" w:leader="none"/>
          <w:tab w:pos="8508" w:val="left" w:leader="none"/>
        </w:tabs>
        <w:spacing w:line="655" w:lineRule="auto" w:before="0" w:after="0"/>
        <w:ind w:left="3808" w:right="1356" w:hanging="3061"/>
        <w:jc w:val="left"/>
        <w:rPr>
          <w:b/>
          <w:sz w:val="24"/>
        </w:rPr>
      </w:pPr>
      <w:r>
        <w:rPr>
          <w:b/>
          <w:sz w:val="24"/>
        </w:rPr>
        <w:t>Inhibitory effect of the Extract on Bacterial Growth</w:t>
        <w:tab/>
      </w:r>
      <w:r>
        <w:rPr>
          <w:b/>
          <w:spacing w:val="-10"/>
          <w:sz w:val="24"/>
        </w:rPr>
        <w:t>-</w:t>
      </w:r>
      <w:r>
        <w:rPr>
          <w:b/>
          <w:sz w:val="24"/>
        </w:rPr>
        <w:tab/>
      </w:r>
      <w:r>
        <w:rPr>
          <w:b/>
          <w:spacing w:val="-10"/>
          <w:sz w:val="24"/>
        </w:rPr>
        <w:t>-</w:t>
      </w:r>
      <w:r>
        <w:rPr>
          <w:b/>
          <w:sz w:val="24"/>
        </w:rPr>
        <w:tab/>
      </w:r>
      <w:r>
        <w:rPr>
          <w:b/>
          <w:spacing w:val="-6"/>
          <w:sz w:val="24"/>
        </w:rPr>
        <w:t>63 </w:t>
      </w:r>
      <w:r>
        <w:rPr>
          <w:b/>
          <w:sz w:val="24"/>
        </w:rPr>
        <w:t>CHAPTER FIVE</w:t>
      </w:r>
    </w:p>
    <w:p>
      <w:pPr>
        <w:pStyle w:val="ListParagraph"/>
        <w:numPr>
          <w:ilvl w:val="0"/>
          <w:numId w:val="7"/>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74" w:lineRule="exact" w:before="0" w:after="0"/>
        <w:ind w:left="1467" w:right="0" w:hanging="720"/>
        <w:jc w:val="left"/>
        <w:rPr>
          <w:b/>
          <w:sz w:val="24"/>
        </w:rPr>
      </w:pPr>
      <w:r>
        <w:rPr>
          <w:b/>
          <w:spacing w:val="-2"/>
          <w:sz w:val="24"/>
        </w:rPr>
        <w:t>DISCUSSION</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68</w:t>
      </w:r>
    </w:p>
    <w:p>
      <w:pPr>
        <w:pStyle w:val="BodyText"/>
        <w:spacing w:before="199"/>
        <w:rPr>
          <w:b/>
        </w:rPr>
      </w:pPr>
    </w:p>
    <w:p>
      <w:pPr>
        <w:spacing w:before="1"/>
        <w:ind w:left="753" w:right="1609" w:firstLine="0"/>
        <w:jc w:val="center"/>
        <w:rPr>
          <w:b/>
          <w:sz w:val="24"/>
        </w:rPr>
      </w:pPr>
      <w:r>
        <w:rPr>
          <w:b/>
          <w:sz w:val="24"/>
        </w:rPr>
        <w:t>CHAPTER</w:t>
      </w:r>
      <w:r>
        <w:rPr>
          <w:b/>
          <w:spacing w:val="-4"/>
          <w:sz w:val="24"/>
        </w:rPr>
        <w:t> </w:t>
      </w:r>
      <w:r>
        <w:rPr>
          <w:b/>
          <w:spacing w:val="-5"/>
          <w:sz w:val="24"/>
        </w:rPr>
        <w:t>SIX</w:t>
      </w:r>
    </w:p>
    <w:p>
      <w:pPr>
        <w:pStyle w:val="BodyText"/>
        <w:spacing w:before="199"/>
        <w:rPr>
          <w:b/>
        </w:rPr>
      </w:pPr>
    </w:p>
    <w:p>
      <w:pPr>
        <w:pStyle w:val="ListParagraph"/>
        <w:numPr>
          <w:ilvl w:val="0"/>
          <w:numId w:val="7"/>
        </w:numPr>
        <w:tabs>
          <w:tab w:pos="1467" w:val="left" w:leader="none"/>
          <w:tab w:pos="7949" w:val="left" w:leader="none"/>
          <w:tab w:pos="8508" w:val="left" w:leader="none"/>
        </w:tabs>
        <w:spacing w:line="240" w:lineRule="auto" w:before="0" w:after="0"/>
        <w:ind w:left="1467" w:right="0" w:hanging="720"/>
        <w:jc w:val="left"/>
        <w:rPr>
          <w:b/>
          <w:sz w:val="24"/>
        </w:rPr>
      </w:pPr>
      <w:r>
        <w:rPr>
          <w:b/>
          <w:sz w:val="24"/>
        </w:rPr>
        <w:t>SUMMARY,</w:t>
      </w:r>
      <w:r>
        <w:rPr>
          <w:b/>
          <w:spacing w:val="-2"/>
          <w:sz w:val="24"/>
        </w:rPr>
        <w:t> </w:t>
      </w:r>
      <w:r>
        <w:rPr>
          <w:b/>
          <w:sz w:val="24"/>
        </w:rPr>
        <w:t>CONCLUSION</w:t>
      </w:r>
      <w:r>
        <w:rPr>
          <w:b/>
          <w:spacing w:val="-2"/>
          <w:sz w:val="24"/>
        </w:rPr>
        <w:t> </w:t>
      </w:r>
      <w:r>
        <w:rPr>
          <w:b/>
          <w:sz w:val="24"/>
        </w:rPr>
        <w:t>AND</w:t>
      </w:r>
      <w:r>
        <w:rPr>
          <w:b/>
          <w:spacing w:val="-1"/>
          <w:sz w:val="24"/>
        </w:rPr>
        <w:t> </w:t>
      </w:r>
      <w:r>
        <w:rPr>
          <w:b/>
          <w:spacing w:val="-2"/>
          <w:sz w:val="24"/>
        </w:rPr>
        <w:t>RECOMMENDATION</w:t>
      </w:r>
      <w:r>
        <w:rPr>
          <w:b/>
          <w:sz w:val="24"/>
        </w:rPr>
        <w:tab/>
      </w:r>
      <w:r>
        <w:rPr>
          <w:b/>
          <w:spacing w:val="-10"/>
          <w:sz w:val="24"/>
        </w:rPr>
        <w:t>-</w:t>
      </w:r>
      <w:r>
        <w:rPr>
          <w:b/>
          <w:sz w:val="24"/>
        </w:rPr>
        <w:tab/>
      </w:r>
      <w:r>
        <w:rPr>
          <w:b/>
          <w:spacing w:val="-5"/>
          <w:sz w:val="24"/>
        </w:rPr>
        <w:t>72</w:t>
      </w:r>
    </w:p>
    <w:p>
      <w:pPr>
        <w:pStyle w:val="BodyText"/>
        <w:spacing w:before="202"/>
        <w:rPr>
          <w:b/>
        </w:rPr>
      </w:pPr>
    </w:p>
    <w:p>
      <w:pPr>
        <w:pStyle w:val="ListParagraph"/>
        <w:numPr>
          <w:ilvl w:val="1"/>
          <w:numId w:val="7"/>
        </w:numPr>
        <w:tabs>
          <w:tab w:pos="1467"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b/>
          <w:sz w:val="24"/>
        </w:rPr>
      </w:pPr>
      <w:r>
        <w:rPr>
          <w:b/>
          <w:spacing w:val="-2"/>
          <w:sz w:val="24"/>
        </w:rPr>
        <w:t>Summary</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72</w:t>
      </w:r>
    </w:p>
    <w:p>
      <w:pPr>
        <w:pStyle w:val="BodyText"/>
        <w:spacing w:before="199"/>
        <w:rPr>
          <w:b/>
        </w:rPr>
      </w:pPr>
    </w:p>
    <w:p>
      <w:pPr>
        <w:pStyle w:val="ListParagraph"/>
        <w:numPr>
          <w:ilvl w:val="1"/>
          <w:numId w:val="7"/>
        </w:numPr>
        <w:tabs>
          <w:tab w:pos="1467" w:val="left" w:leader="none"/>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0" w:after="0"/>
        <w:ind w:left="1467" w:right="0" w:hanging="720"/>
        <w:jc w:val="left"/>
        <w:rPr>
          <w:b/>
          <w:sz w:val="24"/>
        </w:rPr>
      </w:pPr>
      <w:r>
        <w:rPr>
          <w:b/>
          <w:spacing w:val="-2"/>
          <w:sz w:val="24"/>
        </w:rPr>
        <w:t>Conclusion</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73</w:t>
      </w:r>
    </w:p>
    <w:p>
      <w:pPr>
        <w:pStyle w:val="BodyText"/>
        <w:spacing w:before="199"/>
        <w:rPr>
          <w:b/>
        </w:rPr>
      </w:pPr>
    </w:p>
    <w:p>
      <w:pPr>
        <w:pStyle w:val="ListParagraph"/>
        <w:numPr>
          <w:ilvl w:val="1"/>
          <w:numId w:val="7"/>
        </w:numPr>
        <w:tabs>
          <w:tab w:pos="1467"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line="240" w:lineRule="auto" w:before="1" w:after="0"/>
        <w:ind w:left="1467" w:right="0" w:hanging="720"/>
        <w:jc w:val="left"/>
        <w:rPr>
          <w:b/>
          <w:sz w:val="24"/>
        </w:rPr>
      </w:pPr>
      <w:r>
        <w:rPr>
          <w:b/>
          <w:spacing w:val="-2"/>
          <w:sz w:val="24"/>
        </w:rPr>
        <w:t>Recommendation</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73</w:t>
      </w:r>
    </w:p>
    <w:p>
      <w:pPr>
        <w:pStyle w:val="BodyText"/>
        <w:spacing w:before="201"/>
        <w:rPr>
          <w:b/>
        </w:rPr>
      </w:pPr>
    </w:p>
    <w:p>
      <w:pPr>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before="1"/>
        <w:ind w:left="807" w:right="0" w:firstLine="0"/>
        <w:jc w:val="left"/>
        <w:rPr>
          <w:b/>
          <w:sz w:val="24"/>
        </w:rPr>
      </w:pPr>
      <w:r>
        <w:rPr>
          <w:b/>
          <w:spacing w:val="-2"/>
          <w:sz w:val="24"/>
        </w:rPr>
        <w:t>REFERENCES</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2"/>
          <w:sz w:val="24"/>
        </w:rPr>
        <w:t>-</w:t>
      </w:r>
      <w:r>
        <w:rPr>
          <w:b/>
          <w:sz w:val="24"/>
        </w:rPr>
        <w:tab/>
      </w:r>
      <w:r>
        <w:rPr>
          <w:b/>
          <w:spacing w:val="-10"/>
          <w:sz w:val="24"/>
        </w:rPr>
        <w:t>-</w:t>
      </w:r>
      <w:r>
        <w:rPr>
          <w:b/>
          <w:sz w:val="24"/>
        </w:rPr>
        <w:tab/>
      </w:r>
      <w:r>
        <w:rPr>
          <w:b/>
          <w:spacing w:val="-10"/>
          <w:sz w:val="24"/>
        </w:rPr>
        <w:t>-</w:t>
      </w:r>
      <w:r>
        <w:rPr>
          <w:b/>
          <w:sz w:val="24"/>
        </w:rPr>
        <w:tab/>
      </w:r>
      <w:r>
        <w:rPr>
          <w:b/>
          <w:spacing w:val="-5"/>
          <w:sz w:val="24"/>
        </w:rPr>
        <w:t>74</w:t>
      </w:r>
    </w:p>
    <w:p>
      <w:pPr>
        <w:pStyle w:val="BodyText"/>
        <w:spacing w:before="199"/>
        <w:rPr>
          <w:b/>
        </w:rPr>
      </w:pPr>
    </w:p>
    <w:p>
      <w:pPr>
        <w:tabs>
          <w:tab w:pos="2908" w:val="left" w:leader="none"/>
          <w:tab w:pos="3628" w:val="left" w:leader="none"/>
          <w:tab w:pos="4348" w:val="left" w:leader="none"/>
          <w:tab w:pos="5068" w:val="left" w:leader="none"/>
          <w:tab w:pos="5788" w:val="left" w:leader="none"/>
          <w:tab w:pos="6509" w:val="left" w:leader="none"/>
          <w:tab w:pos="7229" w:val="left" w:leader="none"/>
          <w:tab w:pos="7949" w:val="left" w:leader="none"/>
          <w:tab w:pos="8508" w:val="left" w:leader="none"/>
        </w:tabs>
        <w:spacing w:before="0"/>
        <w:ind w:left="747" w:right="0" w:firstLine="0"/>
        <w:jc w:val="left"/>
        <w:rPr>
          <w:b/>
          <w:sz w:val="24"/>
        </w:rPr>
      </w:pPr>
      <w:r>
        <w:rPr>
          <w:b/>
          <w:spacing w:val="-2"/>
          <w:sz w:val="24"/>
        </w:rPr>
        <w:t>APPENDICES-</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2"/>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83</w:t>
      </w:r>
    </w:p>
    <w:p>
      <w:pPr>
        <w:spacing w:after="0"/>
        <w:jc w:val="left"/>
        <w:rPr>
          <w:sz w:val="24"/>
        </w:rPr>
        <w:sectPr>
          <w:pgSz w:w="11910" w:h="16840"/>
          <w:pgMar w:header="0" w:footer="981" w:top="1320" w:bottom="1180" w:left="1240" w:right="560"/>
        </w:sectPr>
      </w:pPr>
    </w:p>
    <w:p>
      <w:pPr>
        <w:pStyle w:val="Heading1"/>
        <w:spacing w:before="72"/>
        <w:ind w:left="419"/>
      </w:pPr>
      <w:bookmarkStart w:name="_TOC_250017" w:id="6"/>
      <w:r>
        <w:rPr/>
        <w:t>LIST OF</w:t>
      </w:r>
      <w:r>
        <w:rPr>
          <w:spacing w:val="-3"/>
        </w:rPr>
        <w:t> </w:t>
      </w:r>
      <w:bookmarkEnd w:id="6"/>
      <w:r>
        <w:rPr>
          <w:spacing w:val="-2"/>
        </w:rPr>
        <w:t>TABLES</w:t>
      </w:r>
    </w:p>
    <w:p>
      <w:pPr>
        <w:pStyle w:val="Heading2"/>
        <w:numPr>
          <w:ilvl w:val="2"/>
          <w:numId w:val="7"/>
        </w:numPr>
        <w:tabs>
          <w:tab w:pos="1767" w:val="left" w:leader="none"/>
        </w:tabs>
        <w:spacing w:line="240" w:lineRule="auto" w:before="197" w:after="0"/>
        <w:ind w:left="1767" w:right="0" w:hanging="660"/>
        <w:jc w:val="left"/>
      </w:pPr>
      <w:r>
        <w:rPr/>
        <w:t>Phytochemical</w:t>
      </w:r>
      <w:r>
        <w:rPr>
          <w:spacing w:val="-4"/>
        </w:rPr>
        <w:t> </w:t>
      </w:r>
      <w:r>
        <w:rPr/>
        <w:t>Constituents</w:t>
      </w:r>
      <w:r>
        <w:rPr>
          <w:spacing w:val="-2"/>
        </w:rPr>
        <w:t> </w:t>
      </w:r>
      <w:r>
        <w:rPr/>
        <w:t>of</w:t>
      </w:r>
      <w:r>
        <w:rPr>
          <w:spacing w:val="-2"/>
        </w:rPr>
        <w:t> </w:t>
      </w:r>
      <w:r>
        <w:rPr/>
        <w:t>Aqueous</w:t>
      </w:r>
      <w:r>
        <w:rPr>
          <w:spacing w:val="-1"/>
        </w:rPr>
        <w:t> </w:t>
      </w:r>
      <w:r>
        <w:rPr/>
        <w:t>Ethanol</w:t>
      </w:r>
      <w:r>
        <w:rPr>
          <w:spacing w:val="-1"/>
        </w:rPr>
        <w:t> </w:t>
      </w:r>
      <w:r>
        <w:rPr/>
        <w:t>Leaf </w:t>
      </w:r>
      <w:r>
        <w:rPr>
          <w:spacing w:val="-2"/>
        </w:rPr>
        <w:t>Extract</w:t>
      </w:r>
    </w:p>
    <w:p>
      <w:pPr>
        <w:tabs>
          <w:tab w:pos="4348" w:val="left" w:leader="none"/>
          <w:tab w:pos="5068" w:val="left" w:leader="none"/>
          <w:tab w:pos="5788" w:val="left" w:leader="none"/>
          <w:tab w:pos="6509" w:val="left" w:leader="none"/>
          <w:tab w:pos="7229" w:val="left" w:leader="none"/>
          <w:tab w:pos="7949" w:val="left" w:leader="none"/>
          <w:tab w:pos="8508" w:val="left" w:leader="none"/>
        </w:tabs>
        <w:spacing w:before="0"/>
        <w:ind w:left="1707" w:right="0" w:firstLine="0"/>
        <w:jc w:val="left"/>
        <w:rPr>
          <w:b/>
          <w:sz w:val="24"/>
        </w:rPr>
      </w:pPr>
      <w:r>
        <w:rPr>
          <w:b/>
          <w:sz w:val="24"/>
        </w:rPr>
        <w:t>of </w:t>
      </w:r>
      <w:r>
        <w:rPr>
          <w:b/>
          <w:i/>
          <w:sz w:val="24"/>
        </w:rPr>
        <w:t>C.</w:t>
      </w:r>
      <w:r>
        <w:rPr>
          <w:b/>
          <w:i/>
          <w:spacing w:val="-4"/>
          <w:sz w:val="24"/>
        </w:rPr>
        <w:t> </w:t>
      </w:r>
      <w:r>
        <w:rPr>
          <w:b/>
          <w:i/>
          <w:sz w:val="24"/>
        </w:rPr>
        <w:t>micranthum</w:t>
      </w:r>
      <w:r>
        <w:rPr>
          <w:b/>
          <w:i/>
          <w:spacing w:val="64"/>
          <w:w w:val="150"/>
          <w:sz w:val="24"/>
        </w:rPr>
        <w:t> </w:t>
      </w:r>
      <w:r>
        <w:rPr>
          <w:b/>
          <w:i/>
          <w:spacing w:val="-10"/>
          <w:sz w:val="24"/>
        </w:rPr>
        <w:t>-</w:t>
      </w:r>
      <w:r>
        <w:rPr>
          <w:b/>
          <w:i/>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55</w:t>
      </w:r>
    </w:p>
    <w:p>
      <w:pPr>
        <w:pStyle w:val="BodyText"/>
        <w:rPr>
          <w:b/>
        </w:rPr>
      </w:pPr>
    </w:p>
    <w:p>
      <w:pPr>
        <w:pStyle w:val="ListParagraph"/>
        <w:numPr>
          <w:ilvl w:val="2"/>
          <w:numId w:val="7"/>
        </w:numPr>
        <w:tabs>
          <w:tab w:pos="1767" w:val="left" w:leader="none"/>
          <w:tab w:pos="1827" w:val="left" w:leader="none"/>
        </w:tabs>
        <w:spacing w:line="240" w:lineRule="auto" w:before="0" w:after="0"/>
        <w:ind w:left="1827" w:right="3464" w:hanging="720"/>
        <w:jc w:val="left"/>
        <w:rPr>
          <w:b/>
          <w:sz w:val="24"/>
        </w:rPr>
      </w:pPr>
      <w:r>
        <w:rPr>
          <w:b/>
          <w:sz w:val="24"/>
        </w:rPr>
        <w:t>The</w:t>
      </w:r>
      <w:r>
        <w:rPr>
          <w:b/>
          <w:spacing w:val="-7"/>
          <w:sz w:val="24"/>
        </w:rPr>
        <w:t> </w:t>
      </w:r>
      <w:r>
        <w:rPr>
          <w:b/>
          <w:sz w:val="24"/>
        </w:rPr>
        <w:t>Effect</w:t>
      </w:r>
      <w:r>
        <w:rPr>
          <w:b/>
          <w:spacing w:val="-6"/>
          <w:sz w:val="24"/>
        </w:rPr>
        <w:t> </w:t>
      </w:r>
      <w:r>
        <w:rPr>
          <w:b/>
          <w:sz w:val="24"/>
        </w:rPr>
        <w:t>of</w:t>
      </w:r>
      <w:r>
        <w:rPr>
          <w:b/>
          <w:spacing w:val="-6"/>
          <w:sz w:val="24"/>
        </w:rPr>
        <w:t> </w:t>
      </w:r>
      <w:r>
        <w:rPr>
          <w:b/>
          <w:sz w:val="24"/>
        </w:rPr>
        <w:t>Oral</w:t>
      </w:r>
      <w:r>
        <w:rPr>
          <w:b/>
          <w:spacing w:val="-5"/>
          <w:sz w:val="24"/>
        </w:rPr>
        <w:t> </w:t>
      </w:r>
      <w:r>
        <w:rPr>
          <w:b/>
          <w:i/>
          <w:sz w:val="24"/>
        </w:rPr>
        <w:t>C.</w:t>
      </w:r>
      <w:r>
        <w:rPr>
          <w:b/>
          <w:i/>
          <w:spacing w:val="-9"/>
          <w:sz w:val="24"/>
        </w:rPr>
        <w:t> </w:t>
      </w:r>
      <w:r>
        <w:rPr>
          <w:b/>
          <w:i/>
          <w:sz w:val="24"/>
        </w:rPr>
        <w:t>micranthum</w:t>
      </w:r>
      <w:r>
        <w:rPr>
          <w:b/>
          <w:i/>
          <w:spacing w:val="-5"/>
          <w:sz w:val="24"/>
        </w:rPr>
        <w:t> </w:t>
      </w:r>
      <w:r>
        <w:rPr>
          <w:b/>
          <w:sz w:val="24"/>
        </w:rPr>
        <w:t>Pretreatment on Haematological Parameters in Rats</w:t>
      </w:r>
    </w:p>
    <w:p>
      <w:pPr>
        <w:tabs>
          <w:tab w:pos="7229" w:val="left" w:leader="none"/>
          <w:tab w:pos="7949" w:val="left" w:leader="none"/>
          <w:tab w:pos="8508" w:val="left" w:leader="none"/>
        </w:tabs>
        <w:spacing w:before="0"/>
        <w:ind w:left="1827" w:right="0" w:firstLine="0"/>
        <w:jc w:val="left"/>
        <w:rPr>
          <w:b/>
          <w:sz w:val="24"/>
        </w:rPr>
      </w:pPr>
      <w:r>
        <w:rPr>
          <w:b/>
          <w:sz w:val="24"/>
        </w:rPr>
        <w:t>before</w:t>
      </w:r>
      <w:r>
        <w:rPr>
          <w:b/>
          <w:spacing w:val="-3"/>
          <w:sz w:val="24"/>
        </w:rPr>
        <w:t> </w:t>
      </w:r>
      <w:r>
        <w:rPr>
          <w:b/>
          <w:sz w:val="24"/>
        </w:rPr>
        <w:t>and</w:t>
      </w:r>
      <w:r>
        <w:rPr>
          <w:b/>
          <w:spacing w:val="-2"/>
          <w:sz w:val="24"/>
        </w:rPr>
        <w:t> </w:t>
      </w:r>
      <w:r>
        <w:rPr>
          <w:b/>
          <w:sz w:val="24"/>
        </w:rPr>
        <w:t>after</w:t>
      </w:r>
      <w:r>
        <w:rPr>
          <w:b/>
          <w:spacing w:val="-2"/>
          <w:sz w:val="24"/>
        </w:rPr>
        <w:t> </w:t>
      </w:r>
      <w:r>
        <w:rPr>
          <w:b/>
          <w:sz w:val="24"/>
        </w:rPr>
        <w:t>Cyclophosphamide</w:t>
      </w:r>
      <w:r>
        <w:rPr>
          <w:b/>
          <w:spacing w:val="-2"/>
          <w:sz w:val="24"/>
        </w:rPr>
        <w:t> Treatment</w:t>
      </w:r>
      <w:r>
        <w:rPr>
          <w:b/>
          <w:sz w:val="24"/>
        </w:rPr>
        <w:tab/>
      </w:r>
      <w:r>
        <w:rPr>
          <w:b/>
          <w:spacing w:val="-10"/>
          <w:sz w:val="24"/>
        </w:rPr>
        <w:t>-</w:t>
      </w:r>
      <w:r>
        <w:rPr>
          <w:b/>
          <w:sz w:val="24"/>
        </w:rPr>
        <w:tab/>
      </w:r>
      <w:r>
        <w:rPr>
          <w:b/>
          <w:spacing w:val="-10"/>
          <w:sz w:val="24"/>
        </w:rPr>
        <w:t>-</w:t>
      </w:r>
      <w:r>
        <w:rPr>
          <w:b/>
          <w:sz w:val="24"/>
        </w:rPr>
        <w:tab/>
      </w:r>
      <w:r>
        <w:rPr>
          <w:b/>
          <w:spacing w:val="-5"/>
          <w:sz w:val="24"/>
        </w:rPr>
        <w:t>57</w:t>
      </w:r>
    </w:p>
    <w:p>
      <w:pPr>
        <w:pStyle w:val="BodyText"/>
        <w:rPr>
          <w:b/>
        </w:rPr>
      </w:pPr>
    </w:p>
    <w:p>
      <w:pPr>
        <w:pStyle w:val="ListParagraph"/>
        <w:numPr>
          <w:ilvl w:val="2"/>
          <w:numId w:val="7"/>
        </w:numPr>
        <w:tabs>
          <w:tab w:pos="1767" w:val="left" w:leader="none"/>
        </w:tabs>
        <w:spacing w:line="240" w:lineRule="auto" w:before="0" w:after="0"/>
        <w:ind w:left="1767" w:right="2774" w:hanging="660"/>
        <w:jc w:val="left"/>
        <w:rPr>
          <w:b/>
          <w:sz w:val="24"/>
        </w:rPr>
      </w:pPr>
      <w:r>
        <w:rPr>
          <w:b/>
          <w:sz w:val="24"/>
        </w:rPr>
        <w:t>Sheep</w:t>
      </w:r>
      <w:r>
        <w:rPr>
          <w:b/>
          <w:spacing w:val="-5"/>
          <w:sz w:val="24"/>
        </w:rPr>
        <w:t> </w:t>
      </w:r>
      <w:r>
        <w:rPr>
          <w:b/>
          <w:sz w:val="24"/>
        </w:rPr>
        <w:t>Red</w:t>
      </w:r>
      <w:r>
        <w:rPr>
          <w:b/>
          <w:spacing w:val="-6"/>
          <w:sz w:val="24"/>
        </w:rPr>
        <w:t> </w:t>
      </w:r>
      <w:r>
        <w:rPr>
          <w:b/>
          <w:sz w:val="24"/>
        </w:rPr>
        <w:t>Blood</w:t>
      </w:r>
      <w:r>
        <w:rPr>
          <w:b/>
          <w:spacing w:val="-5"/>
          <w:sz w:val="24"/>
        </w:rPr>
        <w:t> </w:t>
      </w:r>
      <w:r>
        <w:rPr>
          <w:b/>
          <w:sz w:val="24"/>
        </w:rPr>
        <w:t>Cells</w:t>
      </w:r>
      <w:r>
        <w:rPr>
          <w:b/>
          <w:spacing w:val="-6"/>
          <w:sz w:val="24"/>
        </w:rPr>
        <w:t> </w:t>
      </w:r>
      <w:r>
        <w:rPr>
          <w:b/>
          <w:sz w:val="24"/>
        </w:rPr>
        <w:t>(SRBC)-Induced</w:t>
      </w:r>
      <w:r>
        <w:rPr>
          <w:b/>
          <w:spacing w:val="-5"/>
          <w:sz w:val="24"/>
        </w:rPr>
        <w:t> </w:t>
      </w:r>
      <w:r>
        <w:rPr>
          <w:b/>
          <w:sz w:val="24"/>
        </w:rPr>
        <w:t>Delayed</w:t>
      </w:r>
      <w:r>
        <w:rPr>
          <w:b/>
          <w:spacing w:val="-6"/>
          <w:sz w:val="24"/>
        </w:rPr>
        <w:t> </w:t>
      </w:r>
      <w:r>
        <w:rPr>
          <w:b/>
          <w:sz w:val="24"/>
        </w:rPr>
        <w:t>Type Hypersensitivity (DTH) on Rats Pretreated with</w:t>
      </w:r>
    </w:p>
    <w:p>
      <w:pPr>
        <w:tabs>
          <w:tab w:pos="5068" w:val="left" w:leader="none"/>
          <w:tab w:pos="5788" w:val="left" w:leader="none"/>
          <w:tab w:pos="6509" w:val="left" w:leader="none"/>
          <w:tab w:pos="7229" w:val="left" w:leader="none"/>
          <w:tab w:pos="7949" w:val="left" w:leader="none"/>
          <w:tab w:pos="8508" w:val="left" w:leader="none"/>
        </w:tabs>
        <w:spacing w:before="0"/>
        <w:ind w:left="1767" w:right="0" w:firstLine="0"/>
        <w:jc w:val="left"/>
        <w:rPr>
          <w:b/>
          <w:sz w:val="24"/>
        </w:rPr>
      </w:pPr>
      <w:r>
        <w:rPr>
          <w:b/>
          <w:i/>
          <w:sz w:val="24"/>
        </w:rPr>
        <w:t>C.</w:t>
      </w:r>
      <w:r>
        <w:rPr>
          <w:b/>
          <w:i/>
          <w:spacing w:val="-2"/>
          <w:sz w:val="24"/>
        </w:rPr>
        <w:t> </w:t>
      </w:r>
      <w:r>
        <w:rPr>
          <w:b/>
          <w:i/>
          <w:sz w:val="24"/>
        </w:rPr>
        <w:t>micranthum</w:t>
      </w:r>
      <w:r>
        <w:rPr>
          <w:b/>
          <w:i/>
          <w:spacing w:val="-1"/>
          <w:sz w:val="24"/>
        </w:rPr>
        <w:t> </w:t>
      </w:r>
      <w:r>
        <w:rPr>
          <w:b/>
          <w:sz w:val="24"/>
        </w:rPr>
        <w:t>Leaf </w:t>
      </w:r>
      <w:r>
        <w:rPr>
          <w:b/>
          <w:spacing w:val="-2"/>
          <w:sz w:val="24"/>
        </w:rPr>
        <w:t>Extract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59</w:t>
      </w:r>
    </w:p>
    <w:p>
      <w:pPr>
        <w:pStyle w:val="BodyText"/>
        <w:spacing w:before="1"/>
        <w:rPr>
          <w:b/>
        </w:rPr>
      </w:pPr>
    </w:p>
    <w:p>
      <w:pPr>
        <w:pStyle w:val="ListParagraph"/>
        <w:numPr>
          <w:ilvl w:val="2"/>
          <w:numId w:val="7"/>
        </w:numPr>
        <w:tabs>
          <w:tab w:pos="1767" w:val="left" w:leader="none"/>
        </w:tabs>
        <w:spacing w:line="240" w:lineRule="auto" w:before="0" w:after="0"/>
        <w:ind w:left="1767" w:right="0" w:hanging="660"/>
        <w:jc w:val="left"/>
        <w:rPr>
          <w:b/>
          <w:sz w:val="24"/>
        </w:rPr>
      </w:pPr>
      <w:r>
        <w:rPr>
          <w:b/>
          <w:sz w:val="24"/>
        </w:rPr>
        <w:t>Protective</w:t>
      </w:r>
      <w:r>
        <w:rPr>
          <w:b/>
          <w:spacing w:val="-6"/>
          <w:sz w:val="24"/>
        </w:rPr>
        <w:t> </w:t>
      </w:r>
      <w:r>
        <w:rPr>
          <w:b/>
          <w:sz w:val="24"/>
        </w:rPr>
        <w:t>Effect</w:t>
      </w:r>
      <w:r>
        <w:rPr>
          <w:b/>
          <w:spacing w:val="-2"/>
          <w:sz w:val="24"/>
        </w:rPr>
        <w:t> </w:t>
      </w:r>
      <w:r>
        <w:rPr>
          <w:b/>
          <w:sz w:val="24"/>
        </w:rPr>
        <w:t>of</w:t>
      </w:r>
      <w:r>
        <w:rPr>
          <w:b/>
          <w:spacing w:val="1"/>
          <w:sz w:val="24"/>
        </w:rPr>
        <w:t> </w:t>
      </w:r>
      <w:r>
        <w:rPr>
          <w:b/>
          <w:i/>
          <w:sz w:val="24"/>
        </w:rPr>
        <w:t>C.</w:t>
      </w:r>
      <w:r>
        <w:rPr>
          <w:b/>
          <w:i/>
          <w:spacing w:val="-5"/>
          <w:sz w:val="24"/>
        </w:rPr>
        <w:t> </w:t>
      </w:r>
      <w:r>
        <w:rPr>
          <w:b/>
          <w:i/>
          <w:sz w:val="24"/>
        </w:rPr>
        <w:t>micranthum</w:t>
      </w:r>
      <w:r>
        <w:rPr>
          <w:b/>
          <w:i/>
          <w:spacing w:val="2"/>
          <w:sz w:val="24"/>
        </w:rPr>
        <w:t> </w:t>
      </w:r>
      <w:r>
        <w:rPr>
          <w:b/>
          <w:sz w:val="24"/>
        </w:rPr>
        <w:t>Leaf</w:t>
      </w:r>
      <w:r>
        <w:rPr>
          <w:b/>
          <w:spacing w:val="-2"/>
          <w:sz w:val="24"/>
        </w:rPr>
        <w:t> </w:t>
      </w:r>
      <w:r>
        <w:rPr>
          <w:b/>
          <w:sz w:val="24"/>
        </w:rPr>
        <w:t>Extract</w:t>
      </w:r>
      <w:r>
        <w:rPr>
          <w:b/>
          <w:spacing w:val="-1"/>
          <w:sz w:val="24"/>
        </w:rPr>
        <w:t> </w:t>
      </w:r>
      <w:r>
        <w:rPr>
          <w:b/>
          <w:spacing w:val="-5"/>
          <w:sz w:val="24"/>
        </w:rPr>
        <w:t>on</w:t>
      </w:r>
    </w:p>
    <w:p>
      <w:pPr>
        <w:spacing w:before="0"/>
        <w:ind w:left="1767" w:right="0" w:firstLine="0"/>
        <w:jc w:val="left"/>
        <w:rPr>
          <w:b/>
          <w:sz w:val="24"/>
        </w:rPr>
      </w:pPr>
      <w:r>
        <w:rPr>
          <w:b/>
          <w:i/>
          <w:sz w:val="24"/>
        </w:rPr>
        <w:t>Escherichia</w:t>
      </w:r>
      <w:r>
        <w:rPr>
          <w:b/>
          <w:i/>
          <w:spacing w:val="-2"/>
          <w:sz w:val="24"/>
        </w:rPr>
        <w:t> </w:t>
      </w:r>
      <w:r>
        <w:rPr>
          <w:b/>
          <w:i/>
          <w:sz w:val="24"/>
        </w:rPr>
        <w:t>Coli-</w:t>
      </w:r>
      <w:r>
        <w:rPr>
          <w:b/>
          <w:i/>
          <w:spacing w:val="-2"/>
          <w:sz w:val="24"/>
        </w:rPr>
        <w:t> </w:t>
      </w:r>
      <w:r>
        <w:rPr>
          <w:b/>
          <w:sz w:val="24"/>
        </w:rPr>
        <w:t>Induced</w:t>
      </w:r>
      <w:r>
        <w:rPr>
          <w:b/>
          <w:spacing w:val="-1"/>
          <w:sz w:val="24"/>
        </w:rPr>
        <w:t> </w:t>
      </w:r>
      <w:r>
        <w:rPr>
          <w:b/>
          <w:sz w:val="24"/>
        </w:rPr>
        <w:t>Abdominal</w:t>
      </w:r>
      <w:r>
        <w:rPr>
          <w:b/>
          <w:spacing w:val="-3"/>
          <w:sz w:val="24"/>
        </w:rPr>
        <w:t> </w:t>
      </w:r>
      <w:r>
        <w:rPr>
          <w:b/>
          <w:sz w:val="24"/>
        </w:rPr>
        <w:t>Sepsis</w:t>
      </w:r>
      <w:r>
        <w:rPr>
          <w:b/>
          <w:spacing w:val="-1"/>
          <w:sz w:val="24"/>
        </w:rPr>
        <w:t> </w:t>
      </w:r>
      <w:r>
        <w:rPr>
          <w:b/>
          <w:sz w:val="24"/>
        </w:rPr>
        <w:t>in </w:t>
      </w:r>
      <w:r>
        <w:rPr>
          <w:b/>
          <w:spacing w:val="-5"/>
          <w:sz w:val="24"/>
        </w:rPr>
        <w:t>15</w:t>
      </w:r>
    </w:p>
    <w:p>
      <w:pPr>
        <w:pStyle w:val="Heading2"/>
        <w:tabs>
          <w:tab w:pos="5068" w:val="left" w:leader="none"/>
          <w:tab w:pos="5788" w:val="left" w:leader="none"/>
          <w:tab w:pos="6509" w:val="left" w:leader="none"/>
          <w:tab w:pos="7229" w:val="left" w:leader="none"/>
          <w:tab w:pos="7949" w:val="left" w:leader="none"/>
          <w:tab w:pos="8508" w:val="left" w:leader="none"/>
        </w:tabs>
        <w:ind w:left="1767" w:firstLine="0"/>
      </w:pPr>
      <w:r>
        <w:rPr/>
        <w:t>Days</w:t>
      </w:r>
      <w:r>
        <w:rPr>
          <w:spacing w:val="-4"/>
        </w:rPr>
        <w:t> </w:t>
      </w:r>
      <w:r>
        <w:rPr/>
        <w:t>Pretreated</w:t>
      </w:r>
      <w:r>
        <w:rPr>
          <w:spacing w:val="-2"/>
        </w:rPr>
        <w:t> </w:t>
      </w:r>
      <w:r>
        <w:rPr>
          <w:spacing w:val="-4"/>
        </w:rPr>
        <w:t>Mice-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60</w:t>
      </w:r>
    </w:p>
    <w:p>
      <w:pPr>
        <w:pStyle w:val="BodyText"/>
        <w:rPr>
          <w:b/>
        </w:rPr>
      </w:pPr>
    </w:p>
    <w:p>
      <w:pPr>
        <w:pStyle w:val="ListParagraph"/>
        <w:numPr>
          <w:ilvl w:val="2"/>
          <w:numId w:val="7"/>
        </w:numPr>
        <w:tabs>
          <w:tab w:pos="1767" w:val="left" w:leader="none"/>
        </w:tabs>
        <w:spacing w:line="240" w:lineRule="auto" w:before="0" w:after="0"/>
        <w:ind w:left="1767" w:right="0" w:hanging="660"/>
        <w:jc w:val="left"/>
        <w:rPr>
          <w:sz w:val="24"/>
        </w:rPr>
      </w:pPr>
      <w:r>
        <w:rPr>
          <w:b/>
          <w:sz w:val="24"/>
        </w:rPr>
        <w:t>Growth</w:t>
      </w:r>
      <w:r>
        <w:rPr>
          <w:b/>
          <w:spacing w:val="-2"/>
          <w:sz w:val="24"/>
        </w:rPr>
        <w:t> </w:t>
      </w:r>
      <w:r>
        <w:rPr>
          <w:b/>
          <w:sz w:val="24"/>
        </w:rPr>
        <w:t>Inhibition</w:t>
      </w:r>
      <w:r>
        <w:rPr>
          <w:b/>
          <w:spacing w:val="-2"/>
          <w:sz w:val="24"/>
        </w:rPr>
        <w:t> </w:t>
      </w:r>
      <w:r>
        <w:rPr>
          <w:b/>
          <w:sz w:val="24"/>
        </w:rPr>
        <w:t>Zones</w:t>
      </w:r>
      <w:r>
        <w:rPr>
          <w:b/>
          <w:spacing w:val="-1"/>
          <w:sz w:val="24"/>
        </w:rPr>
        <w:t> </w:t>
      </w:r>
      <w:r>
        <w:rPr>
          <w:b/>
          <w:sz w:val="24"/>
        </w:rPr>
        <w:t>of</w:t>
      </w:r>
      <w:r>
        <w:rPr>
          <w:b/>
          <w:spacing w:val="-1"/>
          <w:sz w:val="24"/>
        </w:rPr>
        <w:t> </w:t>
      </w:r>
      <w:r>
        <w:rPr>
          <w:b/>
          <w:sz w:val="24"/>
        </w:rPr>
        <w:t>Two</w:t>
      </w:r>
      <w:r>
        <w:rPr>
          <w:b/>
          <w:spacing w:val="-1"/>
          <w:sz w:val="24"/>
        </w:rPr>
        <w:t> </w:t>
      </w:r>
      <w:r>
        <w:rPr>
          <w:b/>
          <w:sz w:val="24"/>
        </w:rPr>
        <w:t>Extract</w:t>
      </w:r>
      <w:r>
        <w:rPr>
          <w:b/>
          <w:spacing w:val="-2"/>
          <w:sz w:val="24"/>
        </w:rPr>
        <w:t> </w:t>
      </w:r>
      <w:r>
        <w:rPr>
          <w:b/>
          <w:sz w:val="24"/>
        </w:rPr>
        <w:t>Doses</w:t>
      </w:r>
      <w:r>
        <w:rPr>
          <w:b/>
          <w:spacing w:val="-1"/>
          <w:sz w:val="24"/>
        </w:rPr>
        <w:t> </w:t>
      </w:r>
      <w:r>
        <w:rPr>
          <w:b/>
          <w:spacing w:val="-5"/>
          <w:sz w:val="24"/>
        </w:rPr>
        <w:t>and</w:t>
      </w:r>
    </w:p>
    <w:p>
      <w:pPr>
        <w:tabs>
          <w:tab w:pos="7949" w:val="left" w:leader="none"/>
          <w:tab w:pos="8508" w:val="left" w:leader="none"/>
        </w:tabs>
        <w:spacing w:before="0"/>
        <w:ind w:left="1767" w:right="0" w:firstLine="0"/>
        <w:jc w:val="left"/>
        <w:rPr>
          <w:b/>
          <w:sz w:val="24"/>
        </w:rPr>
      </w:pPr>
      <w:r>
        <w:rPr>
          <w:b/>
          <w:sz w:val="24"/>
        </w:rPr>
        <w:t>Four</w:t>
      </w:r>
      <w:r>
        <w:rPr>
          <w:b/>
          <w:spacing w:val="-4"/>
          <w:sz w:val="24"/>
        </w:rPr>
        <w:t> </w:t>
      </w:r>
      <w:r>
        <w:rPr>
          <w:b/>
          <w:sz w:val="24"/>
        </w:rPr>
        <w:t>Standard</w:t>
      </w:r>
      <w:r>
        <w:rPr>
          <w:b/>
          <w:spacing w:val="58"/>
          <w:sz w:val="24"/>
        </w:rPr>
        <w:t> </w:t>
      </w:r>
      <w:r>
        <w:rPr>
          <w:b/>
          <w:sz w:val="24"/>
        </w:rPr>
        <w:t>Antibiotics</w:t>
      </w:r>
      <w:r>
        <w:rPr>
          <w:b/>
          <w:spacing w:val="-1"/>
          <w:sz w:val="24"/>
        </w:rPr>
        <w:t> </w:t>
      </w:r>
      <w:r>
        <w:rPr>
          <w:b/>
          <w:sz w:val="24"/>
        </w:rPr>
        <w:t>Specific</w:t>
      </w:r>
      <w:r>
        <w:rPr>
          <w:b/>
          <w:spacing w:val="-4"/>
          <w:sz w:val="24"/>
        </w:rPr>
        <w:t> </w:t>
      </w:r>
      <w:r>
        <w:rPr>
          <w:b/>
          <w:sz w:val="24"/>
        </w:rPr>
        <w:t>for</w:t>
      </w:r>
      <w:r>
        <w:rPr>
          <w:b/>
          <w:spacing w:val="1"/>
          <w:sz w:val="24"/>
        </w:rPr>
        <w:t> </w:t>
      </w:r>
      <w:r>
        <w:rPr>
          <w:b/>
          <w:i/>
          <w:sz w:val="24"/>
        </w:rPr>
        <w:t>Escherichia.</w:t>
      </w:r>
      <w:r>
        <w:rPr>
          <w:b/>
          <w:i/>
          <w:spacing w:val="-1"/>
          <w:sz w:val="24"/>
        </w:rPr>
        <w:t> </w:t>
      </w:r>
      <w:r>
        <w:rPr>
          <w:b/>
          <w:i/>
          <w:spacing w:val="-4"/>
          <w:sz w:val="24"/>
        </w:rPr>
        <w:t>coli</w:t>
      </w:r>
      <w:r>
        <w:rPr>
          <w:b/>
          <w:i/>
          <w:sz w:val="24"/>
        </w:rPr>
        <w:tab/>
      </w:r>
      <w:r>
        <w:rPr>
          <w:b/>
          <w:spacing w:val="-10"/>
          <w:sz w:val="24"/>
        </w:rPr>
        <w:t>-</w:t>
      </w:r>
      <w:r>
        <w:rPr>
          <w:b/>
          <w:sz w:val="24"/>
        </w:rPr>
        <w:tab/>
      </w:r>
      <w:r>
        <w:rPr>
          <w:b/>
          <w:spacing w:val="-5"/>
          <w:sz w:val="24"/>
        </w:rPr>
        <w:t>63</w:t>
      </w:r>
    </w:p>
    <w:p>
      <w:pPr>
        <w:pStyle w:val="BodyText"/>
        <w:rPr>
          <w:b/>
        </w:rPr>
      </w:pPr>
    </w:p>
    <w:p>
      <w:pPr>
        <w:pStyle w:val="Heading2"/>
        <w:numPr>
          <w:ilvl w:val="2"/>
          <w:numId w:val="7"/>
        </w:numPr>
        <w:tabs>
          <w:tab w:pos="1767" w:val="left" w:leader="none"/>
        </w:tabs>
        <w:spacing w:line="240" w:lineRule="auto" w:before="0" w:after="0"/>
        <w:ind w:left="1767" w:right="3079" w:hanging="660"/>
        <w:jc w:val="left"/>
      </w:pPr>
      <w:r>
        <w:rPr/>
        <w:t>Growth</w:t>
      </w:r>
      <w:r>
        <w:rPr>
          <w:spacing w:val="-6"/>
        </w:rPr>
        <w:t> </w:t>
      </w:r>
      <w:r>
        <w:rPr/>
        <w:t>Inhibition</w:t>
      </w:r>
      <w:r>
        <w:rPr>
          <w:spacing w:val="-6"/>
        </w:rPr>
        <w:t> </w:t>
      </w:r>
      <w:r>
        <w:rPr/>
        <w:t>Zones</w:t>
      </w:r>
      <w:r>
        <w:rPr>
          <w:spacing w:val="-6"/>
        </w:rPr>
        <w:t> </w:t>
      </w:r>
      <w:r>
        <w:rPr/>
        <w:t>of</w:t>
      </w:r>
      <w:r>
        <w:rPr>
          <w:spacing w:val="-5"/>
        </w:rPr>
        <w:t> </w:t>
      </w:r>
      <w:r>
        <w:rPr/>
        <w:t>Two</w:t>
      </w:r>
      <w:r>
        <w:rPr>
          <w:spacing w:val="-6"/>
        </w:rPr>
        <w:t> </w:t>
      </w:r>
      <w:r>
        <w:rPr/>
        <w:t>Extract</w:t>
      </w:r>
      <w:r>
        <w:rPr>
          <w:spacing w:val="-6"/>
        </w:rPr>
        <w:t> </w:t>
      </w:r>
      <w:r>
        <w:rPr/>
        <w:t>Doses</w:t>
      </w:r>
      <w:r>
        <w:rPr>
          <w:spacing w:val="-6"/>
        </w:rPr>
        <w:t> </w:t>
      </w:r>
      <w:r>
        <w:rPr/>
        <w:t>and Four Standard Antibiotics Specific for</w:t>
      </w:r>
    </w:p>
    <w:p>
      <w:pPr>
        <w:tabs>
          <w:tab w:pos="4348" w:val="left" w:leader="none"/>
          <w:tab w:pos="5068" w:val="left" w:leader="none"/>
          <w:tab w:pos="5788" w:val="left" w:leader="none"/>
          <w:tab w:pos="6509" w:val="left" w:leader="none"/>
          <w:tab w:pos="7229" w:val="left" w:leader="none"/>
          <w:tab w:pos="7949" w:val="left" w:leader="none"/>
          <w:tab w:pos="8508" w:val="left" w:leader="none"/>
        </w:tabs>
        <w:spacing w:before="0"/>
        <w:ind w:left="1767" w:right="0" w:firstLine="0"/>
        <w:jc w:val="left"/>
        <w:rPr>
          <w:b/>
          <w:sz w:val="24"/>
        </w:rPr>
      </w:pPr>
      <w:r>
        <w:rPr>
          <w:b/>
          <w:i/>
          <w:sz w:val="24"/>
        </w:rPr>
        <w:t>Staphylococcus.</w:t>
      </w:r>
      <w:r>
        <w:rPr>
          <w:b/>
          <w:i/>
          <w:spacing w:val="-3"/>
          <w:sz w:val="24"/>
        </w:rPr>
        <w:t> </w:t>
      </w:r>
      <w:r>
        <w:rPr>
          <w:b/>
          <w:i/>
          <w:spacing w:val="-2"/>
          <w:sz w:val="24"/>
        </w:rPr>
        <w:t>aureus</w:t>
      </w:r>
      <w:r>
        <w:rPr>
          <w:b/>
          <w:i/>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64</w:t>
      </w:r>
    </w:p>
    <w:p>
      <w:pPr>
        <w:pStyle w:val="BodyText"/>
        <w:rPr>
          <w:b/>
        </w:rPr>
      </w:pPr>
    </w:p>
    <w:p>
      <w:pPr>
        <w:pStyle w:val="Heading2"/>
        <w:numPr>
          <w:ilvl w:val="2"/>
          <w:numId w:val="7"/>
        </w:numPr>
        <w:tabs>
          <w:tab w:pos="1767" w:val="left" w:leader="none"/>
          <w:tab w:pos="1827" w:val="left" w:leader="none"/>
        </w:tabs>
        <w:spacing w:line="240" w:lineRule="auto" w:before="0" w:after="0"/>
        <w:ind w:left="1767" w:right="3017" w:hanging="660"/>
        <w:jc w:val="left"/>
      </w:pPr>
      <w:r>
        <w:rPr/>
        <w:tab/>
        <w:t>Growth</w:t>
      </w:r>
      <w:r>
        <w:rPr>
          <w:spacing w:val="-5"/>
        </w:rPr>
        <w:t> </w:t>
      </w:r>
      <w:r>
        <w:rPr/>
        <w:t>Inhibition</w:t>
      </w:r>
      <w:r>
        <w:rPr>
          <w:spacing w:val="-5"/>
        </w:rPr>
        <w:t> </w:t>
      </w:r>
      <w:r>
        <w:rPr/>
        <w:t>Zones</w:t>
      </w:r>
      <w:r>
        <w:rPr>
          <w:spacing w:val="-5"/>
        </w:rPr>
        <w:t> </w:t>
      </w:r>
      <w:r>
        <w:rPr/>
        <w:t>of</w:t>
      </w:r>
      <w:r>
        <w:rPr>
          <w:spacing w:val="-4"/>
        </w:rPr>
        <w:t> </w:t>
      </w:r>
      <w:r>
        <w:rPr/>
        <w:t>Two</w:t>
      </w:r>
      <w:r>
        <w:rPr>
          <w:spacing w:val="-8"/>
        </w:rPr>
        <w:t> </w:t>
      </w:r>
      <w:r>
        <w:rPr/>
        <w:t>Extract</w:t>
      </w:r>
      <w:r>
        <w:rPr>
          <w:spacing w:val="-5"/>
        </w:rPr>
        <w:t> </w:t>
      </w:r>
      <w:r>
        <w:rPr/>
        <w:t>Doses</w:t>
      </w:r>
      <w:r>
        <w:rPr>
          <w:spacing w:val="-4"/>
        </w:rPr>
        <w:t> </w:t>
      </w:r>
      <w:r>
        <w:rPr/>
        <w:t>and Four Standard Antibiotics Specific for</w:t>
      </w:r>
    </w:p>
    <w:p>
      <w:pPr>
        <w:tabs>
          <w:tab w:pos="4348" w:val="left" w:leader="none"/>
          <w:tab w:pos="5068" w:val="left" w:leader="none"/>
          <w:tab w:pos="5788" w:val="left" w:leader="none"/>
          <w:tab w:pos="6509" w:val="left" w:leader="none"/>
          <w:tab w:pos="7229" w:val="left" w:leader="none"/>
          <w:tab w:pos="7949" w:val="left" w:leader="none"/>
          <w:tab w:pos="8508" w:val="left" w:leader="none"/>
        </w:tabs>
        <w:spacing w:before="0"/>
        <w:ind w:left="1767" w:right="0" w:firstLine="0"/>
        <w:jc w:val="left"/>
        <w:rPr>
          <w:b/>
          <w:sz w:val="24"/>
        </w:rPr>
      </w:pPr>
      <w:r>
        <w:rPr>
          <w:b/>
          <w:i/>
          <w:sz w:val="24"/>
        </w:rPr>
        <w:t>Klebsiella.</w:t>
      </w:r>
      <w:r>
        <w:rPr>
          <w:b/>
          <w:i/>
          <w:spacing w:val="-1"/>
          <w:sz w:val="24"/>
        </w:rPr>
        <w:t> </w:t>
      </w:r>
      <w:r>
        <w:rPr>
          <w:b/>
          <w:i/>
          <w:spacing w:val="-2"/>
          <w:sz w:val="24"/>
        </w:rPr>
        <w:t>pneumoneae</w:t>
      </w:r>
      <w:r>
        <w:rPr>
          <w:b/>
          <w:i/>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65</w:t>
      </w:r>
    </w:p>
    <w:p>
      <w:pPr>
        <w:pStyle w:val="BodyText"/>
        <w:rPr>
          <w:b/>
        </w:rPr>
      </w:pPr>
    </w:p>
    <w:p>
      <w:pPr>
        <w:pStyle w:val="Heading2"/>
        <w:numPr>
          <w:ilvl w:val="2"/>
          <w:numId w:val="7"/>
        </w:numPr>
        <w:tabs>
          <w:tab w:pos="1827" w:val="left" w:leader="none"/>
        </w:tabs>
        <w:spacing w:line="240" w:lineRule="auto" w:before="0" w:after="0"/>
        <w:ind w:left="1827" w:right="0" w:hanging="720"/>
        <w:jc w:val="left"/>
      </w:pPr>
      <w:r>
        <w:rPr/>
        <w:t>Growth</w:t>
      </w:r>
      <w:r>
        <w:rPr>
          <w:spacing w:val="-1"/>
        </w:rPr>
        <w:t> </w:t>
      </w:r>
      <w:r>
        <w:rPr/>
        <w:t>Inhibition</w:t>
      </w:r>
      <w:r>
        <w:rPr>
          <w:spacing w:val="-1"/>
        </w:rPr>
        <w:t> </w:t>
      </w:r>
      <w:r>
        <w:rPr/>
        <w:t>Zones</w:t>
      </w:r>
      <w:r>
        <w:rPr>
          <w:spacing w:val="-1"/>
        </w:rPr>
        <w:t> </w:t>
      </w:r>
      <w:r>
        <w:rPr/>
        <w:t>of</w:t>
      </w:r>
      <w:r>
        <w:rPr>
          <w:spacing w:val="-1"/>
        </w:rPr>
        <w:t> </w:t>
      </w:r>
      <w:r>
        <w:rPr/>
        <w:t>Two</w:t>
      </w:r>
      <w:r>
        <w:rPr>
          <w:spacing w:val="-3"/>
        </w:rPr>
        <w:t> </w:t>
      </w:r>
      <w:r>
        <w:rPr/>
        <w:t>Extract</w:t>
      </w:r>
      <w:r>
        <w:rPr>
          <w:spacing w:val="-1"/>
        </w:rPr>
        <w:t> </w:t>
      </w:r>
      <w:r>
        <w:rPr/>
        <w:t>Doses </w:t>
      </w:r>
      <w:r>
        <w:rPr>
          <w:spacing w:val="-5"/>
        </w:rPr>
        <w:t>and</w:t>
      </w:r>
    </w:p>
    <w:p>
      <w:pPr>
        <w:tabs>
          <w:tab w:pos="7949" w:val="left" w:leader="none"/>
          <w:tab w:pos="8508" w:val="left" w:leader="none"/>
        </w:tabs>
        <w:spacing w:before="0"/>
        <w:ind w:left="1767" w:right="0" w:firstLine="0"/>
        <w:jc w:val="left"/>
        <w:rPr>
          <w:b/>
          <w:sz w:val="24"/>
        </w:rPr>
      </w:pPr>
      <w:r>
        <w:rPr>
          <w:b/>
          <w:sz w:val="24"/>
        </w:rPr>
        <w:t>Four</w:t>
      </w:r>
      <w:r>
        <w:rPr>
          <w:b/>
          <w:spacing w:val="-5"/>
          <w:sz w:val="24"/>
        </w:rPr>
        <w:t> </w:t>
      </w:r>
      <w:r>
        <w:rPr>
          <w:b/>
          <w:sz w:val="24"/>
        </w:rPr>
        <w:t>Standard</w:t>
      </w:r>
      <w:r>
        <w:rPr>
          <w:b/>
          <w:spacing w:val="-1"/>
          <w:sz w:val="24"/>
        </w:rPr>
        <w:t> </w:t>
      </w:r>
      <w:r>
        <w:rPr>
          <w:b/>
          <w:sz w:val="24"/>
        </w:rPr>
        <w:t>Antibiotics</w:t>
      </w:r>
      <w:r>
        <w:rPr>
          <w:b/>
          <w:spacing w:val="-1"/>
          <w:sz w:val="24"/>
        </w:rPr>
        <w:t> </w:t>
      </w:r>
      <w:r>
        <w:rPr>
          <w:b/>
          <w:sz w:val="24"/>
        </w:rPr>
        <w:t>Specific</w:t>
      </w:r>
      <w:r>
        <w:rPr>
          <w:b/>
          <w:spacing w:val="-2"/>
          <w:sz w:val="24"/>
        </w:rPr>
        <w:t> </w:t>
      </w:r>
      <w:r>
        <w:rPr>
          <w:b/>
          <w:sz w:val="24"/>
        </w:rPr>
        <w:t>for</w:t>
      </w:r>
      <w:r>
        <w:rPr>
          <w:b/>
          <w:spacing w:val="1"/>
          <w:sz w:val="24"/>
        </w:rPr>
        <w:t> </w:t>
      </w:r>
      <w:r>
        <w:rPr>
          <w:b/>
          <w:i/>
          <w:sz w:val="24"/>
        </w:rPr>
        <w:t>Salmonella.</w:t>
      </w:r>
      <w:r>
        <w:rPr>
          <w:b/>
          <w:i/>
          <w:spacing w:val="-1"/>
          <w:sz w:val="24"/>
        </w:rPr>
        <w:t> </w:t>
      </w:r>
      <w:r>
        <w:rPr>
          <w:b/>
          <w:i/>
          <w:spacing w:val="-2"/>
          <w:sz w:val="24"/>
        </w:rPr>
        <w:t>typhi</w:t>
      </w:r>
      <w:r>
        <w:rPr>
          <w:b/>
          <w:i/>
          <w:sz w:val="24"/>
        </w:rPr>
        <w:tab/>
      </w:r>
      <w:r>
        <w:rPr>
          <w:b/>
          <w:i/>
          <w:spacing w:val="-10"/>
          <w:sz w:val="24"/>
        </w:rPr>
        <w:t>-</w:t>
      </w:r>
      <w:r>
        <w:rPr>
          <w:b/>
          <w:i/>
          <w:sz w:val="24"/>
        </w:rPr>
        <w:tab/>
      </w:r>
      <w:r>
        <w:rPr>
          <w:b/>
          <w:spacing w:val="-5"/>
          <w:sz w:val="24"/>
        </w:rPr>
        <w:t>66</w:t>
      </w:r>
    </w:p>
    <w:p>
      <w:pPr>
        <w:pStyle w:val="BodyText"/>
        <w:rPr>
          <w:b/>
        </w:rPr>
      </w:pPr>
    </w:p>
    <w:p>
      <w:pPr>
        <w:pStyle w:val="Heading2"/>
        <w:numPr>
          <w:ilvl w:val="2"/>
          <w:numId w:val="7"/>
        </w:numPr>
        <w:tabs>
          <w:tab w:pos="1767" w:val="left" w:leader="none"/>
        </w:tabs>
        <w:spacing w:line="240" w:lineRule="auto" w:before="1" w:after="0"/>
        <w:ind w:left="1767" w:right="0" w:hanging="660"/>
        <w:jc w:val="left"/>
      </w:pPr>
      <w:r>
        <w:rPr/>
        <w:t>Growth</w:t>
      </w:r>
      <w:r>
        <w:rPr>
          <w:spacing w:val="-2"/>
        </w:rPr>
        <w:t> </w:t>
      </w:r>
      <w:r>
        <w:rPr/>
        <w:t>Inhibition</w:t>
      </w:r>
      <w:r>
        <w:rPr>
          <w:spacing w:val="-2"/>
        </w:rPr>
        <w:t> </w:t>
      </w:r>
      <w:r>
        <w:rPr/>
        <w:t>Zones</w:t>
      </w:r>
      <w:r>
        <w:rPr>
          <w:spacing w:val="-1"/>
        </w:rPr>
        <w:t> </w:t>
      </w:r>
      <w:r>
        <w:rPr/>
        <w:t>of</w:t>
      </w:r>
      <w:r>
        <w:rPr>
          <w:spacing w:val="-1"/>
        </w:rPr>
        <w:t> </w:t>
      </w:r>
      <w:r>
        <w:rPr/>
        <w:t>Two</w:t>
      </w:r>
      <w:r>
        <w:rPr>
          <w:spacing w:val="-1"/>
        </w:rPr>
        <w:t> </w:t>
      </w:r>
      <w:r>
        <w:rPr/>
        <w:t>Extract</w:t>
      </w:r>
      <w:r>
        <w:rPr>
          <w:spacing w:val="-2"/>
        </w:rPr>
        <w:t> </w:t>
      </w:r>
      <w:r>
        <w:rPr/>
        <w:t>Doses</w:t>
      </w:r>
      <w:r>
        <w:rPr>
          <w:spacing w:val="-1"/>
        </w:rPr>
        <w:t> </w:t>
      </w:r>
      <w:r>
        <w:rPr>
          <w:spacing w:val="-5"/>
        </w:rPr>
        <w:t>and</w:t>
      </w:r>
    </w:p>
    <w:p>
      <w:pPr>
        <w:tabs>
          <w:tab w:pos="7949" w:val="left" w:leader="none"/>
          <w:tab w:pos="8508" w:val="left" w:leader="none"/>
        </w:tabs>
        <w:spacing w:before="0"/>
        <w:ind w:left="1767" w:right="0" w:firstLine="0"/>
        <w:jc w:val="left"/>
        <w:rPr>
          <w:b/>
          <w:sz w:val="24"/>
        </w:rPr>
      </w:pPr>
      <w:r>
        <w:rPr>
          <w:b/>
          <w:sz w:val="24"/>
        </w:rPr>
        <w:t>Four</w:t>
      </w:r>
      <w:r>
        <w:rPr>
          <w:b/>
          <w:spacing w:val="-2"/>
          <w:sz w:val="24"/>
        </w:rPr>
        <w:t> </w:t>
      </w:r>
      <w:r>
        <w:rPr>
          <w:b/>
          <w:sz w:val="24"/>
        </w:rPr>
        <w:t>Standard</w:t>
      </w:r>
      <w:r>
        <w:rPr>
          <w:b/>
          <w:spacing w:val="-1"/>
          <w:sz w:val="24"/>
        </w:rPr>
        <w:t> </w:t>
      </w:r>
      <w:r>
        <w:rPr>
          <w:b/>
          <w:sz w:val="24"/>
        </w:rPr>
        <w:t>Antibiotics</w:t>
      </w:r>
      <w:r>
        <w:rPr>
          <w:b/>
          <w:spacing w:val="-1"/>
          <w:sz w:val="24"/>
        </w:rPr>
        <w:t> </w:t>
      </w:r>
      <w:r>
        <w:rPr>
          <w:b/>
          <w:sz w:val="24"/>
        </w:rPr>
        <w:t>Specific</w:t>
      </w:r>
      <w:r>
        <w:rPr>
          <w:b/>
          <w:spacing w:val="-1"/>
          <w:sz w:val="24"/>
        </w:rPr>
        <w:t> </w:t>
      </w:r>
      <w:r>
        <w:rPr>
          <w:b/>
          <w:sz w:val="24"/>
        </w:rPr>
        <w:t>for</w:t>
      </w:r>
      <w:r>
        <w:rPr>
          <w:b/>
          <w:spacing w:val="1"/>
          <w:sz w:val="24"/>
        </w:rPr>
        <w:t> </w:t>
      </w:r>
      <w:r>
        <w:rPr>
          <w:b/>
          <w:i/>
          <w:sz w:val="24"/>
        </w:rPr>
        <w:t>Proteus.</w:t>
      </w:r>
      <w:r>
        <w:rPr>
          <w:b/>
          <w:i/>
          <w:spacing w:val="-3"/>
          <w:sz w:val="24"/>
        </w:rPr>
        <w:t> </w:t>
      </w:r>
      <w:r>
        <w:rPr>
          <w:b/>
          <w:i/>
          <w:spacing w:val="-2"/>
          <w:sz w:val="24"/>
        </w:rPr>
        <w:t>mirabilis</w:t>
      </w:r>
      <w:r>
        <w:rPr>
          <w:b/>
          <w:i/>
          <w:sz w:val="24"/>
        </w:rPr>
        <w:tab/>
      </w:r>
      <w:r>
        <w:rPr>
          <w:b/>
          <w:spacing w:val="-10"/>
          <w:sz w:val="24"/>
        </w:rPr>
        <w:t>-</w:t>
      </w:r>
      <w:r>
        <w:rPr>
          <w:b/>
          <w:sz w:val="24"/>
        </w:rPr>
        <w:tab/>
      </w:r>
      <w:r>
        <w:rPr>
          <w:b/>
          <w:spacing w:val="-5"/>
          <w:sz w:val="24"/>
        </w:rPr>
        <w:t>67</w:t>
      </w:r>
    </w:p>
    <w:p>
      <w:pPr>
        <w:spacing w:after="0"/>
        <w:jc w:val="left"/>
        <w:rPr>
          <w:sz w:val="24"/>
        </w:rPr>
        <w:sectPr>
          <w:pgSz w:w="11910" w:h="16840"/>
          <w:pgMar w:header="0" w:footer="981" w:top="1320" w:bottom="1180" w:left="1240" w:right="560"/>
        </w:sectPr>
      </w:pPr>
    </w:p>
    <w:p>
      <w:pPr>
        <w:pStyle w:val="Heading1"/>
        <w:spacing w:before="72"/>
        <w:ind w:left="44"/>
      </w:pPr>
      <w:bookmarkStart w:name="_TOC_250016" w:id="7"/>
      <w:r>
        <w:rPr/>
        <w:t>LIST OF</w:t>
      </w:r>
      <w:r>
        <w:rPr>
          <w:spacing w:val="-3"/>
        </w:rPr>
        <w:t> </w:t>
      </w:r>
      <w:bookmarkEnd w:id="7"/>
      <w:r>
        <w:rPr>
          <w:spacing w:val="-2"/>
        </w:rPr>
        <w:t>PLATES</w:t>
      </w:r>
    </w:p>
    <w:p>
      <w:pPr>
        <w:pStyle w:val="BodyText"/>
        <w:spacing w:before="2"/>
        <w:rPr>
          <w:b/>
          <w:sz w:val="18"/>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3"/>
        <w:gridCol w:w="608"/>
      </w:tblGrid>
      <w:tr>
        <w:trPr>
          <w:trHeight w:val="371" w:hRule="atLeast"/>
        </w:trPr>
        <w:tc>
          <w:tcPr>
            <w:tcW w:w="7203" w:type="dxa"/>
          </w:tcPr>
          <w:p>
            <w:pPr>
              <w:pStyle w:val="TableParagraph"/>
              <w:tabs>
                <w:tab w:pos="469" w:val="left" w:leader="none"/>
              </w:tabs>
              <w:spacing w:line="266" w:lineRule="exact"/>
              <w:ind w:left="50"/>
              <w:rPr>
                <w:b/>
                <w:sz w:val="24"/>
              </w:rPr>
            </w:pPr>
            <w:r>
              <w:rPr>
                <w:b/>
                <w:spacing w:val="-5"/>
                <w:sz w:val="24"/>
              </w:rPr>
              <w:t>I.</w:t>
            </w:r>
            <w:r>
              <w:rPr>
                <w:b/>
                <w:sz w:val="24"/>
              </w:rPr>
              <w:tab/>
              <w:t>The</w:t>
            </w:r>
            <w:r>
              <w:rPr>
                <w:b/>
                <w:spacing w:val="-5"/>
                <w:sz w:val="24"/>
              </w:rPr>
              <w:t> </w:t>
            </w:r>
            <w:r>
              <w:rPr>
                <w:b/>
                <w:i/>
                <w:sz w:val="24"/>
              </w:rPr>
              <w:t>plant</w:t>
            </w:r>
            <w:r>
              <w:rPr>
                <w:b/>
                <w:i/>
                <w:spacing w:val="-1"/>
                <w:sz w:val="24"/>
              </w:rPr>
              <w:t> </w:t>
            </w:r>
            <w:r>
              <w:rPr>
                <w:b/>
                <w:i/>
                <w:sz w:val="24"/>
              </w:rPr>
              <w:t>Combretum</w:t>
            </w:r>
            <w:r>
              <w:rPr>
                <w:b/>
                <w:i/>
                <w:spacing w:val="-1"/>
                <w:sz w:val="24"/>
              </w:rPr>
              <w:t> </w:t>
            </w:r>
            <w:r>
              <w:rPr>
                <w:b/>
                <w:i/>
                <w:sz w:val="24"/>
              </w:rPr>
              <w:t>micranthum </w:t>
            </w:r>
            <w:r>
              <w:rPr>
                <w:b/>
                <w:sz w:val="24"/>
              </w:rPr>
              <w:t>in its</w:t>
            </w:r>
            <w:r>
              <w:rPr>
                <w:b/>
                <w:spacing w:val="-4"/>
                <w:sz w:val="24"/>
              </w:rPr>
              <w:t> </w:t>
            </w:r>
            <w:r>
              <w:rPr>
                <w:b/>
                <w:sz w:val="24"/>
              </w:rPr>
              <w:t>natural</w:t>
            </w:r>
            <w:r>
              <w:rPr>
                <w:b/>
                <w:spacing w:val="-1"/>
                <w:sz w:val="24"/>
              </w:rPr>
              <w:t> </w:t>
            </w:r>
            <w:r>
              <w:rPr>
                <w:b/>
                <w:sz w:val="24"/>
              </w:rPr>
              <w:t>environment</w:t>
            </w:r>
            <w:r>
              <w:rPr>
                <w:b/>
                <w:spacing w:val="32"/>
                <w:sz w:val="24"/>
              </w:rPr>
              <w:t>  </w:t>
            </w:r>
            <w:r>
              <w:rPr>
                <w:b/>
                <w:spacing w:val="-10"/>
                <w:sz w:val="24"/>
              </w:rPr>
              <w:t>-</w:t>
            </w:r>
          </w:p>
        </w:tc>
        <w:tc>
          <w:tcPr>
            <w:tcW w:w="608" w:type="dxa"/>
          </w:tcPr>
          <w:p>
            <w:pPr>
              <w:pStyle w:val="TableParagraph"/>
              <w:spacing w:line="266" w:lineRule="exact"/>
              <w:ind w:right="100"/>
              <w:jc w:val="right"/>
              <w:rPr>
                <w:b/>
                <w:sz w:val="24"/>
              </w:rPr>
            </w:pPr>
            <w:r>
              <w:rPr>
                <w:b/>
                <w:sz w:val="24"/>
              </w:rPr>
              <w:t>-</w:t>
            </w:r>
            <w:r>
              <w:rPr>
                <w:b/>
                <w:spacing w:val="-1"/>
                <w:sz w:val="24"/>
              </w:rPr>
              <w:t> </w:t>
            </w:r>
            <w:r>
              <w:rPr>
                <w:b/>
                <w:spacing w:val="-5"/>
                <w:sz w:val="24"/>
              </w:rPr>
              <w:t>11</w:t>
            </w:r>
          </w:p>
        </w:tc>
      </w:tr>
      <w:tr>
        <w:trPr>
          <w:trHeight w:val="475" w:hRule="atLeast"/>
        </w:trPr>
        <w:tc>
          <w:tcPr>
            <w:tcW w:w="7203" w:type="dxa"/>
          </w:tcPr>
          <w:p>
            <w:pPr>
              <w:pStyle w:val="TableParagraph"/>
              <w:spacing w:before="95"/>
              <w:ind w:left="50"/>
              <w:rPr>
                <w:b/>
                <w:sz w:val="24"/>
              </w:rPr>
            </w:pPr>
            <w:r>
              <w:rPr>
                <w:b/>
                <w:sz w:val="24"/>
              </w:rPr>
              <w:t>II.</w:t>
            </w:r>
            <w:r>
              <w:rPr>
                <w:b/>
                <w:spacing w:val="77"/>
                <w:w w:val="150"/>
                <w:sz w:val="24"/>
              </w:rPr>
              <w:t> </w:t>
            </w:r>
            <w:r>
              <w:rPr>
                <w:b/>
                <w:sz w:val="24"/>
              </w:rPr>
              <w:t>The</w:t>
            </w:r>
            <w:r>
              <w:rPr>
                <w:b/>
                <w:spacing w:val="-2"/>
                <w:sz w:val="24"/>
              </w:rPr>
              <w:t> </w:t>
            </w:r>
            <w:r>
              <w:rPr>
                <w:b/>
                <w:i/>
                <w:sz w:val="24"/>
              </w:rPr>
              <w:t>plant</w:t>
            </w:r>
            <w:r>
              <w:rPr>
                <w:b/>
                <w:i/>
                <w:spacing w:val="-1"/>
                <w:sz w:val="24"/>
              </w:rPr>
              <w:t> </w:t>
            </w:r>
            <w:r>
              <w:rPr>
                <w:b/>
                <w:i/>
                <w:sz w:val="24"/>
              </w:rPr>
              <w:t>Combretum</w:t>
            </w:r>
            <w:r>
              <w:rPr>
                <w:b/>
                <w:i/>
                <w:spacing w:val="-1"/>
                <w:sz w:val="24"/>
              </w:rPr>
              <w:t> </w:t>
            </w:r>
            <w:r>
              <w:rPr>
                <w:b/>
                <w:i/>
                <w:sz w:val="24"/>
              </w:rPr>
              <w:t>micranthum</w:t>
            </w:r>
            <w:r>
              <w:rPr>
                <w:b/>
                <w:i/>
                <w:spacing w:val="1"/>
                <w:sz w:val="24"/>
              </w:rPr>
              <w:t> </w:t>
            </w:r>
            <w:r>
              <w:rPr>
                <w:b/>
                <w:sz w:val="24"/>
              </w:rPr>
              <w:t>showing</w:t>
            </w:r>
            <w:r>
              <w:rPr>
                <w:b/>
                <w:spacing w:val="-1"/>
                <w:sz w:val="24"/>
              </w:rPr>
              <w:t> </w:t>
            </w:r>
            <w:r>
              <w:rPr>
                <w:b/>
                <w:sz w:val="24"/>
              </w:rPr>
              <w:t>its</w:t>
            </w:r>
            <w:r>
              <w:rPr>
                <w:b/>
                <w:spacing w:val="-1"/>
                <w:sz w:val="24"/>
              </w:rPr>
              <w:t> </w:t>
            </w:r>
            <w:r>
              <w:rPr>
                <w:b/>
                <w:sz w:val="24"/>
              </w:rPr>
              <w:t>leaves</w:t>
            </w:r>
            <w:r>
              <w:rPr>
                <w:b/>
                <w:spacing w:val="-1"/>
                <w:sz w:val="24"/>
              </w:rPr>
              <w:t> </w:t>
            </w:r>
            <w:r>
              <w:rPr>
                <w:b/>
                <w:sz w:val="24"/>
              </w:rPr>
              <w:t>and</w:t>
            </w:r>
            <w:r>
              <w:rPr>
                <w:b/>
                <w:spacing w:val="-1"/>
                <w:sz w:val="24"/>
              </w:rPr>
              <w:t> </w:t>
            </w:r>
            <w:r>
              <w:rPr>
                <w:b/>
                <w:spacing w:val="-2"/>
                <w:sz w:val="24"/>
              </w:rPr>
              <w:t>flower-</w:t>
            </w:r>
          </w:p>
        </w:tc>
        <w:tc>
          <w:tcPr>
            <w:tcW w:w="608" w:type="dxa"/>
          </w:tcPr>
          <w:p>
            <w:pPr>
              <w:pStyle w:val="TableParagraph"/>
              <w:spacing w:before="95"/>
              <w:ind w:right="136"/>
              <w:jc w:val="right"/>
              <w:rPr>
                <w:b/>
                <w:sz w:val="24"/>
              </w:rPr>
            </w:pPr>
            <w:r>
              <w:rPr>
                <w:b/>
                <w:spacing w:val="-5"/>
                <w:sz w:val="24"/>
              </w:rPr>
              <w:t>12</w:t>
            </w:r>
          </w:p>
        </w:tc>
      </w:tr>
      <w:tr>
        <w:trPr>
          <w:trHeight w:val="647" w:hRule="atLeast"/>
        </w:trPr>
        <w:tc>
          <w:tcPr>
            <w:tcW w:w="7203" w:type="dxa"/>
          </w:tcPr>
          <w:p>
            <w:pPr>
              <w:pStyle w:val="TableParagraph"/>
              <w:spacing w:line="280" w:lineRule="atLeast" w:before="67"/>
              <w:ind w:left="590" w:hanging="540"/>
              <w:rPr>
                <w:b/>
                <w:sz w:val="24"/>
              </w:rPr>
            </w:pPr>
            <w:r>
              <w:rPr>
                <w:b/>
                <w:sz w:val="24"/>
              </w:rPr>
              <w:t>III.</w:t>
            </w:r>
            <w:r>
              <w:rPr>
                <w:b/>
                <w:spacing w:val="80"/>
                <w:sz w:val="24"/>
              </w:rPr>
              <w:t> </w:t>
            </w:r>
            <w:r>
              <w:rPr>
                <w:b/>
                <w:sz w:val="24"/>
              </w:rPr>
              <w:t>Photomicrographs of the stomach tissues from control and </w:t>
            </w:r>
            <w:r>
              <w:rPr>
                <w:b/>
                <w:i/>
                <w:sz w:val="24"/>
              </w:rPr>
              <w:t>C. micranthum</w:t>
            </w:r>
            <w:r>
              <w:rPr>
                <w:b/>
                <w:i/>
                <w:spacing w:val="40"/>
                <w:sz w:val="24"/>
              </w:rPr>
              <w:t> </w:t>
            </w:r>
            <w:r>
              <w:rPr>
                <w:b/>
                <w:sz w:val="24"/>
              </w:rPr>
              <w:t>extract-pretreated</w:t>
            </w:r>
            <w:r>
              <w:rPr>
                <w:b/>
                <w:spacing w:val="-3"/>
                <w:sz w:val="24"/>
              </w:rPr>
              <w:t> </w:t>
            </w:r>
            <w:r>
              <w:rPr>
                <w:b/>
                <w:sz w:val="24"/>
              </w:rPr>
              <w:t>mice</w:t>
            </w:r>
            <w:r>
              <w:rPr>
                <w:b/>
                <w:spacing w:val="40"/>
                <w:sz w:val="24"/>
              </w:rPr>
              <w:t> </w:t>
            </w:r>
            <w:r>
              <w:rPr>
                <w:b/>
                <w:sz w:val="24"/>
              </w:rPr>
              <w:t>(H</w:t>
            </w:r>
            <w:r>
              <w:rPr>
                <w:b/>
                <w:spacing w:val="-4"/>
                <w:sz w:val="24"/>
              </w:rPr>
              <w:t> </w:t>
            </w:r>
            <w:r>
              <w:rPr>
                <w:b/>
                <w:sz w:val="24"/>
              </w:rPr>
              <w:t>and</w:t>
            </w:r>
            <w:r>
              <w:rPr>
                <w:b/>
                <w:spacing w:val="-5"/>
                <w:sz w:val="24"/>
              </w:rPr>
              <w:t> </w:t>
            </w:r>
            <w:r>
              <w:rPr>
                <w:b/>
                <w:sz w:val="24"/>
              </w:rPr>
              <w:t>E</w:t>
            </w:r>
            <w:r>
              <w:rPr>
                <w:b/>
                <w:spacing w:val="-5"/>
                <w:sz w:val="24"/>
              </w:rPr>
              <w:t> </w:t>
            </w:r>
            <w:r>
              <w:rPr>
                <w:b/>
                <w:sz w:val="24"/>
              </w:rPr>
              <w:t>staining,</w:t>
            </w:r>
            <w:r>
              <w:rPr>
                <w:b/>
                <w:spacing w:val="-5"/>
                <w:sz w:val="24"/>
              </w:rPr>
              <w:t> </w:t>
            </w:r>
            <w:r>
              <w:rPr>
                <w:b/>
                <w:sz w:val="24"/>
              </w:rPr>
              <w:t>×</w:t>
            </w:r>
            <w:r>
              <w:rPr>
                <w:b/>
                <w:spacing w:val="-5"/>
                <w:sz w:val="24"/>
              </w:rPr>
              <w:t> </w:t>
            </w:r>
            <w:r>
              <w:rPr>
                <w:b/>
                <w:sz w:val="24"/>
              </w:rPr>
              <w:t>250)</w:t>
            </w:r>
          </w:p>
        </w:tc>
        <w:tc>
          <w:tcPr>
            <w:tcW w:w="608" w:type="dxa"/>
          </w:tcPr>
          <w:p>
            <w:pPr>
              <w:pStyle w:val="TableParagraph"/>
              <w:spacing w:before="95"/>
              <w:rPr>
                <w:b/>
                <w:sz w:val="24"/>
              </w:rPr>
            </w:pPr>
          </w:p>
          <w:p>
            <w:pPr>
              <w:pStyle w:val="TableParagraph"/>
              <w:spacing w:line="256" w:lineRule="exact"/>
              <w:ind w:right="48"/>
              <w:jc w:val="right"/>
              <w:rPr>
                <w:b/>
                <w:sz w:val="24"/>
              </w:rPr>
            </w:pPr>
            <w:r>
              <w:rPr>
                <w:b/>
                <w:spacing w:val="-5"/>
                <w:sz w:val="24"/>
              </w:rPr>
              <w:t>61</w:t>
            </w:r>
          </w:p>
        </w:tc>
      </w:tr>
    </w:tbl>
    <w:p>
      <w:pPr>
        <w:pStyle w:val="Heading2"/>
        <w:tabs>
          <w:tab w:pos="8820" w:val="right" w:leader="none"/>
        </w:tabs>
        <w:spacing w:before="198"/>
        <w:ind w:left="1647" w:right="1284" w:hanging="540"/>
      </w:pPr>
      <w:r>
        <w:rPr/>
        <w:t>IV.</w:t>
      </w:r>
      <w:r>
        <w:rPr>
          <w:spacing w:val="80"/>
        </w:rPr>
        <w:t> </w:t>
      </w:r>
      <w:r>
        <w:rPr/>
        <w:t>Photomicrographs of the intestinal tissues from control and </w:t>
      </w:r>
      <w:r>
        <w:rPr>
          <w:i/>
        </w:rPr>
        <w:t>C. micranthum </w:t>
      </w:r>
      <w:r>
        <w:rPr/>
        <w:t>extract-pretreated mice</w:t>
      </w:r>
      <w:r>
        <w:rPr>
          <w:spacing w:val="40"/>
        </w:rPr>
        <w:t> </w:t>
      </w:r>
      <w:r>
        <w:rPr/>
        <w:t>(H and E staining, × 250)</w:t>
        <w:tab/>
      </w:r>
      <w:r>
        <w:rPr>
          <w:spacing w:val="-8"/>
        </w:rPr>
        <w:t>62</w:t>
      </w:r>
    </w:p>
    <w:p>
      <w:pPr>
        <w:spacing w:after="0"/>
        <w:sectPr>
          <w:pgSz w:w="11910" w:h="16840"/>
          <w:pgMar w:header="0" w:footer="981" w:top="1320" w:bottom="1180" w:left="1240" w:right="560"/>
        </w:sectPr>
      </w:pPr>
    </w:p>
    <w:p>
      <w:pPr>
        <w:pStyle w:val="Heading1"/>
        <w:spacing w:before="72"/>
        <w:ind w:left="162"/>
      </w:pPr>
      <w:r>
        <w:rPr/>
        <w:t>LIST OF</w:t>
      </w:r>
      <w:r>
        <w:rPr>
          <w:spacing w:val="-3"/>
        </w:rPr>
        <w:t> </w:t>
      </w:r>
      <w:r>
        <w:rPr>
          <w:spacing w:val="-2"/>
        </w:rPr>
        <w:t>APPENDICES</w:t>
      </w:r>
    </w:p>
    <w:p>
      <w:pPr>
        <w:pStyle w:val="BodyText"/>
        <w:tabs>
          <w:tab w:pos="1527" w:val="left" w:leader="none"/>
        </w:tabs>
        <w:spacing w:before="194"/>
        <w:ind w:left="1107"/>
      </w:pPr>
      <w:r>
        <w:rPr>
          <w:b/>
          <w:spacing w:val="-5"/>
        </w:rPr>
        <w:t>i.</w:t>
      </w:r>
      <w:r>
        <w:rPr>
          <w:b/>
        </w:rPr>
        <w:tab/>
      </w:r>
      <w:r>
        <w:rPr/>
        <w:t>European</w:t>
      </w:r>
      <w:r>
        <w:rPr>
          <w:spacing w:val="-3"/>
        </w:rPr>
        <w:t> </w:t>
      </w:r>
      <w:r>
        <w:rPr/>
        <w:t>Committee</w:t>
      </w:r>
      <w:r>
        <w:rPr>
          <w:spacing w:val="-1"/>
        </w:rPr>
        <w:t> </w:t>
      </w:r>
      <w:r>
        <w:rPr/>
        <w:t>on</w:t>
      </w:r>
      <w:r>
        <w:rPr>
          <w:spacing w:val="1"/>
        </w:rPr>
        <w:t> </w:t>
      </w:r>
      <w:r>
        <w:rPr/>
        <w:t>Antimicrobial Susceptibility</w:t>
      </w:r>
      <w:r>
        <w:rPr>
          <w:spacing w:val="-8"/>
        </w:rPr>
        <w:t> </w:t>
      </w:r>
      <w:r>
        <w:rPr>
          <w:spacing w:val="-2"/>
        </w:rPr>
        <w:t>Testing</w:t>
      </w:r>
    </w:p>
    <w:p>
      <w:pPr>
        <w:pStyle w:val="BodyText"/>
        <w:tabs>
          <w:tab w:pos="7949" w:val="left" w:leader="none"/>
          <w:tab w:pos="8669" w:val="left" w:leader="none"/>
        </w:tabs>
        <w:spacing w:before="200"/>
        <w:ind w:left="1530"/>
      </w:pPr>
      <w:r>
        <w:rPr/>
        <w:t>Interpretation</w:t>
      </w:r>
      <w:r>
        <w:rPr>
          <w:spacing w:val="-3"/>
        </w:rPr>
        <w:t> </w:t>
      </w:r>
      <w:r>
        <w:rPr/>
        <w:t>Table</w:t>
      </w:r>
      <w:r>
        <w:rPr>
          <w:spacing w:val="-2"/>
        </w:rPr>
        <w:t> </w:t>
      </w:r>
      <w:r>
        <w:rPr/>
        <w:t>for Zone</w:t>
      </w:r>
      <w:r>
        <w:rPr>
          <w:spacing w:val="-3"/>
        </w:rPr>
        <w:t> </w:t>
      </w:r>
      <w:r>
        <w:rPr/>
        <w:t>diameter</w:t>
      </w:r>
      <w:r>
        <w:rPr>
          <w:spacing w:val="-1"/>
        </w:rPr>
        <w:t> </w:t>
      </w:r>
      <w:r>
        <w:rPr/>
        <w:t>Growth Inhibition</w:t>
      </w:r>
      <w:r>
        <w:rPr>
          <w:spacing w:val="36"/>
        </w:rPr>
        <w:t>  </w:t>
      </w:r>
      <w:r>
        <w:rPr>
          <w:spacing w:val="-10"/>
        </w:rPr>
        <w:t>-</w:t>
      </w:r>
      <w:r>
        <w:rPr/>
        <w:tab/>
      </w:r>
      <w:r>
        <w:rPr>
          <w:spacing w:val="-10"/>
        </w:rPr>
        <w:t>-</w:t>
      </w:r>
      <w:r>
        <w:rPr/>
        <w:tab/>
      </w:r>
      <w:r>
        <w:rPr>
          <w:spacing w:val="-5"/>
        </w:rPr>
        <w:t>83</w:t>
      </w:r>
    </w:p>
    <w:p>
      <w:pPr>
        <w:spacing w:after="0"/>
        <w:sectPr>
          <w:pgSz w:w="11910" w:h="16840"/>
          <w:pgMar w:header="0" w:footer="981" w:top="1320" w:bottom="1180" w:left="1240" w:right="560"/>
        </w:sectPr>
      </w:pPr>
    </w:p>
    <w:p>
      <w:pPr>
        <w:pStyle w:val="Heading1"/>
        <w:spacing w:before="72"/>
        <w:ind w:right="952"/>
      </w:pPr>
      <w:bookmarkStart w:name="_TOC_250015" w:id="8"/>
      <w:bookmarkEnd w:id="8"/>
      <w:r>
        <w:rPr>
          <w:spacing w:val="-2"/>
        </w:rPr>
        <w:t>ABBREVIATIONS</w:t>
      </w:r>
    </w:p>
    <w:p>
      <w:pPr>
        <w:pStyle w:val="BodyText"/>
        <w:rPr>
          <w:b/>
          <w:sz w:val="20"/>
        </w:rPr>
      </w:pPr>
    </w:p>
    <w:p>
      <w:pPr>
        <w:pStyle w:val="BodyText"/>
        <w:rPr>
          <w:b/>
          <w:sz w:val="20"/>
        </w:rPr>
      </w:pPr>
    </w:p>
    <w:p>
      <w:pPr>
        <w:pStyle w:val="BodyText"/>
        <w:rPr>
          <w:b/>
          <w:sz w:val="20"/>
        </w:rPr>
      </w:pPr>
    </w:p>
    <w:p>
      <w:pPr>
        <w:pStyle w:val="BodyText"/>
        <w:spacing w:before="38"/>
        <w:rPr>
          <w:b/>
          <w:sz w:val="20"/>
        </w:rPr>
      </w:pPr>
    </w:p>
    <w:tbl>
      <w:tblPr>
        <w:tblW w:w="0" w:type="auto"/>
        <w:jc w:val="left"/>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1"/>
        <w:gridCol w:w="6130"/>
      </w:tblGrid>
      <w:tr>
        <w:trPr>
          <w:trHeight w:val="508" w:hRule="atLeast"/>
        </w:trPr>
        <w:tc>
          <w:tcPr>
            <w:tcW w:w="1231" w:type="dxa"/>
          </w:tcPr>
          <w:p>
            <w:pPr>
              <w:pStyle w:val="TableParagraph"/>
              <w:spacing w:line="266" w:lineRule="exact"/>
              <w:ind w:left="50"/>
              <w:rPr>
                <w:sz w:val="24"/>
              </w:rPr>
            </w:pPr>
            <w:r>
              <w:rPr>
                <w:sz w:val="24"/>
              </w:rPr>
              <w:t>Ab</w:t>
            </w:r>
            <w:r>
              <w:rPr>
                <w:spacing w:val="64"/>
                <w:w w:val="150"/>
                <w:sz w:val="24"/>
              </w:rPr>
              <w:t> </w:t>
            </w:r>
            <w:r>
              <w:rPr>
                <w:spacing w:val="-10"/>
                <w:sz w:val="24"/>
              </w:rPr>
              <w:t>-</w:t>
            </w:r>
          </w:p>
        </w:tc>
        <w:tc>
          <w:tcPr>
            <w:tcW w:w="6130" w:type="dxa"/>
          </w:tcPr>
          <w:p>
            <w:pPr>
              <w:pStyle w:val="TableParagraph"/>
              <w:spacing w:line="266" w:lineRule="exact"/>
              <w:ind w:left="168"/>
              <w:rPr>
                <w:sz w:val="24"/>
              </w:rPr>
            </w:pPr>
            <w:r>
              <w:rPr>
                <w:spacing w:val="-2"/>
                <w:sz w:val="24"/>
              </w:rPr>
              <w:t>Antibody</w:t>
            </w:r>
          </w:p>
        </w:tc>
      </w:tr>
      <w:tr>
        <w:trPr>
          <w:trHeight w:val="751" w:hRule="atLeast"/>
        </w:trPr>
        <w:tc>
          <w:tcPr>
            <w:tcW w:w="1231" w:type="dxa"/>
          </w:tcPr>
          <w:p>
            <w:pPr>
              <w:pStyle w:val="TableParagraph"/>
              <w:spacing w:before="232"/>
              <w:ind w:left="50"/>
              <w:rPr>
                <w:sz w:val="24"/>
              </w:rPr>
            </w:pPr>
            <w:r>
              <w:rPr>
                <w:spacing w:val="-2"/>
                <w:sz w:val="24"/>
              </w:rPr>
              <w:t>ABU</w:t>
            </w:r>
            <w:r>
              <w:rPr>
                <w:spacing w:val="-22"/>
                <w:sz w:val="24"/>
              </w:rPr>
              <w:t> </w:t>
            </w:r>
            <w:r>
              <w:rPr>
                <w:spacing w:val="-10"/>
                <w:sz w:val="24"/>
              </w:rPr>
              <w:t>-</w:t>
            </w:r>
          </w:p>
        </w:tc>
        <w:tc>
          <w:tcPr>
            <w:tcW w:w="6130" w:type="dxa"/>
          </w:tcPr>
          <w:p>
            <w:pPr>
              <w:pStyle w:val="TableParagraph"/>
              <w:spacing w:before="232"/>
              <w:ind w:left="168"/>
              <w:rPr>
                <w:sz w:val="24"/>
              </w:rPr>
            </w:pPr>
            <w:r>
              <w:rPr>
                <w:sz w:val="24"/>
              </w:rPr>
              <w:t>Ahmadu</w:t>
            </w:r>
            <w:r>
              <w:rPr>
                <w:spacing w:val="-1"/>
                <w:sz w:val="24"/>
              </w:rPr>
              <w:t> </w:t>
            </w:r>
            <w:r>
              <w:rPr>
                <w:sz w:val="24"/>
              </w:rPr>
              <w:t>Bello </w:t>
            </w:r>
            <w:r>
              <w:rPr>
                <w:spacing w:val="-2"/>
                <w:sz w:val="24"/>
              </w:rPr>
              <w:t>University</w:t>
            </w:r>
          </w:p>
        </w:tc>
      </w:tr>
      <w:tr>
        <w:trPr>
          <w:trHeight w:val="751" w:hRule="atLeast"/>
        </w:trPr>
        <w:tc>
          <w:tcPr>
            <w:tcW w:w="1231" w:type="dxa"/>
          </w:tcPr>
          <w:p>
            <w:pPr>
              <w:pStyle w:val="TableParagraph"/>
              <w:spacing w:before="232"/>
              <w:ind w:left="50"/>
              <w:rPr>
                <w:sz w:val="24"/>
              </w:rPr>
            </w:pPr>
            <w:r>
              <w:rPr>
                <w:sz w:val="24"/>
              </w:rPr>
              <w:t>Ag</w:t>
            </w:r>
            <w:r>
              <w:rPr>
                <w:spacing w:val="64"/>
                <w:w w:val="150"/>
                <w:sz w:val="24"/>
              </w:rPr>
              <w:t> </w:t>
            </w:r>
            <w:r>
              <w:rPr>
                <w:spacing w:val="-10"/>
                <w:sz w:val="24"/>
              </w:rPr>
              <w:t>-</w:t>
            </w:r>
          </w:p>
        </w:tc>
        <w:tc>
          <w:tcPr>
            <w:tcW w:w="6130" w:type="dxa"/>
          </w:tcPr>
          <w:p>
            <w:pPr>
              <w:pStyle w:val="TableParagraph"/>
              <w:spacing w:before="232"/>
              <w:ind w:left="168"/>
              <w:rPr>
                <w:sz w:val="24"/>
              </w:rPr>
            </w:pPr>
            <w:r>
              <w:rPr>
                <w:spacing w:val="-2"/>
                <w:sz w:val="24"/>
              </w:rPr>
              <w:t>Antigen</w:t>
            </w:r>
          </w:p>
        </w:tc>
      </w:tr>
      <w:tr>
        <w:trPr>
          <w:trHeight w:val="752" w:hRule="atLeast"/>
        </w:trPr>
        <w:tc>
          <w:tcPr>
            <w:tcW w:w="1231" w:type="dxa"/>
          </w:tcPr>
          <w:p>
            <w:pPr>
              <w:pStyle w:val="TableParagraph"/>
              <w:spacing w:before="233"/>
              <w:ind w:left="50"/>
              <w:rPr>
                <w:sz w:val="24"/>
              </w:rPr>
            </w:pPr>
            <w:r>
              <w:rPr>
                <w:spacing w:val="-2"/>
                <w:sz w:val="24"/>
              </w:rPr>
              <w:t>AIDS-</w:t>
            </w:r>
          </w:p>
        </w:tc>
        <w:tc>
          <w:tcPr>
            <w:tcW w:w="6130" w:type="dxa"/>
          </w:tcPr>
          <w:p>
            <w:pPr>
              <w:pStyle w:val="TableParagraph"/>
              <w:spacing w:before="233"/>
              <w:ind w:left="168"/>
              <w:rPr>
                <w:sz w:val="24"/>
              </w:rPr>
            </w:pPr>
            <w:r>
              <w:rPr>
                <w:sz w:val="24"/>
              </w:rPr>
              <w:t>Acquired</w:t>
            </w:r>
            <w:r>
              <w:rPr>
                <w:spacing w:val="-3"/>
                <w:sz w:val="24"/>
              </w:rPr>
              <w:t> </w:t>
            </w:r>
            <w:r>
              <w:rPr>
                <w:sz w:val="24"/>
              </w:rPr>
              <w:t>Immune</w:t>
            </w:r>
            <w:r>
              <w:rPr>
                <w:spacing w:val="-2"/>
                <w:sz w:val="24"/>
              </w:rPr>
              <w:t> </w:t>
            </w:r>
            <w:r>
              <w:rPr>
                <w:sz w:val="24"/>
              </w:rPr>
              <w:t>Deficiency</w:t>
            </w:r>
            <w:r>
              <w:rPr>
                <w:spacing w:val="-7"/>
                <w:sz w:val="24"/>
              </w:rPr>
              <w:t> </w:t>
            </w:r>
            <w:r>
              <w:rPr>
                <w:spacing w:val="-2"/>
                <w:sz w:val="24"/>
              </w:rPr>
              <w:t>Syndrome</w:t>
            </w:r>
          </w:p>
        </w:tc>
      </w:tr>
      <w:tr>
        <w:trPr>
          <w:trHeight w:val="752" w:hRule="atLeast"/>
        </w:trPr>
        <w:tc>
          <w:tcPr>
            <w:tcW w:w="1231" w:type="dxa"/>
          </w:tcPr>
          <w:p>
            <w:pPr>
              <w:pStyle w:val="TableParagraph"/>
              <w:spacing w:before="233"/>
              <w:ind w:left="50"/>
              <w:rPr>
                <w:sz w:val="24"/>
              </w:rPr>
            </w:pPr>
            <w:r>
              <w:rPr>
                <w:spacing w:val="-2"/>
                <w:sz w:val="24"/>
              </w:rPr>
              <w:t>ANC</w:t>
            </w:r>
            <w:r>
              <w:rPr>
                <w:spacing w:val="-24"/>
                <w:sz w:val="24"/>
              </w:rPr>
              <w:t> </w:t>
            </w:r>
            <w:r>
              <w:rPr>
                <w:spacing w:val="-10"/>
                <w:sz w:val="24"/>
              </w:rPr>
              <w:t>-</w:t>
            </w:r>
          </w:p>
        </w:tc>
        <w:tc>
          <w:tcPr>
            <w:tcW w:w="6130" w:type="dxa"/>
          </w:tcPr>
          <w:p>
            <w:pPr>
              <w:pStyle w:val="TableParagraph"/>
              <w:spacing w:before="233"/>
              <w:ind w:left="168"/>
              <w:rPr>
                <w:sz w:val="24"/>
              </w:rPr>
            </w:pPr>
            <w:r>
              <w:rPr>
                <w:sz w:val="24"/>
              </w:rPr>
              <w:t>Absolute</w:t>
            </w:r>
            <w:r>
              <w:rPr>
                <w:spacing w:val="-4"/>
                <w:sz w:val="24"/>
              </w:rPr>
              <w:t> </w:t>
            </w:r>
            <w:r>
              <w:rPr>
                <w:sz w:val="24"/>
              </w:rPr>
              <w:t>Neutrophil</w:t>
            </w:r>
            <w:r>
              <w:rPr>
                <w:spacing w:val="-1"/>
                <w:sz w:val="24"/>
              </w:rPr>
              <w:t> </w:t>
            </w:r>
            <w:r>
              <w:rPr>
                <w:spacing w:val="-2"/>
                <w:sz w:val="24"/>
              </w:rPr>
              <w:t>Count</w:t>
            </w:r>
          </w:p>
        </w:tc>
      </w:tr>
      <w:tr>
        <w:trPr>
          <w:trHeight w:val="751" w:hRule="atLeast"/>
        </w:trPr>
        <w:tc>
          <w:tcPr>
            <w:tcW w:w="1231" w:type="dxa"/>
          </w:tcPr>
          <w:p>
            <w:pPr>
              <w:pStyle w:val="TableParagraph"/>
              <w:spacing w:before="232"/>
              <w:ind w:left="50"/>
              <w:rPr>
                <w:sz w:val="24"/>
              </w:rPr>
            </w:pPr>
            <w:r>
              <w:rPr>
                <w:sz w:val="24"/>
              </w:rPr>
              <w:t>APC</w:t>
            </w:r>
            <w:r>
              <w:rPr>
                <w:spacing w:val="13"/>
                <w:sz w:val="24"/>
              </w:rPr>
              <w:t> </w:t>
            </w:r>
            <w:r>
              <w:rPr>
                <w:spacing w:val="-12"/>
                <w:sz w:val="24"/>
              </w:rPr>
              <w:t>-</w:t>
            </w:r>
          </w:p>
        </w:tc>
        <w:tc>
          <w:tcPr>
            <w:tcW w:w="6130" w:type="dxa"/>
          </w:tcPr>
          <w:p>
            <w:pPr>
              <w:pStyle w:val="TableParagraph"/>
              <w:spacing w:before="232"/>
              <w:ind w:left="168"/>
              <w:rPr>
                <w:sz w:val="24"/>
              </w:rPr>
            </w:pPr>
            <w:r>
              <w:rPr>
                <w:sz w:val="24"/>
              </w:rPr>
              <w:t>Antigen</w:t>
            </w:r>
            <w:r>
              <w:rPr>
                <w:spacing w:val="-5"/>
                <w:sz w:val="24"/>
              </w:rPr>
              <w:t> </w:t>
            </w:r>
            <w:r>
              <w:rPr>
                <w:sz w:val="24"/>
              </w:rPr>
              <w:t>Presenting</w:t>
            </w:r>
            <w:r>
              <w:rPr>
                <w:spacing w:val="-4"/>
                <w:sz w:val="24"/>
              </w:rPr>
              <w:t> Cell</w:t>
            </w:r>
          </w:p>
        </w:tc>
      </w:tr>
      <w:tr>
        <w:trPr>
          <w:trHeight w:val="752" w:hRule="atLeast"/>
        </w:trPr>
        <w:tc>
          <w:tcPr>
            <w:tcW w:w="1231" w:type="dxa"/>
          </w:tcPr>
          <w:p>
            <w:pPr>
              <w:pStyle w:val="TableParagraph"/>
              <w:spacing w:before="232"/>
              <w:ind w:left="50"/>
              <w:rPr>
                <w:sz w:val="24"/>
              </w:rPr>
            </w:pPr>
            <w:r>
              <w:rPr>
                <w:spacing w:val="-2"/>
                <w:sz w:val="24"/>
              </w:rPr>
              <w:t>ATCC-</w:t>
            </w:r>
          </w:p>
        </w:tc>
        <w:tc>
          <w:tcPr>
            <w:tcW w:w="6130" w:type="dxa"/>
          </w:tcPr>
          <w:p>
            <w:pPr>
              <w:pStyle w:val="TableParagraph"/>
              <w:spacing w:before="232"/>
              <w:ind w:left="168"/>
              <w:rPr>
                <w:sz w:val="24"/>
              </w:rPr>
            </w:pPr>
            <w:r>
              <w:rPr>
                <w:sz w:val="24"/>
              </w:rPr>
              <w:t>American</w:t>
            </w:r>
            <w:r>
              <w:rPr>
                <w:spacing w:val="-2"/>
                <w:sz w:val="24"/>
              </w:rPr>
              <w:t> </w:t>
            </w:r>
            <w:r>
              <w:rPr>
                <w:sz w:val="24"/>
              </w:rPr>
              <w:t>Type</w:t>
            </w:r>
            <w:r>
              <w:rPr>
                <w:spacing w:val="-2"/>
                <w:sz w:val="24"/>
              </w:rPr>
              <w:t> </w:t>
            </w:r>
            <w:r>
              <w:rPr>
                <w:sz w:val="24"/>
              </w:rPr>
              <w:t>Culture </w:t>
            </w:r>
            <w:r>
              <w:rPr>
                <w:spacing w:val="-2"/>
                <w:sz w:val="24"/>
              </w:rPr>
              <w:t>Collection</w:t>
            </w:r>
          </w:p>
        </w:tc>
      </w:tr>
      <w:tr>
        <w:trPr>
          <w:trHeight w:val="752" w:hRule="atLeast"/>
        </w:trPr>
        <w:tc>
          <w:tcPr>
            <w:tcW w:w="1231" w:type="dxa"/>
          </w:tcPr>
          <w:p>
            <w:pPr>
              <w:pStyle w:val="TableParagraph"/>
              <w:spacing w:before="233"/>
              <w:ind w:left="50"/>
              <w:rPr>
                <w:sz w:val="24"/>
              </w:rPr>
            </w:pPr>
            <w:r>
              <w:rPr>
                <w:sz w:val="24"/>
              </w:rPr>
              <w:t>BCR</w:t>
            </w:r>
            <w:r>
              <w:rPr>
                <w:spacing w:val="-2"/>
                <w:sz w:val="24"/>
              </w:rPr>
              <w:t> </w:t>
            </w:r>
            <w:r>
              <w:rPr>
                <w:spacing w:val="-10"/>
                <w:sz w:val="24"/>
              </w:rPr>
              <w:t>-</w:t>
            </w:r>
          </w:p>
        </w:tc>
        <w:tc>
          <w:tcPr>
            <w:tcW w:w="6130" w:type="dxa"/>
          </w:tcPr>
          <w:p>
            <w:pPr>
              <w:pStyle w:val="TableParagraph"/>
              <w:spacing w:before="233"/>
              <w:ind w:left="168"/>
              <w:rPr>
                <w:sz w:val="24"/>
              </w:rPr>
            </w:pPr>
            <w:r>
              <w:rPr>
                <w:sz w:val="24"/>
              </w:rPr>
              <w:t>B-Cell</w:t>
            </w:r>
            <w:r>
              <w:rPr>
                <w:spacing w:val="-6"/>
                <w:sz w:val="24"/>
              </w:rPr>
              <w:t> </w:t>
            </w:r>
            <w:r>
              <w:rPr>
                <w:spacing w:val="-2"/>
                <w:sz w:val="24"/>
              </w:rPr>
              <w:t>Receptor</w:t>
            </w:r>
          </w:p>
        </w:tc>
      </w:tr>
      <w:tr>
        <w:trPr>
          <w:trHeight w:val="758" w:hRule="atLeast"/>
        </w:trPr>
        <w:tc>
          <w:tcPr>
            <w:tcW w:w="1231" w:type="dxa"/>
          </w:tcPr>
          <w:p>
            <w:pPr>
              <w:pStyle w:val="TableParagraph"/>
              <w:spacing w:before="232"/>
              <w:ind w:left="50"/>
              <w:rPr>
                <w:sz w:val="24"/>
              </w:rPr>
            </w:pPr>
            <w:r>
              <w:rPr>
                <w:spacing w:val="-2"/>
                <w:sz w:val="24"/>
              </w:rPr>
              <w:t>CD</w:t>
            </w:r>
            <w:r>
              <w:rPr>
                <w:spacing w:val="-2"/>
                <w:sz w:val="24"/>
                <w:vertAlign w:val="subscript"/>
              </w:rPr>
              <w:t>4</w:t>
            </w:r>
            <w:r>
              <w:rPr>
                <w:spacing w:val="-21"/>
                <w:sz w:val="24"/>
                <w:vertAlign w:val="baseline"/>
              </w:rPr>
              <w:t> </w:t>
            </w:r>
            <w:r>
              <w:rPr>
                <w:spacing w:val="-10"/>
                <w:sz w:val="24"/>
                <w:vertAlign w:val="baseline"/>
              </w:rPr>
              <w:t>-</w:t>
            </w:r>
          </w:p>
        </w:tc>
        <w:tc>
          <w:tcPr>
            <w:tcW w:w="6130" w:type="dxa"/>
          </w:tcPr>
          <w:p>
            <w:pPr>
              <w:pStyle w:val="TableParagraph"/>
              <w:spacing w:before="232"/>
              <w:ind w:left="168"/>
              <w:rPr>
                <w:sz w:val="24"/>
              </w:rPr>
            </w:pPr>
            <w:r>
              <w:rPr>
                <w:sz w:val="24"/>
              </w:rPr>
              <w:t>Cluster</w:t>
            </w:r>
            <w:r>
              <w:rPr>
                <w:spacing w:val="-2"/>
                <w:sz w:val="24"/>
              </w:rPr>
              <w:t> </w:t>
            </w:r>
            <w:r>
              <w:rPr>
                <w:sz w:val="24"/>
              </w:rPr>
              <w:t>of</w:t>
            </w:r>
            <w:r>
              <w:rPr>
                <w:spacing w:val="-3"/>
                <w:sz w:val="24"/>
              </w:rPr>
              <w:t> </w:t>
            </w:r>
            <w:r>
              <w:rPr>
                <w:sz w:val="24"/>
              </w:rPr>
              <w:t>Differenciation</w:t>
            </w:r>
            <w:r>
              <w:rPr>
                <w:spacing w:val="-2"/>
                <w:sz w:val="24"/>
              </w:rPr>
              <w:t> </w:t>
            </w:r>
            <w:r>
              <w:rPr>
                <w:sz w:val="24"/>
              </w:rPr>
              <w:t>type</w:t>
            </w:r>
            <w:r>
              <w:rPr>
                <w:spacing w:val="-2"/>
                <w:sz w:val="24"/>
              </w:rPr>
              <w:t> </w:t>
            </w:r>
            <w:r>
              <w:rPr>
                <w:spacing w:val="-4"/>
                <w:sz w:val="24"/>
              </w:rPr>
              <w:t>four</w:t>
            </w:r>
          </w:p>
        </w:tc>
      </w:tr>
      <w:tr>
        <w:trPr>
          <w:trHeight w:val="752" w:hRule="atLeast"/>
        </w:trPr>
        <w:tc>
          <w:tcPr>
            <w:tcW w:w="1231" w:type="dxa"/>
          </w:tcPr>
          <w:p>
            <w:pPr>
              <w:pStyle w:val="TableParagraph"/>
              <w:spacing w:before="41"/>
              <w:rPr>
                <w:b/>
                <w:sz w:val="16"/>
              </w:rPr>
            </w:pPr>
          </w:p>
          <w:p>
            <w:pPr>
              <w:pStyle w:val="TableParagraph"/>
              <w:ind w:left="50"/>
              <w:rPr>
                <w:sz w:val="24"/>
              </w:rPr>
            </w:pPr>
            <w:r>
              <w:rPr>
                <w:spacing w:val="-2"/>
                <w:sz w:val="24"/>
              </w:rPr>
              <w:t>CD</w:t>
            </w:r>
            <w:r>
              <w:rPr>
                <w:spacing w:val="-2"/>
                <w:sz w:val="24"/>
                <w:vertAlign w:val="subscript"/>
              </w:rPr>
              <w:t>8</w:t>
            </w:r>
            <w:r>
              <w:rPr>
                <w:spacing w:val="-21"/>
                <w:sz w:val="24"/>
                <w:vertAlign w:val="baseline"/>
              </w:rPr>
              <w:t> </w:t>
            </w:r>
            <w:r>
              <w:rPr>
                <w:spacing w:val="-10"/>
                <w:sz w:val="24"/>
                <w:vertAlign w:val="subscript"/>
              </w:rPr>
              <w:t>-</w:t>
            </w:r>
          </w:p>
        </w:tc>
        <w:tc>
          <w:tcPr>
            <w:tcW w:w="6130" w:type="dxa"/>
          </w:tcPr>
          <w:p>
            <w:pPr>
              <w:pStyle w:val="TableParagraph"/>
              <w:spacing w:before="225"/>
              <w:ind w:left="168"/>
              <w:rPr>
                <w:sz w:val="24"/>
              </w:rPr>
            </w:pPr>
            <w:r>
              <w:rPr>
                <w:sz w:val="24"/>
              </w:rPr>
              <w:t>Cluster</w:t>
            </w:r>
            <w:r>
              <w:rPr>
                <w:spacing w:val="-2"/>
                <w:sz w:val="24"/>
              </w:rPr>
              <w:t> </w:t>
            </w:r>
            <w:r>
              <w:rPr>
                <w:sz w:val="24"/>
              </w:rPr>
              <w:t>of</w:t>
            </w:r>
            <w:r>
              <w:rPr>
                <w:spacing w:val="-3"/>
                <w:sz w:val="24"/>
              </w:rPr>
              <w:t> </w:t>
            </w:r>
            <w:r>
              <w:rPr>
                <w:sz w:val="24"/>
              </w:rPr>
              <w:t>Differenciation</w:t>
            </w:r>
            <w:r>
              <w:rPr>
                <w:spacing w:val="-1"/>
                <w:sz w:val="24"/>
              </w:rPr>
              <w:t> </w:t>
            </w:r>
            <w:r>
              <w:rPr>
                <w:sz w:val="24"/>
              </w:rPr>
              <w:t>type </w:t>
            </w:r>
            <w:r>
              <w:rPr>
                <w:spacing w:val="-4"/>
                <w:sz w:val="24"/>
              </w:rPr>
              <w:t>eight</w:t>
            </w:r>
          </w:p>
        </w:tc>
      </w:tr>
      <w:tr>
        <w:trPr>
          <w:trHeight w:val="752" w:hRule="atLeast"/>
        </w:trPr>
        <w:tc>
          <w:tcPr>
            <w:tcW w:w="1231" w:type="dxa"/>
          </w:tcPr>
          <w:p>
            <w:pPr>
              <w:pStyle w:val="TableParagraph"/>
              <w:spacing w:before="43"/>
              <w:rPr>
                <w:b/>
                <w:sz w:val="16"/>
              </w:rPr>
            </w:pPr>
          </w:p>
          <w:p>
            <w:pPr>
              <w:pStyle w:val="TableParagraph"/>
              <w:spacing w:before="1"/>
              <w:ind w:left="50"/>
              <w:rPr>
                <w:sz w:val="16"/>
              </w:rPr>
            </w:pPr>
            <w:r>
              <w:rPr>
                <w:position w:val="3"/>
                <w:sz w:val="24"/>
              </w:rPr>
              <w:t>CD</w:t>
            </w:r>
            <w:r>
              <w:rPr>
                <w:sz w:val="16"/>
              </w:rPr>
              <w:t>25</w:t>
            </w:r>
            <w:r>
              <w:rPr>
                <w:spacing w:val="4"/>
                <w:sz w:val="16"/>
              </w:rPr>
              <w:t> </w:t>
            </w:r>
            <w:r>
              <w:rPr>
                <w:spacing w:val="-10"/>
                <w:sz w:val="16"/>
              </w:rPr>
              <w:t>-</w:t>
            </w:r>
          </w:p>
        </w:tc>
        <w:tc>
          <w:tcPr>
            <w:tcW w:w="6130" w:type="dxa"/>
          </w:tcPr>
          <w:p>
            <w:pPr>
              <w:pStyle w:val="TableParagraph"/>
              <w:spacing w:before="226"/>
              <w:ind w:left="168"/>
              <w:rPr>
                <w:sz w:val="24"/>
              </w:rPr>
            </w:pPr>
            <w:r>
              <w:rPr>
                <w:sz w:val="24"/>
              </w:rPr>
              <w:t>Cluster</w:t>
            </w:r>
            <w:r>
              <w:rPr>
                <w:spacing w:val="-3"/>
                <w:sz w:val="24"/>
              </w:rPr>
              <w:t> </w:t>
            </w:r>
            <w:r>
              <w:rPr>
                <w:sz w:val="24"/>
              </w:rPr>
              <w:t>of</w:t>
            </w:r>
            <w:r>
              <w:rPr>
                <w:spacing w:val="-3"/>
                <w:sz w:val="24"/>
              </w:rPr>
              <w:t> </w:t>
            </w:r>
            <w:r>
              <w:rPr>
                <w:sz w:val="24"/>
              </w:rPr>
              <w:t>Differenciation type</w:t>
            </w:r>
            <w:r>
              <w:rPr>
                <w:spacing w:val="-2"/>
                <w:sz w:val="24"/>
              </w:rPr>
              <w:t> </w:t>
            </w:r>
            <w:r>
              <w:rPr>
                <w:sz w:val="24"/>
              </w:rPr>
              <w:t>twenty</w:t>
            </w:r>
            <w:r>
              <w:rPr>
                <w:spacing w:val="-3"/>
                <w:sz w:val="24"/>
              </w:rPr>
              <w:t> </w:t>
            </w:r>
            <w:r>
              <w:rPr>
                <w:spacing w:val="-4"/>
                <w:sz w:val="24"/>
              </w:rPr>
              <w:t>five</w:t>
            </w:r>
          </w:p>
        </w:tc>
      </w:tr>
      <w:tr>
        <w:trPr>
          <w:trHeight w:val="744" w:hRule="atLeast"/>
        </w:trPr>
        <w:tc>
          <w:tcPr>
            <w:tcW w:w="1231" w:type="dxa"/>
          </w:tcPr>
          <w:p>
            <w:pPr>
              <w:pStyle w:val="TableParagraph"/>
              <w:spacing w:before="225"/>
              <w:ind w:left="50"/>
              <w:rPr>
                <w:sz w:val="24"/>
              </w:rPr>
            </w:pPr>
            <w:r>
              <w:rPr>
                <w:sz w:val="24"/>
              </w:rPr>
              <w:t>CfU</w:t>
            </w:r>
            <w:r>
              <w:rPr>
                <w:spacing w:val="-25"/>
                <w:sz w:val="24"/>
              </w:rPr>
              <w:t> </w:t>
            </w:r>
            <w:r>
              <w:rPr>
                <w:spacing w:val="-10"/>
                <w:sz w:val="24"/>
              </w:rPr>
              <w:t>-</w:t>
            </w:r>
          </w:p>
        </w:tc>
        <w:tc>
          <w:tcPr>
            <w:tcW w:w="6130" w:type="dxa"/>
          </w:tcPr>
          <w:p>
            <w:pPr>
              <w:pStyle w:val="TableParagraph"/>
              <w:spacing w:before="225"/>
              <w:ind w:left="168"/>
              <w:rPr>
                <w:sz w:val="24"/>
              </w:rPr>
            </w:pPr>
            <w:r>
              <w:rPr>
                <w:sz w:val="24"/>
              </w:rPr>
              <w:t>Colony</w:t>
            </w:r>
            <w:r>
              <w:rPr>
                <w:spacing w:val="-7"/>
                <w:sz w:val="24"/>
              </w:rPr>
              <w:t> </w:t>
            </w:r>
            <w:r>
              <w:rPr>
                <w:sz w:val="24"/>
              </w:rPr>
              <w:t>forming</w:t>
            </w:r>
            <w:r>
              <w:rPr>
                <w:spacing w:val="-1"/>
                <w:sz w:val="24"/>
              </w:rPr>
              <w:t> </w:t>
            </w:r>
            <w:r>
              <w:rPr>
                <w:spacing w:val="-4"/>
                <w:sz w:val="24"/>
              </w:rPr>
              <w:t>Unit</w:t>
            </w:r>
          </w:p>
        </w:tc>
      </w:tr>
      <w:tr>
        <w:trPr>
          <w:trHeight w:val="752" w:hRule="atLeast"/>
        </w:trPr>
        <w:tc>
          <w:tcPr>
            <w:tcW w:w="1231" w:type="dxa"/>
          </w:tcPr>
          <w:p>
            <w:pPr>
              <w:pStyle w:val="TableParagraph"/>
              <w:spacing w:before="233"/>
              <w:ind w:left="50"/>
              <w:rPr>
                <w:sz w:val="24"/>
              </w:rPr>
            </w:pPr>
            <w:r>
              <w:rPr>
                <w:sz w:val="24"/>
              </w:rPr>
              <w:t>DLC</w:t>
            </w:r>
            <w:r>
              <w:rPr>
                <w:spacing w:val="-2"/>
                <w:sz w:val="24"/>
              </w:rPr>
              <w:t> </w:t>
            </w:r>
            <w:r>
              <w:rPr>
                <w:spacing w:val="-12"/>
                <w:sz w:val="24"/>
              </w:rPr>
              <w:t>-</w:t>
            </w:r>
          </w:p>
        </w:tc>
        <w:tc>
          <w:tcPr>
            <w:tcW w:w="6130" w:type="dxa"/>
          </w:tcPr>
          <w:p>
            <w:pPr>
              <w:pStyle w:val="TableParagraph"/>
              <w:spacing w:before="233"/>
              <w:ind w:left="168"/>
              <w:rPr>
                <w:sz w:val="24"/>
              </w:rPr>
            </w:pPr>
            <w:r>
              <w:rPr>
                <w:sz w:val="24"/>
              </w:rPr>
              <w:t>Differencial</w:t>
            </w:r>
            <w:r>
              <w:rPr>
                <w:spacing w:val="-3"/>
                <w:sz w:val="24"/>
              </w:rPr>
              <w:t> </w:t>
            </w:r>
            <w:r>
              <w:rPr>
                <w:sz w:val="24"/>
              </w:rPr>
              <w:t>Leucocyte</w:t>
            </w:r>
            <w:r>
              <w:rPr>
                <w:spacing w:val="-4"/>
                <w:sz w:val="24"/>
              </w:rPr>
              <w:t> Count</w:t>
            </w:r>
          </w:p>
        </w:tc>
      </w:tr>
      <w:tr>
        <w:trPr>
          <w:trHeight w:val="752" w:hRule="atLeast"/>
        </w:trPr>
        <w:tc>
          <w:tcPr>
            <w:tcW w:w="1231" w:type="dxa"/>
          </w:tcPr>
          <w:p>
            <w:pPr>
              <w:pStyle w:val="TableParagraph"/>
              <w:spacing w:before="233"/>
              <w:ind w:left="50"/>
              <w:rPr>
                <w:sz w:val="24"/>
              </w:rPr>
            </w:pPr>
            <w:r>
              <w:rPr>
                <w:sz w:val="24"/>
              </w:rPr>
              <w:t>DTH</w:t>
            </w:r>
            <w:r>
              <w:rPr>
                <w:spacing w:val="-14"/>
                <w:sz w:val="24"/>
              </w:rPr>
              <w:t> </w:t>
            </w:r>
            <w:r>
              <w:rPr>
                <w:spacing w:val="-10"/>
                <w:sz w:val="24"/>
              </w:rPr>
              <w:t>-</w:t>
            </w:r>
          </w:p>
        </w:tc>
        <w:tc>
          <w:tcPr>
            <w:tcW w:w="6130" w:type="dxa"/>
          </w:tcPr>
          <w:p>
            <w:pPr>
              <w:pStyle w:val="TableParagraph"/>
              <w:spacing w:before="233"/>
              <w:ind w:left="168"/>
              <w:rPr>
                <w:sz w:val="24"/>
              </w:rPr>
            </w:pPr>
            <w:r>
              <w:rPr>
                <w:sz w:val="24"/>
              </w:rPr>
              <w:t>Delayed</w:t>
            </w:r>
            <w:r>
              <w:rPr>
                <w:spacing w:val="-2"/>
                <w:sz w:val="24"/>
              </w:rPr>
              <w:t> </w:t>
            </w:r>
            <w:r>
              <w:rPr>
                <w:sz w:val="24"/>
              </w:rPr>
              <w:t>Type</w:t>
            </w:r>
            <w:r>
              <w:rPr>
                <w:spacing w:val="-2"/>
                <w:sz w:val="24"/>
              </w:rPr>
              <w:t> Hypersensitivity</w:t>
            </w:r>
          </w:p>
        </w:tc>
      </w:tr>
      <w:tr>
        <w:trPr>
          <w:trHeight w:val="751" w:hRule="atLeast"/>
        </w:trPr>
        <w:tc>
          <w:tcPr>
            <w:tcW w:w="1231" w:type="dxa"/>
          </w:tcPr>
          <w:p>
            <w:pPr>
              <w:pStyle w:val="TableParagraph"/>
              <w:spacing w:before="232"/>
              <w:ind w:left="50"/>
              <w:rPr>
                <w:sz w:val="24"/>
              </w:rPr>
            </w:pPr>
            <w:r>
              <w:rPr>
                <w:spacing w:val="-2"/>
                <w:sz w:val="24"/>
              </w:rPr>
              <w:t>EDTA-</w:t>
            </w:r>
          </w:p>
        </w:tc>
        <w:tc>
          <w:tcPr>
            <w:tcW w:w="6130" w:type="dxa"/>
          </w:tcPr>
          <w:p>
            <w:pPr>
              <w:pStyle w:val="TableParagraph"/>
              <w:spacing w:before="232"/>
              <w:ind w:left="168"/>
              <w:rPr>
                <w:sz w:val="24"/>
              </w:rPr>
            </w:pPr>
            <w:r>
              <w:rPr>
                <w:sz w:val="24"/>
              </w:rPr>
              <w:t>EthyleneDiamineTetraacetic</w:t>
            </w:r>
            <w:r>
              <w:rPr>
                <w:spacing w:val="-7"/>
                <w:sz w:val="24"/>
              </w:rPr>
              <w:t> </w:t>
            </w:r>
            <w:r>
              <w:rPr>
                <w:spacing w:val="-4"/>
                <w:sz w:val="24"/>
              </w:rPr>
              <w:t>Acid</w:t>
            </w:r>
          </w:p>
        </w:tc>
      </w:tr>
      <w:tr>
        <w:trPr>
          <w:trHeight w:val="752" w:hRule="atLeast"/>
        </w:trPr>
        <w:tc>
          <w:tcPr>
            <w:tcW w:w="1231" w:type="dxa"/>
          </w:tcPr>
          <w:p>
            <w:pPr>
              <w:pStyle w:val="TableParagraph"/>
              <w:spacing w:before="232"/>
              <w:ind w:left="50"/>
              <w:rPr>
                <w:sz w:val="24"/>
              </w:rPr>
            </w:pPr>
            <w:r>
              <w:rPr>
                <w:spacing w:val="-2"/>
                <w:sz w:val="24"/>
              </w:rPr>
              <w:t>EUCAST-</w:t>
            </w:r>
          </w:p>
        </w:tc>
        <w:tc>
          <w:tcPr>
            <w:tcW w:w="6130" w:type="dxa"/>
          </w:tcPr>
          <w:p>
            <w:pPr>
              <w:pStyle w:val="TableParagraph"/>
              <w:spacing w:before="232"/>
              <w:ind w:left="168"/>
              <w:rPr>
                <w:sz w:val="24"/>
              </w:rPr>
            </w:pPr>
            <w:r>
              <w:rPr>
                <w:sz w:val="24"/>
              </w:rPr>
              <w:t>European</w:t>
            </w:r>
            <w:r>
              <w:rPr>
                <w:spacing w:val="-4"/>
                <w:sz w:val="24"/>
              </w:rPr>
              <w:t> </w:t>
            </w:r>
            <w:r>
              <w:rPr>
                <w:sz w:val="24"/>
              </w:rPr>
              <w:t>Committee</w:t>
            </w:r>
            <w:r>
              <w:rPr>
                <w:spacing w:val="-2"/>
                <w:sz w:val="24"/>
              </w:rPr>
              <w:t> </w:t>
            </w:r>
            <w:r>
              <w:rPr>
                <w:sz w:val="24"/>
              </w:rPr>
              <w:t>on</w:t>
            </w:r>
            <w:r>
              <w:rPr>
                <w:spacing w:val="1"/>
                <w:sz w:val="24"/>
              </w:rPr>
              <w:t> </w:t>
            </w:r>
            <w:r>
              <w:rPr>
                <w:sz w:val="24"/>
              </w:rPr>
              <w:t>Antimicrobial</w:t>
            </w:r>
            <w:r>
              <w:rPr>
                <w:spacing w:val="1"/>
                <w:sz w:val="24"/>
              </w:rPr>
              <w:t> </w:t>
            </w:r>
            <w:r>
              <w:rPr>
                <w:sz w:val="24"/>
              </w:rPr>
              <w:t>Susceptibility</w:t>
            </w:r>
            <w:r>
              <w:rPr>
                <w:spacing w:val="-8"/>
                <w:sz w:val="24"/>
              </w:rPr>
              <w:t> </w:t>
            </w:r>
            <w:r>
              <w:rPr>
                <w:spacing w:val="-2"/>
                <w:sz w:val="24"/>
              </w:rPr>
              <w:t>Testing</w:t>
            </w:r>
          </w:p>
        </w:tc>
      </w:tr>
      <w:tr>
        <w:trPr>
          <w:trHeight w:val="509" w:hRule="atLeast"/>
        </w:trPr>
        <w:tc>
          <w:tcPr>
            <w:tcW w:w="1231" w:type="dxa"/>
          </w:tcPr>
          <w:p>
            <w:pPr>
              <w:pStyle w:val="TableParagraph"/>
              <w:spacing w:line="256" w:lineRule="exact" w:before="233"/>
              <w:ind w:left="50"/>
              <w:rPr>
                <w:sz w:val="24"/>
              </w:rPr>
            </w:pPr>
            <w:r>
              <w:rPr>
                <w:sz w:val="24"/>
              </w:rPr>
              <w:t>HCT </w:t>
            </w:r>
            <w:r>
              <w:rPr>
                <w:spacing w:val="-10"/>
                <w:sz w:val="24"/>
              </w:rPr>
              <w:t>-</w:t>
            </w:r>
          </w:p>
        </w:tc>
        <w:tc>
          <w:tcPr>
            <w:tcW w:w="6130" w:type="dxa"/>
          </w:tcPr>
          <w:p>
            <w:pPr>
              <w:pStyle w:val="TableParagraph"/>
              <w:spacing w:line="256" w:lineRule="exact" w:before="233"/>
              <w:ind w:left="168"/>
              <w:rPr>
                <w:sz w:val="24"/>
              </w:rPr>
            </w:pPr>
            <w:r>
              <w:rPr>
                <w:spacing w:val="-2"/>
                <w:sz w:val="24"/>
              </w:rPr>
              <w:t>Haematocrit</w:t>
            </w:r>
          </w:p>
        </w:tc>
      </w:tr>
    </w:tbl>
    <w:p>
      <w:pPr>
        <w:spacing w:after="0" w:line="256" w:lineRule="exact"/>
        <w:rPr>
          <w:sz w:val="24"/>
        </w:rPr>
        <w:sectPr>
          <w:pgSz w:w="11910" w:h="16840"/>
          <w:pgMar w:header="0" w:footer="981" w:top="1320" w:bottom="1180" w:left="1240" w:right="560"/>
        </w:sectPr>
      </w:pPr>
    </w:p>
    <w:p>
      <w:pPr>
        <w:pStyle w:val="BodyText"/>
        <w:tabs>
          <w:tab w:pos="2188" w:val="left" w:leader="none"/>
        </w:tabs>
        <w:spacing w:before="67"/>
        <w:ind w:left="838"/>
      </w:pPr>
      <w:r>
        <w:rPr>
          <w:spacing w:val="-2"/>
        </w:rPr>
        <w:t>HGB</w:t>
      </w:r>
      <w:r>
        <w:rPr>
          <w:spacing w:val="-24"/>
        </w:rPr>
        <w:t> </w:t>
      </w:r>
      <w:r>
        <w:rPr>
          <w:spacing w:val="-10"/>
        </w:rPr>
        <w:t>-</w:t>
      </w:r>
      <w:r>
        <w:rPr/>
        <w:tab/>
      </w:r>
      <w:r>
        <w:rPr>
          <w:spacing w:val="-2"/>
        </w:rPr>
        <w:t>Haemoglobin</w:t>
      </w:r>
    </w:p>
    <w:p>
      <w:pPr>
        <w:pStyle w:val="BodyText"/>
        <w:spacing w:before="199"/>
      </w:pPr>
    </w:p>
    <w:p>
      <w:pPr>
        <w:pStyle w:val="BodyText"/>
        <w:tabs>
          <w:tab w:pos="2188" w:val="left" w:leader="none"/>
        </w:tabs>
        <w:spacing w:line="655" w:lineRule="auto"/>
        <w:ind w:left="838" w:right="4691"/>
      </w:pPr>
      <w:r>
        <w:rPr>
          <w:spacing w:val="-4"/>
        </w:rPr>
        <w:t>HIV-</w:t>
      </w:r>
      <w:r>
        <w:rPr/>
        <w:tab/>
        <w:t>Human</w:t>
      </w:r>
      <w:r>
        <w:rPr>
          <w:spacing w:val="-15"/>
        </w:rPr>
        <w:t> </w:t>
      </w:r>
      <w:r>
        <w:rPr/>
        <w:t>ImmunoDeficiency</w:t>
      </w:r>
      <w:r>
        <w:rPr>
          <w:spacing w:val="-15"/>
        </w:rPr>
        <w:t> </w:t>
      </w:r>
      <w:r>
        <w:rPr/>
        <w:t>Virus </w:t>
      </w:r>
      <w:r>
        <w:rPr>
          <w:spacing w:val="-4"/>
        </w:rPr>
        <w:t>i.p-</w:t>
      </w:r>
      <w:r>
        <w:rPr/>
        <w:tab/>
      </w:r>
      <w:r>
        <w:rPr>
          <w:spacing w:val="-2"/>
        </w:rPr>
        <w:t>Intraperitonially</w:t>
      </w:r>
    </w:p>
    <w:p>
      <w:pPr>
        <w:pStyle w:val="BodyText"/>
        <w:tabs>
          <w:tab w:pos="2188" w:val="left" w:leader="none"/>
        </w:tabs>
        <w:spacing w:line="274" w:lineRule="exact"/>
        <w:ind w:left="838"/>
      </w:pPr>
      <w:r>
        <w:rPr>
          <w:spacing w:val="-2"/>
        </w:rPr>
        <w:t>IFN-</w:t>
      </w:r>
      <w:r>
        <w:rPr>
          <w:spacing w:val="-7"/>
        </w:rPr>
        <w:t>γ-</w:t>
      </w:r>
      <w:r>
        <w:rPr/>
        <w:tab/>
        <w:t>Interferon</w:t>
      </w:r>
      <w:r>
        <w:rPr>
          <w:spacing w:val="-3"/>
        </w:rPr>
        <w:t> </w:t>
      </w:r>
      <w:r>
        <w:rPr>
          <w:spacing w:val="-2"/>
        </w:rPr>
        <w:t>gamma</w:t>
      </w:r>
    </w:p>
    <w:p>
      <w:pPr>
        <w:pStyle w:val="BodyText"/>
        <w:spacing w:before="200"/>
      </w:pPr>
    </w:p>
    <w:p>
      <w:pPr>
        <w:pStyle w:val="BodyText"/>
        <w:tabs>
          <w:tab w:pos="2188" w:val="left" w:leader="none"/>
        </w:tabs>
        <w:ind w:left="838"/>
      </w:pPr>
      <w:r>
        <w:rPr/>
        <w:t>Ig</w:t>
      </w:r>
      <w:r>
        <w:rPr>
          <w:spacing w:val="8"/>
        </w:rPr>
        <w:t> </w:t>
      </w:r>
      <w:r>
        <w:rPr>
          <w:spacing w:val="-10"/>
        </w:rPr>
        <w:t>-</w:t>
      </w:r>
      <w:r>
        <w:rPr/>
        <w:tab/>
      </w:r>
      <w:r>
        <w:rPr>
          <w:spacing w:val="-2"/>
        </w:rPr>
        <w:t>Immunoglobulin</w:t>
      </w:r>
    </w:p>
    <w:p>
      <w:pPr>
        <w:pStyle w:val="BodyText"/>
        <w:spacing w:before="199"/>
      </w:pPr>
    </w:p>
    <w:p>
      <w:pPr>
        <w:pStyle w:val="BodyText"/>
        <w:tabs>
          <w:tab w:pos="2188" w:val="left" w:leader="none"/>
        </w:tabs>
        <w:spacing w:before="1"/>
        <w:ind w:left="838"/>
      </w:pPr>
      <w:r>
        <w:rPr/>
        <w:t>IgA</w:t>
      </w:r>
      <w:r>
        <w:rPr>
          <w:spacing w:val="14"/>
        </w:rPr>
        <w:t> </w:t>
      </w:r>
      <w:r>
        <w:rPr>
          <w:spacing w:val="-10"/>
        </w:rPr>
        <w:t>-</w:t>
      </w:r>
      <w:r>
        <w:rPr/>
        <w:tab/>
        <w:t>Immunoglobulin</w:t>
      </w:r>
      <w:r>
        <w:rPr>
          <w:spacing w:val="-5"/>
        </w:rPr>
        <w:t> </w:t>
      </w:r>
      <w:r>
        <w:rPr>
          <w:spacing w:val="-10"/>
        </w:rPr>
        <w:t>A</w:t>
      </w:r>
    </w:p>
    <w:p>
      <w:pPr>
        <w:pStyle w:val="BodyText"/>
        <w:spacing w:before="201"/>
      </w:pPr>
    </w:p>
    <w:p>
      <w:pPr>
        <w:pStyle w:val="BodyText"/>
        <w:tabs>
          <w:tab w:pos="2188" w:val="left" w:leader="none"/>
        </w:tabs>
        <w:ind w:left="838"/>
      </w:pPr>
      <w:r>
        <w:rPr/>
        <w:t>IgD</w:t>
      </w:r>
      <w:r>
        <w:rPr>
          <w:spacing w:val="14"/>
        </w:rPr>
        <w:t> </w:t>
      </w:r>
      <w:r>
        <w:rPr>
          <w:spacing w:val="-10"/>
        </w:rPr>
        <w:t>-</w:t>
      </w:r>
      <w:r>
        <w:rPr/>
        <w:tab/>
        <w:t>Immunoglobulin</w:t>
      </w:r>
      <w:r>
        <w:rPr>
          <w:spacing w:val="-5"/>
        </w:rPr>
        <w:t> </w:t>
      </w:r>
      <w:r>
        <w:rPr>
          <w:spacing w:val="-10"/>
        </w:rPr>
        <w:t>D</w:t>
      </w:r>
    </w:p>
    <w:p>
      <w:pPr>
        <w:pStyle w:val="BodyText"/>
        <w:spacing w:before="199"/>
      </w:pPr>
    </w:p>
    <w:p>
      <w:pPr>
        <w:pStyle w:val="BodyText"/>
        <w:tabs>
          <w:tab w:pos="2188" w:val="left" w:leader="none"/>
        </w:tabs>
        <w:ind w:left="838"/>
      </w:pPr>
      <w:r>
        <w:rPr/>
        <w:t>IgE</w:t>
      </w:r>
      <w:r>
        <w:rPr>
          <w:spacing w:val="41"/>
        </w:rPr>
        <w:t> </w:t>
      </w:r>
      <w:r>
        <w:rPr>
          <w:spacing w:val="-10"/>
        </w:rPr>
        <w:t>-</w:t>
      </w:r>
      <w:r>
        <w:rPr/>
        <w:tab/>
        <w:t>Immunoglobulin</w:t>
      </w:r>
      <w:r>
        <w:rPr>
          <w:spacing w:val="-5"/>
        </w:rPr>
        <w:t> </w:t>
      </w:r>
      <w:r>
        <w:rPr>
          <w:spacing w:val="-10"/>
        </w:rPr>
        <w:t>E</w:t>
      </w:r>
    </w:p>
    <w:p>
      <w:pPr>
        <w:pStyle w:val="BodyText"/>
        <w:spacing w:before="200"/>
      </w:pPr>
    </w:p>
    <w:p>
      <w:pPr>
        <w:pStyle w:val="BodyText"/>
        <w:tabs>
          <w:tab w:pos="2188" w:val="left" w:leader="none"/>
        </w:tabs>
        <w:ind w:left="838"/>
      </w:pPr>
      <w:r>
        <w:rPr/>
        <w:t>IgG</w:t>
      </w:r>
      <w:r>
        <w:rPr>
          <w:spacing w:val="14"/>
        </w:rPr>
        <w:t> </w:t>
      </w:r>
      <w:r>
        <w:rPr>
          <w:spacing w:val="-10"/>
        </w:rPr>
        <w:t>-</w:t>
      </w:r>
      <w:r>
        <w:rPr/>
        <w:tab/>
        <w:t>Immunoglobulin</w:t>
      </w:r>
      <w:r>
        <w:rPr>
          <w:spacing w:val="-6"/>
        </w:rPr>
        <w:t> </w:t>
      </w:r>
      <w:r>
        <w:rPr>
          <w:spacing w:val="-10"/>
        </w:rPr>
        <w:t>G</w:t>
      </w:r>
    </w:p>
    <w:p>
      <w:pPr>
        <w:pStyle w:val="BodyText"/>
        <w:spacing w:before="202"/>
      </w:pPr>
    </w:p>
    <w:p>
      <w:pPr>
        <w:pStyle w:val="BodyText"/>
        <w:tabs>
          <w:tab w:pos="2188" w:val="left" w:leader="none"/>
        </w:tabs>
        <w:ind w:left="838"/>
      </w:pPr>
      <w:r>
        <w:rPr>
          <w:spacing w:val="-2"/>
        </w:rPr>
        <w:t>IgM</w:t>
      </w:r>
      <w:r>
        <w:rPr>
          <w:spacing w:val="-20"/>
        </w:rPr>
        <w:t> </w:t>
      </w:r>
      <w:r>
        <w:rPr>
          <w:spacing w:val="-10"/>
        </w:rPr>
        <w:t>-</w:t>
      </w:r>
      <w:r>
        <w:rPr/>
        <w:tab/>
        <w:t>Immunoglobulin</w:t>
      </w:r>
      <w:r>
        <w:rPr>
          <w:spacing w:val="-5"/>
        </w:rPr>
        <w:t> </w:t>
      </w:r>
      <w:r>
        <w:rPr>
          <w:spacing w:val="-10"/>
        </w:rPr>
        <w:t>M</w:t>
      </w:r>
    </w:p>
    <w:p>
      <w:pPr>
        <w:pStyle w:val="BodyText"/>
        <w:spacing w:before="199"/>
      </w:pPr>
    </w:p>
    <w:p>
      <w:pPr>
        <w:pStyle w:val="BodyText"/>
        <w:tabs>
          <w:tab w:pos="2188" w:val="left" w:leader="none"/>
        </w:tabs>
        <w:ind w:left="838"/>
      </w:pPr>
      <w:r>
        <w:rPr>
          <w:spacing w:val="-4"/>
        </w:rPr>
        <w:t>MAC-</w:t>
      </w:r>
      <w:r>
        <w:rPr/>
        <w:tab/>
        <w:t>Membrane</w:t>
      </w:r>
      <w:r>
        <w:rPr>
          <w:spacing w:val="-2"/>
        </w:rPr>
        <w:t> </w:t>
      </w:r>
      <w:r>
        <w:rPr/>
        <w:t>Attack</w:t>
      </w:r>
      <w:r>
        <w:rPr>
          <w:spacing w:val="-1"/>
        </w:rPr>
        <w:t> </w:t>
      </w:r>
      <w:r>
        <w:rPr>
          <w:spacing w:val="-2"/>
        </w:rPr>
        <w:t>Complex</w:t>
      </w:r>
    </w:p>
    <w:p>
      <w:pPr>
        <w:pStyle w:val="BodyText"/>
        <w:spacing w:before="199"/>
      </w:pPr>
    </w:p>
    <w:p>
      <w:pPr>
        <w:pStyle w:val="BodyText"/>
        <w:tabs>
          <w:tab w:pos="2188" w:val="left" w:leader="none"/>
        </w:tabs>
        <w:spacing w:line="655" w:lineRule="auto"/>
        <w:ind w:left="838" w:right="3353"/>
      </w:pPr>
      <w:r>
        <w:rPr>
          <w:spacing w:val="-2"/>
        </w:rPr>
        <w:t>MCHC-</w:t>
      </w:r>
      <w:r>
        <w:rPr/>
        <w:tab/>
        <w:t>Mean</w:t>
      </w:r>
      <w:r>
        <w:rPr>
          <w:spacing w:val="-13"/>
        </w:rPr>
        <w:t> </w:t>
      </w:r>
      <w:r>
        <w:rPr/>
        <w:t>Corpuscular</w:t>
      </w:r>
      <w:r>
        <w:rPr>
          <w:spacing w:val="-13"/>
        </w:rPr>
        <w:t> </w:t>
      </w:r>
      <w:r>
        <w:rPr/>
        <w:t>Haemoglobin</w:t>
      </w:r>
      <w:r>
        <w:rPr>
          <w:spacing w:val="-13"/>
        </w:rPr>
        <w:t> </w:t>
      </w:r>
      <w:r>
        <w:rPr/>
        <w:t>Concentration </w:t>
      </w:r>
      <w:r>
        <w:rPr>
          <w:spacing w:val="-2"/>
        </w:rPr>
        <w:t>MHCI</w:t>
      </w:r>
      <w:r>
        <w:rPr>
          <w:spacing w:val="-2"/>
          <w:vertAlign w:val="subscript"/>
        </w:rPr>
        <w:t>-</w:t>
      </w:r>
      <w:r>
        <w:rPr>
          <w:vertAlign w:val="baseline"/>
        </w:rPr>
        <w:tab/>
        <w:t>Major Histocompatibility Complex one</w:t>
      </w:r>
    </w:p>
    <w:p>
      <w:pPr>
        <w:pStyle w:val="BodyText"/>
        <w:tabs>
          <w:tab w:pos="2188" w:val="left" w:leader="none"/>
        </w:tabs>
        <w:spacing w:line="274" w:lineRule="exact"/>
        <w:ind w:left="838"/>
      </w:pPr>
      <w:r>
        <w:rPr/>
        <w:t>MHCII</w:t>
      </w:r>
      <w:r>
        <w:rPr>
          <w:spacing w:val="-3"/>
        </w:rPr>
        <w:t> </w:t>
      </w:r>
      <w:r>
        <w:rPr>
          <w:spacing w:val="-10"/>
        </w:rPr>
        <w:t>-</w:t>
      </w:r>
      <w:r>
        <w:rPr/>
        <w:tab/>
        <w:t>Major</w:t>
      </w:r>
      <w:r>
        <w:rPr>
          <w:spacing w:val="-1"/>
        </w:rPr>
        <w:t> </w:t>
      </w:r>
      <w:r>
        <w:rPr/>
        <w:t>Histocompatibility</w:t>
      </w:r>
      <w:r>
        <w:rPr>
          <w:spacing w:val="-5"/>
        </w:rPr>
        <w:t> </w:t>
      </w:r>
      <w:r>
        <w:rPr/>
        <w:t>Complex</w:t>
      </w:r>
      <w:r>
        <w:rPr>
          <w:spacing w:val="-1"/>
        </w:rPr>
        <w:t> </w:t>
      </w:r>
      <w:r>
        <w:rPr>
          <w:spacing w:val="-5"/>
        </w:rPr>
        <w:t>two</w:t>
      </w:r>
    </w:p>
    <w:p>
      <w:pPr>
        <w:pStyle w:val="BodyText"/>
        <w:spacing w:before="200"/>
      </w:pPr>
    </w:p>
    <w:p>
      <w:pPr>
        <w:pStyle w:val="BodyText"/>
        <w:tabs>
          <w:tab w:pos="2188" w:val="left" w:leader="none"/>
        </w:tabs>
        <w:spacing w:line="655" w:lineRule="auto"/>
        <w:ind w:left="838" w:right="1391"/>
      </w:pPr>
      <w:r>
        <w:rPr>
          <w:spacing w:val="-2"/>
        </w:rPr>
        <w:t>MIC-A-</w:t>
      </w:r>
      <w:r>
        <w:rPr/>
        <w:tab/>
        <w:t>Major</w:t>
      </w:r>
      <w:r>
        <w:rPr>
          <w:spacing w:val="-5"/>
        </w:rPr>
        <w:t> </w:t>
      </w:r>
      <w:r>
        <w:rPr/>
        <w:t>Histocompatibility</w:t>
      </w:r>
      <w:r>
        <w:rPr>
          <w:spacing w:val="-8"/>
        </w:rPr>
        <w:t> </w:t>
      </w:r>
      <w:r>
        <w:rPr/>
        <w:t>Complex</w:t>
      </w:r>
      <w:r>
        <w:rPr>
          <w:spacing w:val="-5"/>
        </w:rPr>
        <w:t> </w:t>
      </w:r>
      <w:r>
        <w:rPr/>
        <w:t>Class</w:t>
      </w:r>
      <w:r>
        <w:rPr>
          <w:spacing w:val="-2"/>
        </w:rPr>
        <w:t> </w:t>
      </w:r>
      <w:r>
        <w:rPr/>
        <w:t>I</w:t>
      </w:r>
      <w:r>
        <w:rPr>
          <w:spacing w:val="-9"/>
        </w:rPr>
        <w:t> </w:t>
      </w:r>
      <w:r>
        <w:rPr/>
        <w:t>Polypeptide</w:t>
      </w:r>
      <w:r>
        <w:rPr>
          <w:spacing w:val="-5"/>
        </w:rPr>
        <w:t> </w:t>
      </w:r>
      <w:r>
        <w:rPr/>
        <w:t>Sequence</w:t>
      </w:r>
      <w:r>
        <w:rPr>
          <w:spacing w:val="-5"/>
        </w:rPr>
        <w:t> </w:t>
      </w:r>
      <w:r>
        <w:rPr/>
        <w:t>A NAPRI -</w:t>
        <w:tab/>
        <w:t>National Animal Production Research Institute</w:t>
      </w:r>
    </w:p>
    <w:p>
      <w:pPr>
        <w:pStyle w:val="BodyText"/>
        <w:tabs>
          <w:tab w:pos="2188" w:val="left" w:leader="none"/>
        </w:tabs>
        <w:spacing w:line="274" w:lineRule="exact"/>
        <w:ind w:left="838"/>
      </w:pPr>
      <w:r>
        <w:rPr/>
        <w:t>NK</w:t>
      </w:r>
      <w:r>
        <w:rPr>
          <w:spacing w:val="39"/>
        </w:rPr>
        <w:t> </w:t>
      </w:r>
      <w:r>
        <w:rPr>
          <w:spacing w:val="-10"/>
        </w:rPr>
        <w:t>-</w:t>
      </w:r>
      <w:r>
        <w:rPr/>
        <w:tab/>
        <w:t>Natural</w:t>
      </w:r>
      <w:r>
        <w:rPr>
          <w:spacing w:val="-3"/>
        </w:rPr>
        <w:t> </w:t>
      </w:r>
      <w:r>
        <w:rPr/>
        <w:t>killer</w:t>
      </w:r>
      <w:r>
        <w:rPr>
          <w:spacing w:val="-2"/>
        </w:rPr>
        <w:t> </w:t>
      </w:r>
      <w:r>
        <w:rPr>
          <w:spacing w:val="-4"/>
        </w:rPr>
        <w:t>cell</w:t>
      </w:r>
    </w:p>
    <w:p>
      <w:pPr>
        <w:pStyle w:val="BodyText"/>
        <w:spacing w:before="199"/>
      </w:pPr>
    </w:p>
    <w:p>
      <w:pPr>
        <w:pStyle w:val="BodyText"/>
        <w:tabs>
          <w:tab w:pos="2188" w:val="left" w:leader="none"/>
        </w:tabs>
        <w:ind w:left="870"/>
      </w:pPr>
      <w:r>
        <w:rPr>
          <w:spacing w:val="-5"/>
          <w:vertAlign w:val="superscript"/>
        </w:rPr>
        <w:t>°</w:t>
      </w:r>
      <w:r>
        <w:rPr>
          <w:spacing w:val="-5"/>
          <w:vertAlign w:val="baseline"/>
        </w:rPr>
        <w:t>C-</w:t>
      </w:r>
      <w:r>
        <w:rPr>
          <w:vertAlign w:val="baseline"/>
        </w:rPr>
        <w:tab/>
        <w:t>Degree</w:t>
      </w:r>
      <w:r>
        <w:rPr>
          <w:spacing w:val="-4"/>
          <w:vertAlign w:val="baseline"/>
        </w:rPr>
        <w:t> </w:t>
      </w:r>
      <w:r>
        <w:rPr>
          <w:spacing w:val="-2"/>
          <w:vertAlign w:val="baseline"/>
        </w:rPr>
        <w:t>Celcius</w:t>
      </w:r>
    </w:p>
    <w:p>
      <w:pPr>
        <w:pStyle w:val="BodyText"/>
        <w:spacing w:before="202"/>
      </w:pPr>
    </w:p>
    <w:p>
      <w:pPr>
        <w:pStyle w:val="BodyText"/>
        <w:tabs>
          <w:tab w:pos="2188" w:val="left" w:leader="none"/>
        </w:tabs>
        <w:ind w:left="870"/>
      </w:pPr>
      <w:r>
        <w:rPr>
          <w:spacing w:val="-2"/>
          <w:vertAlign w:val="superscript"/>
        </w:rPr>
        <w:t>°</w:t>
      </w:r>
      <w:r>
        <w:rPr>
          <w:spacing w:val="-2"/>
          <w:vertAlign w:val="baseline"/>
        </w:rPr>
        <w:t>F</w:t>
      </w:r>
      <w:r>
        <w:rPr>
          <w:spacing w:val="-17"/>
          <w:vertAlign w:val="baseline"/>
        </w:rPr>
        <w:t> </w:t>
      </w:r>
      <w:r>
        <w:rPr>
          <w:spacing w:val="-10"/>
          <w:vertAlign w:val="baseline"/>
        </w:rPr>
        <w:t>-</w:t>
      </w:r>
      <w:r>
        <w:rPr>
          <w:vertAlign w:val="baseline"/>
        </w:rPr>
        <w:tab/>
        <w:t>Degree</w:t>
      </w:r>
      <w:r>
        <w:rPr>
          <w:spacing w:val="-4"/>
          <w:vertAlign w:val="baseline"/>
        </w:rPr>
        <w:t> </w:t>
      </w:r>
      <w:r>
        <w:rPr>
          <w:spacing w:val="-2"/>
          <w:vertAlign w:val="baseline"/>
        </w:rPr>
        <w:t>Farenheight</w:t>
      </w:r>
    </w:p>
    <w:p>
      <w:pPr>
        <w:spacing w:after="0"/>
        <w:sectPr>
          <w:pgSz w:w="11910" w:h="16840"/>
          <w:pgMar w:header="0" w:footer="981" w:top="1320" w:bottom="1180" w:left="1240" w:right="560"/>
        </w:sectPr>
      </w:pPr>
    </w:p>
    <w:tbl>
      <w:tblPr>
        <w:tblW w:w="0" w:type="auto"/>
        <w:jc w:val="left"/>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0"/>
        <w:gridCol w:w="5536"/>
      </w:tblGrid>
      <w:tr>
        <w:trPr>
          <w:trHeight w:val="508" w:hRule="atLeast"/>
        </w:trPr>
        <w:tc>
          <w:tcPr>
            <w:tcW w:w="1150" w:type="dxa"/>
          </w:tcPr>
          <w:p>
            <w:pPr>
              <w:pStyle w:val="TableParagraph"/>
              <w:spacing w:line="266" w:lineRule="exact"/>
              <w:ind w:left="50"/>
              <w:rPr>
                <w:sz w:val="24"/>
              </w:rPr>
            </w:pPr>
            <w:r>
              <w:rPr>
                <w:sz w:val="24"/>
              </w:rPr>
              <w:t>p.o</w:t>
            </w:r>
            <w:r>
              <w:rPr>
                <w:spacing w:val="58"/>
                <w:w w:val="150"/>
                <w:sz w:val="24"/>
              </w:rPr>
              <w:t> </w:t>
            </w:r>
            <w:r>
              <w:rPr>
                <w:spacing w:val="-12"/>
                <w:sz w:val="24"/>
              </w:rPr>
              <w:t>-</w:t>
            </w:r>
          </w:p>
        </w:tc>
        <w:tc>
          <w:tcPr>
            <w:tcW w:w="5536" w:type="dxa"/>
          </w:tcPr>
          <w:p>
            <w:pPr>
              <w:pStyle w:val="TableParagraph"/>
              <w:spacing w:line="266" w:lineRule="exact"/>
              <w:ind w:left="249"/>
              <w:rPr>
                <w:sz w:val="24"/>
              </w:rPr>
            </w:pPr>
            <w:r>
              <w:rPr>
                <w:sz w:val="24"/>
              </w:rPr>
              <w:t>Per</w:t>
            </w:r>
            <w:r>
              <w:rPr>
                <w:spacing w:val="-3"/>
                <w:sz w:val="24"/>
              </w:rPr>
              <w:t> </w:t>
            </w:r>
            <w:r>
              <w:rPr>
                <w:spacing w:val="-4"/>
                <w:sz w:val="24"/>
              </w:rPr>
              <w:t>oral</w:t>
            </w:r>
          </w:p>
        </w:tc>
      </w:tr>
      <w:tr>
        <w:trPr>
          <w:trHeight w:val="752" w:hRule="atLeast"/>
        </w:trPr>
        <w:tc>
          <w:tcPr>
            <w:tcW w:w="1150" w:type="dxa"/>
          </w:tcPr>
          <w:p>
            <w:pPr>
              <w:pStyle w:val="TableParagraph"/>
              <w:spacing w:before="232"/>
              <w:ind w:left="50"/>
              <w:rPr>
                <w:sz w:val="24"/>
              </w:rPr>
            </w:pPr>
            <w:r>
              <w:rPr>
                <w:spacing w:val="-2"/>
                <w:sz w:val="24"/>
              </w:rPr>
              <w:t>PAMP-</w:t>
            </w:r>
          </w:p>
        </w:tc>
        <w:tc>
          <w:tcPr>
            <w:tcW w:w="5536" w:type="dxa"/>
          </w:tcPr>
          <w:p>
            <w:pPr>
              <w:pStyle w:val="TableParagraph"/>
              <w:spacing w:before="232"/>
              <w:ind w:left="249"/>
              <w:rPr>
                <w:sz w:val="24"/>
              </w:rPr>
            </w:pPr>
            <w:r>
              <w:rPr>
                <w:sz w:val="24"/>
              </w:rPr>
              <w:t>Pathogen-Associated</w:t>
            </w:r>
            <w:r>
              <w:rPr>
                <w:spacing w:val="-3"/>
                <w:sz w:val="24"/>
              </w:rPr>
              <w:t> </w:t>
            </w:r>
            <w:r>
              <w:rPr>
                <w:sz w:val="24"/>
              </w:rPr>
              <w:t>Molecular</w:t>
            </w:r>
            <w:r>
              <w:rPr>
                <w:spacing w:val="-4"/>
                <w:sz w:val="24"/>
              </w:rPr>
              <w:t> </w:t>
            </w:r>
            <w:r>
              <w:rPr>
                <w:spacing w:val="-2"/>
                <w:sz w:val="24"/>
              </w:rPr>
              <w:t>Pattern</w:t>
            </w:r>
          </w:p>
        </w:tc>
      </w:tr>
      <w:tr>
        <w:trPr>
          <w:trHeight w:val="752" w:hRule="atLeast"/>
        </w:trPr>
        <w:tc>
          <w:tcPr>
            <w:tcW w:w="1150" w:type="dxa"/>
          </w:tcPr>
          <w:p>
            <w:pPr>
              <w:pStyle w:val="TableParagraph"/>
              <w:spacing w:before="233"/>
              <w:ind w:left="50"/>
              <w:rPr>
                <w:sz w:val="24"/>
              </w:rPr>
            </w:pPr>
            <w:r>
              <w:rPr>
                <w:spacing w:val="-4"/>
                <w:sz w:val="24"/>
              </w:rPr>
              <w:t>PPD-</w:t>
            </w:r>
          </w:p>
        </w:tc>
        <w:tc>
          <w:tcPr>
            <w:tcW w:w="5536" w:type="dxa"/>
          </w:tcPr>
          <w:p>
            <w:pPr>
              <w:pStyle w:val="TableParagraph"/>
              <w:spacing w:before="233"/>
              <w:ind w:left="249"/>
              <w:rPr>
                <w:sz w:val="24"/>
              </w:rPr>
            </w:pPr>
            <w:r>
              <w:rPr>
                <w:sz w:val="24"/>
              </w:rPr>
              <w:t>Purified</w:t>
            </w:r>
            <w:r>
              <w:rPr>
                <w:spacing w:val="-3"/>
                <w:sz w:val="24"/>
              </w:rPr>
              <w:t> </w:t>
            </w:r>
            <w:r>
              <w:rPr>
                <w:sz w:val="24"/>
              </w:rPr>
              <w:t>Protein</w:t>
            </w:r>
            <w:r>
              <w:rPr>
                <w:spacing w:val="-1"/>
                <w:sz w:val="24"/>
              </w:rPr>
              <w:t> </w:t>
            </w:r>
            <w:r>
              <w:rPr>
                <w:spacing w:val="-2"/>
                <w:sz w:val="24"/>
              </w:rPr>
              <w:t>Derivatives</w:t>
            </w:r>
          </w:p>
        </w:tc>
      </w:tr>
      <w:tr>
        <w:trPr>
          <w:trHeight w:val="751" w:hRule="atLeast"/>
        </w:trPr>
        <w:tc>
          <w:tcPr>
            <w:tcW w:w="1150" w:type="dxa"/>
          </w:tcPr>
          <w:p>
            <w:pPr>
              <w:pStyle w:val="TableParagraph"/>
              <w:spacing w:before="232"/>
              <w:ind w:left="50"/>
              <w:rPr>
                <w:sz w:val="24"/>
              </w:rPr>
            </w:pPr>
            <w:r>
              <w:rPr>
                <w:sz w:val="24"/>
              </w:rPr>
              <w:t>PRR</w:t>
            </w:r>
            <w:r>
              <w:rPr>
                <w:spacing w:val="25"/>
                <w:sz w:val="24"/>
              </w:rPr>
              <w:t> </w:t>
            </w:r>
            <w:r>
              <w:rPr>
                <w:spacing w:val="-10"/>
                <w:sz w:val="24"/>
              </w:rPr>
              <w:t>-</w:t>
            </w:r>
          </w:p>
        </w:tc>
        <w:tc>
          <w:tcPr>
            <w:tcW w:w="5536" w:type="dxa"/>
          </w:tcPr>
          <w:p>
            <w:pPr>
              <w:pStyle w:val="TableParagraph"/>
              <w:spacing w:before="232"/>
              <w:ind w:left="249"/>
              <w:rPr>
                <w:sz w:val="24"/>
              </w:rPr>
            </w:pPr>
            <w:r>
              <w:rPr>
                <w:sz w:val="24"/>
              </w:rPr>
              <w:t>Pattern</w:t>
            </w:r>
            <w:r>
              <w:rPr>
                <w:spacing w:val="-3"/>
                <w:sz w:val="24"/>
              </w:rPr>
              <w:t> </w:t>
            </w:r>
            <w:r>
              <w:rPr>
                <w:sz w:val="24"/>
              </w:rPr>
              <w:t>Recognition</w:t>
            </w:r>
            <w:r>
              <w:rPr>
                <w:spacing w:val="-2"/>
                <w:sz w:val="24"/>
              </w:rPr>
              <w:t> Receptor</w:t>
            </w:r>
          </w:p>
        </w:tc>
      </w:tr>
      <w:tr>
        <w:trPr>
          <w:trHeight w:val="751" w:hRule="atLeast"/>
        </w:trPr>
        <w:tc>
          <w:tcPr>
            <w:tcW w:w="1150" w:type="dxa"/>
          </w:tcPr>
          <w:p>
            <w:pPr>
              <w:pStyle w:val="TableParagraph"/>
              <w:spacing w:before="232"/>
              <w:ind w:left="50"/>
              <w:rPr>
                <w:sz w:val="24"/>
              </w:rPr>
            </w:pPr>
            <w:r>
              <w:rPr>
                <w:sz w:val="24"/>
              </w:rPr>
              <w:t>RBC</w:t>
            </w:r>
            <w:r>
              <w:rPr>
                <w:spacing w:val="-2"/>
                <w:sz w:val="24"/>
              </w:rPr>
              <w:t> </w:t>
            </w:r>
            <w:r>
              <w:rPr>
                <w:spacing w:val="-10"/>
                <w:sz w:val="24"/>
              </w:rPr>
              <w:t>-</w:t>
            </w:r>
          </w:p>
        </w:tc>
        <w:tc>
          <w:tcPr>
            <w:tcW w:w="5536" w:type="dxa"/>
          </w:tcPr>
          <w:p>
            <w:pPr>
              <w:pStyle w:val="TableParagraph"/>
              <w:spacing w:before="232"/>
              <w:ind w:left="249"/>
              <w:rPr>
                <w:sz w:val="24"/>
              </w:rPr>
            </w:pPr>
            <w:r>
              <w:rPr>
                <w:sz w:val="24"/>
              </w:rPr>
              <w:t>Red</w:t>
            </w:r>
            <w:r>
              <w:rPr>
                <w:spacing w:val="-4"/>
                <w:sz w:val="24"/>
              </w:rPr>
              <w:t> </w:t>
            </w:r>
            <w:r>
              <w:rPr>
                <w:sz w:val="24"/>
              </w:rPr>
              <w:t>Blood</w:t>
            </w:r>
            <w:r>
              <w:rPr>
                <w:spacing w:val="-1"/>
                <w:sz w:val="24"/>
              </w:rPr>
              <w:t> </w:t>
            </w:r>
            <w:r>
              <w:rPr>
                <w:spacing w:val="-4"/>
                <w:sz w:val="24"/>
              </w:rPr>
              <w:t>Cell</w:t>
            </w:r>
          </w:p>
        </w:tc>
      </w:tr>
      <w:tr>
        <w:trPr>
          <w:trHeight w:val="752" w:hRule="atLeast"/>
        </w:trPr>
        <w:tc>
          <w:tcPr>
            <w:tcW w:w="1150" w:type="dxa"/>
          </w:tcPr>
          <w:p>
            <w:pPr>
              <w:pStyle w:val="TableParagraph"/>
              <w:spacing w:before="233"/>
              <w:ind w:left="50"/>
              <w:rPr>
                <w:sz w:val="24"/>
              </w:rPr>
            </w:pPr>
            <w:r>
              <w:rPr>
                <w:spacing w:val="-2"/>
                <w:sz w:val="24"/>
              </w:rPr>
              <w:t>SIRS</w:t>
            </w:r>
            <w:r>
              <w:rPr>
                <w:spacing w:val="-21"/>
                <w:sz w:val="24"/>
              </w:rPr>
              <w:t> </w:t>
            </w:r>
            <w:r>
              <w:rPr>
                <w:spacing w:val="-10"/>
                <w:sz w:val="24"/>
              </w:rPr>
              <w:t>-</w:t>
            </w:r>
          </w:p>
        </w:tc>
        <w:tc>
          <w:tcPr>
            <w:tcW w:w="5536" w:type="dxa"/>
          </w:tcPr>
          <w:p>
            <w:pPr>
              <w:pStyle w:val="TableParagraph"/>
              <w:spacing w:before="233"/>
              <w:ind w:left="249"/>
              <w:rPr>
                <w:sz w:val="24"/>
              </w:rPr>
            </w:pPr>
            <w:r>
              <w:rPr>
                <w:sz w:val="24"/>
              </w:rPr>
              <w:t>Systemic</w:t>
            </w:r>
            <w:r>
              <w:rPr>
                <w:spacing w:val="-2"/>
                <w:sz w:val="24"/>
              </w:rPr>
              <w:t> </w:t>
            </w:r>
            <w:r>
              <w:rPr>
                <w:sz w:val="24"/>
              </w:rPr>
              <w:t>Inflammatory</w:t>
            </w:r>
            <w:r>
              <w:rPr>
                <w:spacing w:val="-4"/>
                <w:sz w:val="24"/>
              </w:rPr>
              <w:t> </w:t>
            </w:r>
            <w:r>
              <w:rPr>
                <w:sz w:val="24"/>
              </w:rPr>
              <w:t>Immune</w:t>
            </w:r>
            <w:r>
              <w:rPr>
                <w:spacing w:val="-2"/>
                <w:sz w:val="24"/>
              </w:rPr>
              <w:t> </w:t>
            </w:r>
            <w:r>
              <w:rPr>
                <w:sz w:val="24"/>
              </w:rPr>
              <w:t>Response </w:t>
            </w:r>
            <w:r>
              <w:rPr>
                <w:spacing w:val="-2"/>
                <w:sz w:val="24"/>
              </w:rPr>
              <w:t>Syndromes</w:t>
            </w:r>
          </w:p>
        </w:tc>
      </w:tr>
      <w:tr>
        <w:trPr>
          <w:trHeight w:val="752" w:hRule="atLeast"/>
        </w:trPr>
        <w:tc>
          <w:tcPr>
            <w:tcW w:w="1150" w:type="dxa"/>
          </w:tcPr>
          <w:p>
            <w:pPr>
              <w:pStyle w:val="TableParagraph"/>
              <w:spacing w:before="233"/>
              <w:ind w:left="50"/>
              <w:rPr>
                <w:sz w:val="24"/>
              </w:rPr>
            </w:pPr>
            <w:r>
              <w:rPr>
                <w:spacing w:val="-4"/>
                <w:sz w:val="24"/>
              </w:rPr>
              <w:t>SLE-</w:t>
            </w:r>
          </w:p>
        </w:tc>
        <w:tc>
          <w:tcPr>
            <w:tcW w:w="5536" w:type="dxa"/>
          </w:tcPr>
          <w:p>
            <w:pPr>
              <w:pStyle w:val="TableParagraph"/>
              <w:spacing w:before="233"/>
              <w:ind w:left="249"/>
              <w:rPr>
                <w:sz w:val="24"/>
              </w:rPr>
            </w:pPr>
            <w:r>
              <w:rPr>
                <w:sz w:val="24"/>
              </w:rPr>
              <w:t>Systemic</w:t>
            </w:r>
            <w:r>
              <w:rPr>
                <w:spacing w:val="-2"/>
                <w:sz w:val="24"/>
              </w:rPr>
              <w:t> </w:t>
            </w:r>
            <w:r>
              <w:rPr>
                <w:sz w:val="24"/>
              </w:rPr>
              <w:t>Lupus</w:t>
            </w:r>
            <w:r>
              <w:rPr>
                <w:spacing w:val="-2"/>
                <w:sz w:val="24"/>
              </w:rPr>
              <w:t> Erythematosus</w:t>
            </w:r>
          </w:p>
        </w:tc>
      </w:tr>
      <w:tr>
        <w:trPr>
          <w:trHeight w:val="751" w:hRule="atLeast"/>
        </w:trPr>
        <w:tc>
          <w:tcPr>
            <w:tcW w:w="1150" w:type="dxa"/>
          </w:tcPr>
          <w:p>
            <w:pPr>
              <w:pStyle w:val="TableParagraph"/>
              <w:spacing w:before="232"/>
              <w:ind w:left="50"/>
              <w:rPr>
                <w:sz w:val="24"/>
              </w:rPr>
            </w:pPr>
            <w:r>
              <w:rPr>
                <w:spacing w:val="-2"/>
                <w:sz w:val="24"/>
              </w:rPr>
              <w:t>SRBC-</w:t>
            </w:r>
          </w:p>
        </w:tc>
        <w:tc>
          <w:tcPr>
            <w:tcW w:w="5536" w:type="dxa"/>
          </w:tcPr>
          <w:p>
            <w:pPr>
              <w:pStyle w:val="TableParagraph"/>
              <w:spacing w:before="232"/>
              <w:ind w:left="249"/>
              <w:rPr>
                <w:sz w:val="24"/>
              </w:rPr>
            </w:pPr>
            <w:r>
              <w:rPr>
                <w:sz w:val="24"/>
              </w:rPr>
              <w:t>Sheep</w:t>
            </w:r>
            <w:r>
              <w:rPr>
                <w:spacing w:val="-4"/>
                <w:sz w:val="24"/>
              </w:rPr>
              <w:t> </w:t>
            </w:r>
            <w:r>
              <w:rPr>
                <w:sz w:val="24"/>
              </w:rPr>
              <w:t>Red</w:t>
            </w:r>
            <w:r>
              <w:rPr>
                <w:spacing w:val="-1"/>
                <w:sz w:val="24"/>
              </w:rPr>
              <w:t> </w:t>
            </w:r>
            <w:r>
              <w:rPr>
                <w:sz w:val="24"/>
              </w:rPr>
              <w:t>Blood</w:t>
            </w:r>
            <w:r>
              <w:rPr>
                <w:spacing w:val="-1"/>
                <w:sz w:val="24"/>
              </w:rPr>
              <w:t> </w:t>
            </w:r>
            <w:r>
              <w:rPr>
                <w:spacing w:val="-4"/>
                <w:sz w:val="24"/>
              </w:rPr>
              <w:t>Cell</w:t>
            </w:r>
          </w:p>
        </w:tc>
      </w:tr>
      <w:tr>
        <w:trPr>
          <w:trHeight w:val="752" w:hRule="atLeast"/>
        </w:trPr>
        <w:tc>
          <w:tcPr>
            <w:tcW w:w="1150" w:type="dxa"/>
          </w:tcPr>
          <w:p>
            <w:pPr>
              <w:pStyle w:val="TableParagraph"/>
              <w:spacing w:before="232"/>
              <w:ind w:left="50"/>
              <w:rPr>
                <w:sz w:val="24"/>
              </w:rPr>
            </w:pPr>
            <w:r>
              <w:rPr>
                <w:sz w:val="24"/>
              </w:rPr>
              <w:t>TCR</w:t>
            </w:r>
            <w:r>
              <w:rPr>
                <w:spacing w:val="13"/>
                <w:sz w:val="24"/>
              </w:rPr>
              <w:t> </w:t>
            </w:r>
            <w:r>
              <w:rPr>
                <w:spacing w:val="-12"/>
                <w:sz w:val="24"/>
              </w:rPr>
              <w:t>-</w:t>
            </w:r>
          </w:p>
        </w:tc>
        <w:tc>
          <w:tcPr>
            <w:tcW w:w="5536" w:type="dxa"/>
          </w:tcPr>
          <w:p>
            <w:pPr>
              <w:pStyle w:val="TableParagraph"/>
              <w:spacing w:before="232"/>
              <w:ind w:left="249"/>
              <w:rPr>
                <w:sz w:val="24"/>
              </w:rPr>
            </w:pPr>
            <w:r>
              <w:rPr>
                <w:sz w:val="24"/>
              </w:rPr>
              <w:t>T-Cell</w:t>
            </w:r>
            <w:r>
              <w:rPr>
                <w:spacing w:val="-5"/>
                <w:sz w:val="24"/>
              </w:rPr>
              <w:t> </w:t>
            </w:r>
            <w:r>
              <w:rPr>
                <w:spacing w:val="-2"/>
                <w:sz w:val="24"/>
              </w:rPr>
              <w:t>Receptor</w:t>
            </w:r>
          </w:p>
        </w:tc>
      </w:tr>
      <w:tr>
        <w:trPr>
          <w:trHeight w:val="759" w:hRule="atLeast"/>
        </w:trPr>
        <w:tc>
          <w:tcPr>
            <w:tcW w:w="1150" w:type="dxa"/>
          </w:tcPr>
          <w:p>
            <w:pPr>
              <w:pStyle w:val="TableParagraph"/>
              <w:spacing w:before="49"/>
              <w:rPr>
                <w:sz w:val="16"/>
              </w:rPr>
            </w:pPr>
          </w:p>
          <w:p>
            <w:pPr>
              <w:pStyle w:val="TableParagraph"/>
              <w:spacing w:before="1"/>
              <w:ind w:left="50"/>
              <w:rPr>
                <w:sz w:val="24"/>
              </w:rPr>
            </w:pPr>
            <w:r>
              <w:rPr>
                <w:sz w:val="24"/>
              </w:rPr>
              <w:t>TH</w:t>
            </w:r>
            <w:r>
              <w:rPr>
                <w:sz w:val="24"/>
                <w:vertAlign w:val="subscript"/>
              </w:rPr>
              <w:t>1</w:t>
            </w:r>
            <w:r>
              <w:rPr>
                <w:spacing w:val="-13"/>
                <w:sz w:val="24"/>
                <w:vertAlign w:val="baseline"/>
              </w:rPr>
              <w:t> </w:t>
            </w:r>
            <w:r>
              <w:rPr>
                <w:spacing w:val="-10"/>
                <w:sz w:val="24"/>
                <w:vertAlign w:val="subscript"/>
              </w:rPr>
              <w:t>-</w:t>
            </w:r>
          </w:p>
        </w:tc>
        <w:tc>
          <w:tcPr>
            <w:tcW w:w="5536" w:type="dxa"/>
          </w:tcPr>
          <w:p>
            <w:pPr>
              <w:pStyle w:val="TableParagraph"/>
              <w:spacing w:before="234"/>
              <w:ind w:left="249"/>
              <w:rPr>
                <w:sz w:val="24"/>
              </w:rPr>
            </w:pPr>
            <w:r>
              <w:rPr>
                <w:sz w:val="24"/>
              </w:rPr>
              <w:t>T</w:t>
            </w:r>
            <w:r>
              <w:rPr>
                <w:spacing w:val="-2"/>
                <w:sz w:val="24"/>
              </w:rPr>
              <w:t> </w:t>
            </w:r>
            <w:r>
              <w:rPr>
                <w:sz w:val="24"/>
              </w:rPr>
              <w:t>Helper</w:t>
            </w:r>
            <w:r>
              <w:rPr>
                <w:spacing w:val="-2"/>
                <w:sz w:val="24"/>
              </w:rPr>
              <w:t> </w:t>
            </w:r>
            <w:r>
              <w:rPr>
                <w:spacing w:val="-5"/>
                <w:sz w:val="24"/>
              </w:rPr>
              <w:t>one</w:t>
            </w:r>
          </w:p>
        </w:tc>
      </w:tr>
      <w:tr>
        <w:trPr>
          <w:trHeight w:val="751" w:hRule="atLeast"/>
        </w:trPr>
        <w:tc>
          <w:tcPr>
            <w:tcW w:w="1150" w:type="dxa"/>
          </w:tcPr>
          <w:p>
            <w:pPr>
              <w:pStyle w:val="TableParagraph"/>
              <w:spacing w:before="225"/>
              <w:ind w:left="50"/>
              <w:rPr>
                <w:sz w:val="24"/>
              </w:rPr>
            </w:pPr>
            <w:r>
              <w:rPr>
                <w:sz w:val="24"/>
              </w:rPr>
              <w:t>TH</w:t>
            </w:r>
            <w:r>
              <w:rPr>
                <w:sz w:val="24"/>
                <w:vertAlign w:val="subscript"/>
              </w:rPr>
              <w:t>2</w:t>
            </w:r>
            <w:r>
              <w:rPr>
                <w:spacing w:val="-13"/>
                <w:sz w:val="24"/>
                <w:vertAlign w:val="baseline"/>
              </w:rPr>
              <w:t> </w:t>
            </w:r>
            <w:r>
              <w:rPr>
                <w:spacing w:val="-10"/>
                <w:sz w:val="24"/>
                <w:vertAlign w:val="baseline"/>
              </w:rPr>
              <w:t>-</w:t>
            </w:r>
          </w:p>
        </w:tc>
        <w:tc>
          <w:tcPr>
            <w:tcW w:w="5536" w:type="dxa"/>
          </w:tcPr>
          <w:p>
            <w:pPr>
              <w:pStyle w:val="TableParagraph"/>
              <w:spacing w:before="225"/>
              <w:ind w:left="249"/>
              <w:rPr>
                <w:sz w:val="24"/>
              </w:rPr>
            </w:pPr>
            <w:r>
              <w:rPr>
                <w:sz w:val="24"/>
              </w:rPr>
              <w:t>T</w:t>
            </w:r>
            <w:r>
              <w:rPr>
                <w:spacing w:val="-2"/>
                <w:sz w:val="24"/>
              </w:rPr>
              <w:t> </w:t>
            </w:r>
            <w:r>
              <w:rPr>
                <w:sz w:val="24"/>
              </w:rPr>
              <w:t>Helper</w:t>
            </w:r>
            <w:r>
              <w:rPr>
                <w:spacing w:val="-2"/>
                <w:sz w:val="24"/>
              </w:rPr>
              <w:t> </w:t>
            </w:r>
            <w:r>
              <w:rPr>
                <w:spacing w:val="-5"/>
                <w:sz w:val="24"/>
              </w:rPr>
              <w:t>two</w:t>
            </w:r>
          </w:p>
        </w:tc>
      </w:tr>
      <w:tr>
        <w:trPr>
          <w:trHeight w:val="745" w:hRule="atLeast"/>
        </w:trPr>
        <w:tc>
          <w:tcPr>
            <w:tcW w:w="1150" w:type="dxa"/>
          </w:tcPr>
          <w:p>
            <w:pPr>
              <w:pStyle w:val="TableParagraph"/>
              <w:spacing w:before="225"/>
              <w:ind w:left="50"/>
              <w:rPr>
                <w:sz w:val="24"/>
              </w:rPr>
            </w:pPr>
            <w:r>
              <w:rPr>
                <w:sz w:val="24"/>
              </w:rPr>
              <w:t>TLC</w:t>
            </w:r>
            <w:r>
              <w:rPr>
                <w:spacing w:val="24"/>
                <w:sz w:val="24"/>
              </w:rPr>
              <w:t> </w:t>
            </w:r>
            <w:r>
              <w:rPr>
                <w:spacing w:val="-10"/>
                <w:sz w:val="24"/>
              </w:rPr>
              <w:t>-</w:t>
            </w:r>
          </w:p>
        </w:tc>
        <w:tc>
          <w:tcPr>
            <w:tcW w:w="5536" w:type="dxa"/>
          </w:tcPr>
          <w:p>
            <w:pPr>
              <w:pStyle w:val="TableParagraph"/>
              <w:spacing w:before="225"/>
              <w:ind w:left="249"/>
              <w:rPr>
                <w:sz w:val="24"/>
              </w:rPr>
            </w:pPr>
            <w:r>
              <w:rPr>
                <w:sz w:val="24"/>
              </w:rPr>
              <w:t>Total</w:t>
            </w:r>
            <w:r>
              <w:rPr>
                <w:spacing w:val="-2"/>
                <w:sz w:val="24"/>
              </w:rPr>
              <w:t> </w:t>
            </w:r>
            <w:r>
              <w:rPr>
                <w:sz w:val="24"/>
              </w:rPr>
              <w:t>Lymphocyte</w:t>
            </w:r>
            <w:r>
              <w:rPr>
                <w:spacing w:val="-3"/>
                <w:sz w:val="24"/>
              </w:rPr>
              <w:t> </w:t>
            </w:r>
            <w:r>
              <w:rPr>
                <w:spacing w:val="-2"/>
                <w:sz w:val="24"/>
              </w:rPr>
              <w:t>Count</w:t>
            </w:r>
          </w:p>
        </w:tc>
      </w:tr>
      <w:tr>
        <w:trPr>
          <w:trHeight w:val="752" w:hRule="atLeast"/>
        </w:trPr>
        <w:tc>
          <w:tcPr>
            <w:tcW w:w="1150" w:type="dxa"/>
          </w:tcPr>
          <w:p>
            <w:pPr>
              <w:pStyle w:val="TableParagraph"/>
              <w:spacing w:before="233"/>
              <w:ind w:left="50"/>
              <w:rPr>
                <w:sz w:val="24"/>
              </w:rPr>
            </w:pPr>
            <w:r>
              <w:rPr>
                <w:sz w:val="24"/>
              </w:rPr>
              <w:t>UK</w:t>
            </w:r>
            <w:r>
              <w:rPr>
                <w:spacing w:val="39"/>
                <w:sz w:val="24"/>
              </w:rPr>
              <w:t> </w:t>
            </w:r>
            <w:r>
              <w:rPr>
                <w:spacing w:val="-10"/>
                <w:sz w:val="24"/>
              </w:rPr>
              <w:t>-</w:t>
            </w:r>
          </w:p>
        </w:tc>
        <w:tc>
          <w:tcPr>
            <w:tcW w:w="5536" w:type="dxa"/>
          </w:tcPr>
          <w:p>
            <w:pPr>
              <w:pStyle w:val="TableParagraph"/>
              <w:spacing w:before="233"/>
              <w:ind w:left="249"/>
              <w:rPr>
                <w:sz w:val="24"/>
              </w:rPr>
            </w:pPr>
            <w:r>
              <w:rPr>
                <w:sz w:val="24"/>
              </w:rPr>
              <w:t>United</w:t>
            </w:r>
            <w:r>
              <w:rPr>
                <w:spacing w:val="-2"/>
                <w:sz w:val="24"/>
              </w:rPr>
              <w:t> Kingdom</w:t>
            </w:r>
          </w:p>
        </w:tc>
      </w:tr>
      <w:tr>
        <w:trPr>
          <w:trHeight w:val="751" w:hRule="atLeast"/>
        </w:trPr>
        <w:tc>
          <w:tcPr>
            <w:tcW w:w="1150" w:type="dxa"/>
          </w:tcPr>
          <w:p>
            <w:pPr>
              <w:pStyle w:val="TableParagraph"/>
              <w:spacing w:before="232"/>
              <w:ind w:left="50"/>
              <w:rPr>
                <w:sz w:val="24"/>
              </w:rPr>
            </w:pPr>
            <w:r>
              <w:rPr>
                <w:spacing w:val="-2"/>
                <w:sz w:val="24"/>
              </w:rPr>
              <w:t>UNAID-</w:t>
            </w:r>
          </w:p>
        </w:tc>
        <w:tc>
          <w:tcPr>
            <w:tcW w:w="5536" w:type="dxa"/>
          </w:tcPr>
          <w:p>
            <w:pPr>
              <w:pStyle w:val="TableParagraph"/>
              <w:spacing w:before="232"/>
              <w:ind w:left="249"/>
              <w:rPr>
                <w:sz w:val="24"/>
              </w:rPr>
            </w:pPr>
            <w:r>
              <w:rPr>
                <w:sz w:val="24"/>
              </w:rPr>
              <w:t>United</w:t>
            </w:r>
            <w:r>
              <w:rPr>
                <w:spacing w:val="-1"/>
                <w:sz w:val="24"/>
              </w:rPr>
              <w:t> </w:t>
            </w:r>
            <w:r>
              <w:rPr>
                <w:sz w:val="24"/>
              </w:rPr>
              <w:t>Nations</w:t>
            </w:r>
            <w:r>
              <w:rPr>
                <w:spacing w:val="-1"/>
                <w:sz w:val="24"/>
              </w:rPr>
              <w:t> </w:t>
            </w:r>
            <w:r>
              <w:rPr>
                <w:sz w:val="24"/>
              </w:rPr>
              <w:t>Programme</w:t>
            </w:r>
            <w:r>
              <w:rPr>
                <w:spacing w:val="-1"/>
                <w:sz w:val="24"/>
              </w:rPr>
              <w:t> </w:t>
            </w:r>
            <w:r>
              <w:rPr>
                <w:sz w:val="24"/>
              </w:rPr>
              <w:t>on </w:t>
            </w:r>
            <w:r>
              <w:rPr>
                <w:spacing w:val="-2"/>
                <w:sz w:val="24"/>
              </w:rPr>
              <w:t>HIV/AIDS</w:t>
            </w:r>
          </w:p>
        </w:tc>
      </w:tr>
      <w:tr>
        <w:trPr>
          <w:trHeight w:val="752" w:hRule="atLeast"/>
        </w:trPr>
        <w:tc>
          <w:tcPr>
            <w:tcW w:w="1150" w:type="dxa"/>
          </w:tcPr>
          <w:p>
            <w:pPr>
              <w:pStyle w:val="TableParagraph"/>
              <w:spacing w:before="233"/>
              <w:ind w:left="50"/>
              <w:rPr>
                <w:sz w:val="24"/>
              </w:rPr>
            </w:pPr>
            <w:r>
              <w:rPr>
                <w:sz w:val="24"/>
              </w:rPr>
              <w:t>UTI</w:t>
            </w:r>
            <w:r>
              <w:rPr>
                <w:spacing w:val="-12"/>
                <w:sz w:val="24"/>
              </w:rPr>
              <w:t> </w:t>
            </w:r>
            <w:r>
              <w:rPr>
                <w:spacing w:val="-10"/>
                <w:sz w:val="24"/>
              </w:rPr>
              <w:t>-</w:t>
            </w:r>
          </w:p>
        </w:tc>
        <w:tc>
          <w:tcPr>
            <w:tcW w:w="5536" w:type="dxa"/>
          </w:tcPr>
          <w:p>
            <w:pPr>
              <w:pStyle w:val="TableParagraph"/>
              <w:spacing w:before="233"/>
              <w:ind w:left="249"/>
              <w:rPr>
                <w:sz w:val="24"/>
              </w:rPr>
            </w:pPr>
            <w:r>
              <w:rPr>
                <w:sz w:val="24"/>
              </w:rPr>
              <w:t>Urinary</w:t>
            </w:r>
            <w:r>
              <w:rPr>
                <w:spacing w:val="-5"/>
                <w:sz w:val="24"/>
              </w:rPr>
              <w:t> </w:t>
            </w:r>
            <w:r>
              <w:rPr>
                <w:sz w:val="24"/>
              </w:rPr>
              <w:t>Tract</w:t>
            </w:r>
            <w:r>
              <w:rPr>
                <w:spacing w:val="2"/>
                <w:sz w:val="24"/>
              </w:rPr>
              <w:t> </w:t>
            </w:r>
            <w:r>
              <w:rPr>
                <w:spacing w:val="-2"/>
                <w:sz w:val="24"/>
              </w:rPr>
              <w:t>Infection</w:t>
            </w:r>
          </w:p>
        </w:tc>
      </w:tr>
      <w:tr>
        <w:trPr>
          <w:trHeight w:val="752" w:hRule="atLeast"/>
        </w:trPr>
        <w:tc>
          <w:tcPr>
            <w:tcW w:w="1150" w:type="dxa"/>
          </w:tcPr>
          <w:p>
            <w:pPr>
              <w:pStyle w:val="TableParagraph"/>
              <w:spacing w:before="233"/>
              <w:ind w:left="50"/>
              <w:rPr>
                <w:sz w:val="24"/>
              </w:rPr>
            </w:pPr>
            <w:r>
              <w:rPr>
                <w:spacing w:val="-4"/>
                <w:sz w:val="24"/>
              </w:rPr>
              <w:t>WBC-</w:t>
            </w:r>
          </w:p>
        </w:tc>
        <w:tc>
          <w:tcPr>
            <w:tcW w:w="5536" w:type="dxa"/>
          </w:tcPr>
          <w:p>
            <w:pPr>
              <w:pStyle w:val="TableParagraph"/>
              <w:spacing w:before="233"/>
              <w:ind w:left="249"/>
              <w:rPr>
                <w:sz w:val="24"/>
              </w:rPr>
            </w:pPr>
            <w:r>
              <w:rPr>
                <w:sz w:val="24"/>
              </w:rPr>
              <w:t>White</w:t>
            </w:r>
            <w:r>
              <w:rPr>
                <w:spacing w:val="-4"/>
                <w:sz w:val="24"/>
              </w:rPr>
              <w:t> </w:t>
            </w:r>
            <w:r>
              <w:rPr>
                <w:sz w:val="24"/>
              </w:rPr>
              <w:t>Blood </w:t>
            </w:r>
            <w:r>
              <w:rPr>
                <w:spacing w:val="-4"/>
                <w:sz w:val="24"/>
              </w:rPr>
              <w:t>Cell</w:t>
            </w:r>
          </w:p>
        </w:tc>
      </w:tr>
      <w:tr>
        <w:trPr>
          <w:trHeight w:val="508" w:hRule="atLeast"/>
        </w:trPr>
        <w:tc>
          <w:tcPr>
            <w:tcW w:w="1150" w:type="dxa"/>
          </w:tcPr>
          <w:p>
            <w:pPr>
              <w:pStyle w:val="TableParagraph"/>
              <w:spacing w:line="256" w:lineRule="exact" w:before="232"/>
              <w:ind w:left="50"/>
              <w:rPr>
                <w:sz w:val="24"/>
              </w:rPr>
            </w:pPr>
            <w:r>
              <w:rPr>
                <w:spacing w:val="-4"/>
                <w:sz w:val="24"/>
              </w:rPr>
              <w:t>WHO-</w:t>
            </w:r>
          </w:p>
        </w:tc>
        <w:tc>
          <w:tcPr>
            <w:tcW w:w="5536" w:type="dxa"/>
          </w:tcPr>
          <w:p>
            <w:pPr>
              <w:pStyle w:val="TableParagraph"/>
              <w:spacing w:line="256" w:lineRule="exact" w:before="232"/>
              <w:ind w:left="249"/>
              <w:rPr>
                <w:sz w:val="24"/>
              </w:rPr>
            </w:pPr>
            <w:r>
              <w:rPr>
                <w:sz w:val="24"/>
              </w:rPr>
              <w:t>World</w:t>
            </w:r>
            <w:r>
              <w:rPr>
                <w:spacing w:val="-1"/>
                <w:sz w:val="24"/>
              </w:rPr>
              <w:t> </w:t>
            </w:r>
            <w:r>
              <w:rPr>
                <w:sz w:val="24"/>
              </w:rPr>
              <w:t>Health</w:t>
            </w:r>
            <w:r>
              <w:rPr>
                <w:spacing w:val="-1"/>
                <w:sz w:val="24"/>
              </w:rPr>
              <w:t> </w:t>
            </w:r>
            <w:r>
              <w:rPr>
                <w:spacing w:val="-2"/>
                <w:sz w:val="24"/>
              </w:rPr>
              <w:t>Organization</w:t>
            </w:r>
          </w:p>
        </w:tc>
      </w:tr>
    </w:tbl>
    <w:p>
      <w:pPr>
        <w:spacing w:after="0" w:line="256" w:lineRule="exact"/>
        <w:rPr>
          <w:sz w:val="24"/>
        </w:rPr>
        <w:sectPr>
          <w:pgSz w:w="11910" w:h="16840"/>
          <w:pgMar w:header="0" w:footer="981" w:top="1380" w:bottom="1180" w:left="1240" w:right="560"/>
        </w:sectPr>
      </w:pPr>
    </w:p>
    <w:p>
      <w:pPr>
        <w:pStyle w:val="Heading1"/>
        <w:spacing w:before="69"/>
        <w:ind w:left="753" w:right="1576"/>
      </w:pPr>
      <w:bookmarkStart w:name="_TOC_250014" w:id="9"/>
      <w:r>
        <w:rPr/>
        <w:t>CHAPTER</w:t>
      </w:r>
      <w:r>
        <w:rPr>
          <w:spacing w:val="-4"/>
        </w:rPr>
        <w:t> </w:t>
      </w:r>
      <w:bookmarkEnd w:id="9"/>
      <w:r>
        <w:rPr>
          <w:spacing w:val="-5"/>
        </w:rPr>
        <w:t>ONE</w:t>
      </w:r>
    </w:p>
    <w:p>
      <w:pPr>
        <w:pStyle w:val="BodyText"/>
        <w:spacing w:before="240"/>
        <w:rPr>
          <w:b/>
        </w:rPr>
      </w:pPr>
    </w:p>
    <w:p>
      <w:pPr>
        <w:pStyle w:val="Heading1"/>
        <w:numPr>
          <w:ilvl w:val="1"/>
          <w:numId w:val="8"/>
        </w:numPr>
        <w:tabs>
          <w:tab w:pos="3952" w:val="left" w:leader="none"/>
        </w:tabs>
        <w:spacing w:line="240" w:lineRule="auto" w:before="1" w:after="0"/>
        <w:ind w:left="3952" w:right="0" w:hanging="540"/>
        <w:jc w:val="left"/>
      </w:pPr>
      <w:bookmarkStart w:name="_TOC_250013" w:id="10"/>
      <w:bookmarkEnd w:id="10"/>
      <w:r>
        <w:rPr>
          <w:spacing w:val="-2"/>
        </w:rPr>
        <w:t>INTRODUCTION</w:t>
      </w:r>
    </w:p>
    <w:p>
      <w:pPr>
        <w:pStyle w:val="BodyText"/>
        <w:spacing w:before="240"/>
        <w:rPr>
          <w:b/>
        </w:rPr>
      </w:pPr>
    </w:p>
    <w:p>
      <w:pPr>
        <w:pStyle w:val="Heading2"/>
        <w:numPr>
          <w:ilvl w:val="1"/>
          <w:numId w:val="8"/>
        </w:numPr>
        <w:tabs>
          <w:tab w:pos="2908" w:val="left" w:leader="none"/>
        </w:tabs>
        <w:spacing w:line="480" w:lineRule="auto" w:before="0" w:after="0"/>
        <w:ind w:left="2908" w:right="869" w:hanging="720"/>
        <w:jc w:val="both"/>
      </w:pPr>
      <w:r>
        <w:rPr/>
        <w:t>Systemic</w:t>
      </w:r>
      <w:r>
        <w:rPr>
          <w:spacing w:val="-6"/>
        </w:rPr>
        <w:t> </w:t>
      </w:r>
      <w:r>
        <w:rPr/>
        <w:t>Responses</w:t>
      </w:r>
      <w:r>
        <w:rPr>
          <w:spacing w:val="-5"/>
        </w:rPr>
        <w:t> </w:t>
      </w:r>
      <w:r>
        <w:rPr/>
        <w:t>from</w:t>
      </w:r>
      <w:r>
        <w:rPr>
          <w:spacing w:val="-7"/>
        </w:rPr>
        <w:t> </w:t>
      </w:r>
      <w:r>
        <w:rPr/>
        <w:t>Microbial</w:t>
      </w:r>
      <w:r>
        <w:rPr>
          <w:spacing w:val="-6"/>
        </w:rPr>
        <w:t> </w:t>
      </w:r>
      <w:r>
        <w:rPr/>
        <w:t>Infections,</w:t>
      </w:r>
      <w:r>
        <w:rPr>
          <w:spacing w:val="-6"/>
        </w:rPr>
        <w:t> </w:t>
      </w:r>
      <w:r>
        <w:rPr/>
        <w:t>Drug</w:t>
      </w:r>
      <w:r>
        <w:rPr>
          <w:spacing w:val="-5"/>
        </w:rPr>
        <w:t> </w:t>
      </w:r>
      <w:r>
        <w:rPr/>
        <w:t>Therapy and Disease Related Immunosupression</w:t>
      </w:r>
    </w:p>
    <w:p>
      <w:pPr>
        <w:pStyle w:val="BodyText"/>
        <w:spacing w:line="480" w:lineRule="auto"/>
        <w:ind w:left="747" w:right="845"/>
        <w:jc w:val="both"/>
      </w:pPr>
      <w:r>
        <w:rPr/>
        <w:t>Generally, the human environment is full of various types of microbial organisms like bacteria, fungi and viruses. Infectious diseases caused by these microbes are major causes of death (Batanila </w:t>
      </w:r>
      <w:r>
        <w:rPr>
          <w:i/>
        </w:rPr>
        <w:t>et al</w:t>
      </w:r>
      <w:r>
        <w:rPr/>
        <w:t>., 2005). The World Health Organization (WHO, 2002) and</w:t>
      </w:r>
      <w:r>
        <w:rPr>
          <w:spacing w:val="-2"/>
        </w:rPr>
        <w:t> </w:t>
      </w:r>
      <w:r>
        <w:rPr/>
        <w:t>United</w:t>
      </w:r>
      <w:r>
        <w:rPr>
          <w:spacing w:val="-3"/>
        </w:rPr>
        <w:t> </w:t>
      </w:r>
      <w:r>
        <w:rPr/>
        <w:t>Nations</w:t>
      </w:r>
      <w:r>
        <w:rPr>
          <w:spacing w:val="-2"/>
        </w:rPr>
        <w:t> </w:t>
      </w:r>
      <w:r>
        <w:rPr/>
        <w:t>Programme</w:t>
      </w:r>
      <w:r>
        <w:rPr>
          <w:spacing w:val="-3"/>
        </w:rPr>
        <w:t> </w:t>
      </w:r>
      <w:r>
        <w:rPr/>
        <w:t>on</w:t>
      </w:r>
      <w:r>
        <w:rPr>
          <w:spacing w:val="-2"/>
        </w:rPr>
        <w:t> </w:t>
      </w:r>
      <w:r>
        <w:rPr/>
        <w:t>HIV/AIDS</w:t>
      </w:r>
      <w:r>
        <w:rPr>
          <w:spacing w:val="-2"/>
        </w:rPr>
        <w:t> </w:t>
      </w:r>
      <w:r>
        <w:rPr/>
        <w:t>(UNAID,</w:t>
      </w:r>
      <w:r>
        <w:rPr>
          <w:spacing w:val="-3"/>
        </w:rPr>
        <w:t> </w:t>
      </w:r>
      <w:r>
        <w:rPr/>
        <w:t>2007)</w:t>
      </w:r>
      <w:r>
        <w:rPr>
          <w:spacing w:val="-1"/>
        </w:rPr>
        <w:t> </w:t>
      </w:r>
      <w:r>
        <w:rPr/>
        <w:t>reported</w:t>
      </w:r>
      <w:r>
        <w:rPr>
          <w:spacing w:val="-2"/>
        </w:rPr>
        <w:t> </w:t>
      </w:r>
      <w:r>
        <w:rPr/>
        <w:t>that</w:t>
      </w:r>
      <w:r>
        <w:rPr>
          <w:spacing w:val="-2"/>
        </w:rPr>
        <w:t> </w:t>
      </w:r>
      <w:r>
        <w:rPr/>
        <w:t>between</w:t>
      </w:r>
      <w:r>
        <w:rPr>
          <w:spacing w:val="-2"/>
        </w:rPr>
        <w:t> </w:t>
      </w:r>
      <w:r>
        <w:rPr/>
        <w:t>14 and 17 million people consequently die of infectious diseases each year. The economic importance of microbial infections can never be over-emphasized with the fact that malaria, HIV/AIDS, hepatitis, urinary</w:t>
      </w:r>
      <w:r>
        <w:rPr>
          <w:spacing w:val="-3"/>
        </w:rPr>
        <w:t> </w:t>
      </w:r>
      <w:r>
        <w:rPr/>
        <w:t>tract infections (UTIs) and so forth are all serious global health problems of high morbidity</w:t>
      </w:r>
      <w:r>
        <w:rPr>
          <w:spacing w:val="-3"/>
        </w:rPr>
        <w:t> </w:t>
      </w:r>
      <w:r>
        <w:rPr/>
        <w:t>and mortality, and the complications that arise from these, such as anaemia in both malaria and HIV infections also call for concern (WHO, 2004). Many of these microbial diseases are scourges of developing nations including Africa, India, Southeast Asia and South America and since most of these infections interfere with cellular immune functions, protection against them will depend on cellular immunity.</w:t>
      </w:r>
    </w:p>
    <w:p>
      <w:pPr>
        <w:pStyle w:val="BodyText"/>
        <w:spacing w:before="273"/>
      </w:pPr>
    </w:p>
    <w:p>
      <w:pPr>
        <w:pStyle w:val="BodyText"/>
        <w:spacing w:line="480" w:lineRule="auto"/>
        <w:ind w:left="747" w:right="848"/>
        <w:jc w:val="both"/>
      </w:pPr>
      <w:r>
        <w:rPr/>
        <w:t>The</w:t>
      </w:r>
      <w:r>
        <w:rPr>
          <w:spacing w:val="-1"/>
        </w:rPr>
        <w:t> </w:t>
      </w:r>
      <w:r>
        <w:rPr/>
        <w:t>immune system is involved in the etiology</w:t>
      </w:r>
      <w:r>
        <w:rPr>
          <w:spacing w:val="-4"/>
        </w:rPr>
        <w:t> </w:t>
      </w:r>
      <w:r>
        <w:rPr/>
        <w:t>as well as pathophysiologic mechanisms of many diseases and agents that boost the immune system can provide supportive therapy to conventional chemotherapy (Fulzele </w:t>
      </w:r>
      <w:r>
        <w:rPr>
          <w:i/>
        </w:rPr>
        <w:t>et al</w:t>
      </w:r>
      <w:r>
        <w:rPr/>
        <w:t>., 2003). The immune system comprises mostly of the blood components and majorly the white blood cells, and thus, when suppressed may lead to reduction in blood cell counts (immunodeficiency) and susceptibility to infections (Baumann and Preiss, 2001).</w:t>
      </w:r>
    </w:p>
    <w:p>
      <w:pPr>
        <w:spacing w:after="0" w:line="480" w:lineRule="auto"/>
        <w:jc w:val="both"/>
        <w:sectPr>
          <w:footerReference w:type="default" r:id="rId6"/>
          <w:pgSz w:w="11910" w:h="16840"/>
          <w:pgMar w:header="0" w:footer="981" w:top="1320" w:bottom="1180" w:left="1240" w:right="560"/>
          <w:pgNumType w:start="1"/>
        </w:sectPr>
      </w:pPr>
    </w:p>
    <w:p>
      <w:pPr>
        <w:pStyle w:val="BodyText"/>
        <w:spacing w:line="480" w:lineRule="auto" w:before="64"/>
        <w:ind w:left="747" w:right="844"/>
        <w:jc w:val="both"/>
      </w:pPr>
      <w:r>
        <w:rPr/>
        <w:t>Some drug therapy also causes immunosuppression and in fact acquired neutopenia results from symptoms of medication overdose or toxicity (Suffredini </w:t>
      </w:r>
      <w:r>
        <w:rPr>
          <w:i/>
        </w:rPr>
        <w:t>et al</w:t>
      </w:r>
      <w:r>
        <w:rPr/>
        <w:t>., 1999). One severe consequence of neutropenia is that it can increase the risk of infection and over the years, the incidence of idiosyncratic drug-induced agranulocytosis (acute neutropenia) has remained stable at 2.4 – 15.4 cases per million despite the emergence</w:t>
      </w:r>
      <w:r>
        <w:rPr>
          <w:spacing w:val="40"/>
        </w:rPr>
        <w:t> </w:t>
      </w:r>
      <w:r>
        <w:rPr/>
        <w:t>of new causative drugs: antibiotics (beta-lactam and cotrimoxazole), antiplatelet agents (ticlopidine), antithyroid drugs, sulfasalazine, neuroleptics (clozapine), antiepileptic agents (carbamazepine), nonsteroidal anti-inflammatory agents and dipyrone (Andres </w:t>
      </w:r>
      <w:r>
        <w:rPr>
          <w:i/>
        </w:rPr>
        <w:t>et al</w:t>
      </w:r>
      <w:r>
        <w:rPr/>
        <w:t>., 2006). Drug-induced agranulocytosis remains a serious adverse event due to the occurrence of severe sepsis that gives rise to severe deep infections of pneumonia, septicemia and septic shock. Chemotherapy-induced febrile neutropenia especially of cytotoxic drugs is of common occurrence for a solid tumour or non-Hodgkin,s lymphoma (Gudrun </w:t>
      </w:r>
      <w:r>
        <w:rPr>
          <w:i/>
        </w:rPr>
        <w:t>et al</w:t>
      </w:r>
      <w:r>
        <w:rPr/>
        <w:t>., 2008). Cyclophosphamide an anticancer agent targeted to the tumour cells, but which at high dose in addition acts on the blood forming system (haematopoietic cells) to reduce the number of blood cells. Disease conditions like AIDs, diabetes, cancer and so forth also weakens the immune system to suppress immunity (Andres </w:t>
      </w:r>
      <w:r>
        <w:rPr>
          <w:i/>
        </w:rPr>
        <w:t>et al</w:t>
      </w:r>
      <w:r>
        <w:rPr/>
        <w:t>., 2010).</w:t>
      </w:r>
    </w:p>
    <w:p>
      <w:pPr>
        <w:pStyle w:val="BodyText"/>
      </w:pPr>
    </w:p>
    <w:p>
      <w:pPr>
        <w:pStyle w:val="BodyText"/>
        <w:spacing w:before="2"/>
      </w:pPr>
    </w:p>
    <w:p>
      <w:pPr>
        <w:pStyle w:val="BodyText"/>
        <w:spacing w:line="480" w:lineRule="auto" w:before="1"/>
        <w:ind w:left="747" w:right="844"/>
        <w:jc w:val="both"/>
      </w:pPr>
      <w:r>
        <w:rPr/>
        <w:t>The immune system as with other physiologic systems is carefully regulated in its function of maintaining homeostasis by generating protective responses that ensure</w:t>
      </w:r>
      <w:r>
        <w:rPr>
          <w:spacing w:val="40"/>
        </w:rPr>
        <w:t> </w:t>
      </w:r>
      <w:r>
        <w:rPr/>
        <w:t>good health. Disturbances in these regulatory mechanisms as may be caused by infections, disease states or drug-induced toxicities may have disastrous consequences. The</w:t>
      </w:r>
      <w:r>
        <w:rPr>
          <w:spacing w:val="-2"/>
        </w:rPr>
        <w:t> </w:t>
      </w:r>
      <w:r>
        <w:rPr/>
        <w:t>WBCs are</w:t>
      </w:r>
      <w:r>
        <w:rPr>
          <w:spacing w:val="-2"/>
        </w:rPr>
        <w:t> </w:t>
      </w:r>
      <w:r>
        <w:rPr/>
        <w:t>cells of</w:t>
      </w:r>
      <w:r>
        <w:rPr>
          <w:spacing w:val="-1"/>
        </w:rPr>
        <w:t> </w:t>
      </w:r>
      <w:r>
        <w:rPr/>
        <w:t>the</w:t>
      </w:r>
      <w:r>
        <w:rPr>
          <w:spacing w:val="-1"/>
        </w:rPr>
        <w:t> </w:t>
      </w:r>
      <w:r>
        <w:rPr/>
        <w:t>immune</w:t>
      </w:r>
      <w:r>
        <w:rPr>
          <w:spacing w:val="-1"/>
        </w:rPr>
        <w:t> </w:t>
      </w:r>
      <w:r>
        <w:rPr/>
        <w:t>system most actively</w:t>
      </w:r>
      <w:r>
        <w:rPr>
          <w:spacing w:val="-5"/>
        </w:rPr>
        <w:t> </w:t>
      </w:r>
      <w:r>
        <w:rPr/>
        <w:t>involved in immune</w:t>
      </w:r>
      <w:r>
        <w:rPr>
          <w:spacing w:val="-1"/>
        </w:rPr>
        <w:t> </w:t>
      </w:r>
      <w:r>
        <w:rPr/>
        <w:t>regulation and are found in their various types throughout the body, particularly the blood and lymphatic</w:t>
      </w:r>
      <w:r>
        <w:rPr>
          <w:spacing w:val="46"/>
        </w:rPr>
        <w:t> </w:t>
      </w:r>
      <w:r>
        <w:rPr/>
        <w:t>system</w:t>
      </w:r>
      <w:r>
        <w:rPr>
          <w:spacing w:val="48"/>
        </w:rPr>
        <w:t> </w:t>
      </w:r>
      <w:r>
        <w:rPr/>
        <w:t>whereby</w:t>
      </w:r>
      <w:r>
        <w:rPr>
          <w:spacing w:val="41"/>
        </w:rPr>
        <w:t> </w:t>
      </w:r>
      <w:r>
        <w:rPr/>
        <w:t>some</w:t>
      </w:r>
      <w:r>
        <w:rPr>
          <w:spacing w:val="46"/>
        </w:rPr>
        <w:t> </w:t>
      </w:r>
      <w:r>
        <w:rPr/>
        <w:t>act</w:t>
      </w:r>
      <w:r>
        <w:rPr>
          <w:spacing w:val="49"/>
        </w:rPr>
        <w:t> </w:t>
      </w:r>
      <w:r>
        <w:rPr/>
        <w:t>as</w:t>
      </w:r>
      <w:r>
        <w:rPr>
          <w:spacing w:val="48"/>
        </w:rPr>
        <w:t> </w:t>
      </w:r>
      <w:r>
        <w:rPr/>
        <w:t>phagocytes</w:t>
      </w:r>
      <w:r>
        <w:rPr>
          <w:spacing w:val="48"/>
        </w:rPr>
        <w:t> </w:t>
      </w:r>
      <w:r>
        <w:rPr/>
        <w:t>-</w:t>
      </w:r>
      <w:r>
        <w:rPr>
          <w:spacing w:val="46"/>
        </w:rPr>
        <w:t> </w:t>
      </w:r>
      <w:r>
        <w:rPr/>
        <w:t>ingesting</w:t>
      </w:r>
      <w:r>
        <w:rPr>
          <w:spacing w:val="44"/>
        </w:rPr>
        <w:t> </w:t>
      </w:r>
      <w:r>
        <w:rPr/>
        <w:t>bacteria,</w:t>
      </w:r>
      <w:r>
        <w:rPr>
          <w:spacing w:val="46"/>
        </w:rPr>
        <w:t> </w:t>
      </w:r>
      <w:r>
        <w:rPr/>
        <w:t>viruses</w:t>
      </w:r>
      <w:r>
        <w:rPr>
          <w:spacing w:val="48"/>
        </w:rPr>
        <w:t> </w:t>
      </w:r>
      <w:r>
        <w:rPr>
          <w:spacing w:val="-5"/>
        </w:rPr>
        <w:t>and</w:t>
      </w:r>
    </w:p>
    <w:p>
      <w:pPr>
        <w:spacing w:after="0" w:line="480" w:lineRule="auto"/>
        <w:jc w:val="both"/>
        <w:sectPr>
          <w:pgSz w:w="11910" w:h="16840"/>
          <w:pgMar w:header="0" w:footer="981" w:top="1320" w:bottom="1180" w:left="1240" w:right="560"/>
        </w:sectPr>
      </w:pPr>
    </w:p>
    <w:p>
      <w:pPr>
        <w:pStyle w:val="BodyText"/>
        <w:spacing w:line="480" w:lineRule="auto" w:before="64"/>
        <w:ind w:left="747" w:right="844"/>
        <w:jc w:val="both"/>
      </w:pPr>
      <w:r>
        <w:rPr/>
        <w:t>cellular debris, and others releasing enzymatic granules that damage pathogenic</w:t>
      </w:r>
      <w:r>
        <w:rPr>
          <w:spacing w:val="40"/>
        </w:rPr>
        <w:t> </w:t>
      </w:r>
      <w:r>
        <w:rPr/>
        <w:t>invaders (May and Machesky, 2001). Normally, the vascular tissues’ response to</w:t>
      </w:r>
      <w:r>
        <w:rPr>
          <w:spacing w:val="40"/>
        </w:rPr>
        <w:t> </w:t>
      </w:r>
      <w:r>
        <w:rPr/>
        <w:t>remove harmful stimuli or initiate a healing process is via inflammation and such developed inflammatory responses are usually maintained by inflammatory mediators released by Leucocytes (Serhan, 2008).</w:t>
      </w:r>
    </w:p>
    <w:p>
      <w:pPr>
        <w:pStyle w:val="BodyText"/>
      </w:pPr>
    </w:p>
    <w:p>
      <w:pPr>
        <w:pStyle w:val="BodyText"/>
        <w:spacing w:before="1"/>
      </w:pPr>
    </w:p>
    <w:p>
      <w:pPr>
        <w:pStyle w:val="BodyText"/>
        <w:spacing w:line="480" w:lineRule="auto"/>
        <w:ind w:left="747" w:right="844"/>
        <w:jc w:val="both"/>
      </w:pPr>
      <w:r>
        <w:rPr/>
        <w:t>Inflammation is part of the complex biological response of vascular tissues to harmful stimuli of pathogens, damaged cells, or irritants (Ferrero-Miliani </w:t>
      </w:r>
      <w:r>
        <w:rPr>
          <w:i/>
        </w:rPr>
        <w:t>et al</w:t>
      </w:r>
      <w:r>
        <w:rPr/>
        <w:t>., 2007). It is a protective response by the organism to remove the injurious stimuli and to initiate a healing process and it is often considered a mechanism of innate immunity because of</w:t>
      </w:r>
      <w:r>
        <w:rPr>
          <w:spacing w:val="40"/>
        </w:rPr>
        <w:t> </w:t>
      </w:r>
      <w:r>
        <w:rPr/>
        <w:t>its stereotypic nature (Abbas and Lichtman, 2003). In its acute phase, the vascular tissues floods plasma and leukocytes (especially granulocytes) from the blood into the site of the stimulus and which produce classical signs as pain, heat, redness, swelling, and loss of function (Kawai and Akira, 2006). If the offending stimulus is not contained or destroyed by</w:t>
      </w:r>
      <w:r>
        <w:rPr>
          <w:spacing w:val="-1"/>
        </w:rPr>
        <w:t> </w:t>
      </w:r>
      <w:r>
        <w:rPr/>
        <w:t>the actions of such acute phase-inflammatory-mediators, it gains access to the lymphatic system to infect the lymph vessels (lymphangitis) and lymph node (lymphadenitis). Such infection may spread further through lymphatic-bloodstream drainage into the circulatory system to involve the local vascular system and the</w:t>
      </w:r>
      <w:r>
        <w:rPr>
          <w:spacing w:val="40"/>
        </w:rPr>
        <w:t> </w:t>
      </w:r>
      <w:r>
        <w:rPr/>
        <w:t>immune system resulting in prolonged or chronic inflammation (Eming </w:t>
      </w:r>
      <w:r>
        <w:rPr>
          <w:i/>
        </w:rPr>
        <w:t>et al</w:t>
      </w:r>
      <w:r>
        <w:rPr/>
        <w:t>., 2007).</w:t>
      </w:r>
    </w:p>
    <w:p>
      <w:pPr>
        <w:pStyle w:val="BodyText"/>
      </w:pPr>
    </w:p>
    <w:p>
      <w:pPr>
        <w:pStyle w:val="BodyText"/>
        <w:spacing w:before="2"/>
      </w:pPr>
    </w:p>
    <w:p>
      <w:pPr>
        <w:pStyle w:val="BodyText"/>
        <w:spacing w:line="480" w:lineRule="auto"/>
        <w:ind w:left="747" w:right="843"/>
        <w:jc w:val="both"/>
      </w:pPr>
      <w:r>
        <w:rPr/>
        <w:t>The propagation of inflammatory responses of this type is often characterized by simultaneous progressive destruction of tissue cells, which when overwhelms the host defense, results in systemic inflammatory immune response syndromes. This condition of</w:t>
      </w:r>
      <w:r>
        <w:rPr>
          <w:spacing w:val="-1"/>
        </w:rPr>
        <w:t> </w:t>
      </w:r>
      <w:r>
        <w:rPr/>
        <w:t>chronic inflammation is characterized by</w:t>
      </w:r>
      <w:r>
        <w:rPr>
          <w:spacing w:val="-3"/>
        </w:rPr>
        <w:t> </w:t>
      </w:r>
      <w:r>
        <w:rPr/>
        <w:t>severe</w:t>
      </w:r>
      <w:r>
        <w:rPr>
          <w:spacing w:val="-1"/>
        </w:rPr>
        <w:t> </w:t>
      </w:r>
      <w:r>
        <w:rPr/>
        <w:t>sepsis and changes in the quality</w:t>
      </w:r>
      <w:r>
        <w:rPr>
          <w:spacing w:val="-3"/>
        </w:rPr>
        <w:t> </w:t>
      </w:r>
      <w:r>
        <w:rPr/>
        <w:t>and quantity</w:t>
      </w:r>
      <w:r>
        <w:rPr>
          <w:spacing w:val="76"/>
        </w:rPr>
        <w:t> </w:t>
      </w:r>
      <w:r>
        <w:rPr/>
        <w:t>of</w:t>
      </w:r>
      <w:r>
        <w:rPr>
          <w:spacing w:val="54"/>
          <w:w w:val="150"/>
        </w:rPr>
        <w:t> </w:t>
      </w:r>
      <w:r>
        <w:rPr/>
        <w:t>leucocytes</w:t>
      </w:r>
      <w:r>
        <w:rPr>
          <w:spacing w:val="56"/>
          <w:w w:val="150"/>
        </w:rPr>
        <w:t> </w:t>
      </w:r>
      <w:r>
        <w:rPr/>
        <w:t>and</w:t>
      </w:r>
      <w:r>
        <w:rPr>
          <w:spacing w:val="55"/>
          <w:w w:val="150"/>
        </w:rPr>
        <w:t> </w:t>
      </w:r>
      <w:r>
        <w:rPr/>
        <w:t>examples</w:t>
      </w:r>
      <w:r>
        <w:rPr>
          <w:spacing w:val="57"/>
          <w:w w:val="150"/>
        </w:rPr>
        <w:t> </w:t>
      </w:r>
      <w:r>
        <w:rPr/>
        <w:t>include</w:t>
      </w:r>
      <w:r>
        <w:rPr>
          <w:spacing w:val="54"/>
          <w:w w:val="150"/>
        </w:rPr>
        <w:t> </w:t>
      </w:r>
      <w:r>
        <w:rPr/>
        <w:t>septic</w:t>
      </w:r>
      <w:r>
        <w:rPr>
          <w:spacing w:val="54"/>
          <w:w w:val="150"/>
        </w:rPr>
        <w:t> </w:t>
      </w:r>
      <w:r>
        <w:rPr/>
        <w:t>bacterial</w:t>
      </w:r>
      <w:r>
        <w:rPr>
          <w:spacing w:val="55"/>
          <w:w w:val="150"/>
        </w:rPr>
        <w:t> </w:t>
      </w:r>
      <w:r>
        <w:rPr/>
        <w:t>infections</w:t>
      </w:r>
      <w:r>
        <w:rPr>
          <w:spacing w:val="56"/>
          <w:w w:val="150"/>
        </w:rPr>
        <w:t> </w:t>
      </w:r>
      <w:r>
        <w:rPr>
          <w:spacing w:val="-2"/>
        </w:rPr>
        <w:t>including</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peritonitis; hypersensitivity reactions especially of the delayed type and so forth (Carol, </w:t>
      </w:r>
      <w:r>
        <w:rPr>
          <w:spacing w:val="-2"/>
        </w:rPr>
        <w:t>2007).</w:t>
      </w:r>
    </w:p>
    <w:p>
      <w:pPr>
        <w:pStyle w:val="BodyText"/>
      </w:pPr>
    </w:p>
    <w:p>
      <w:pPr>
        <w:pStyle w:val="BodyText"/>
        <w:spacing w:before="1"/>
      </w:pPr>
    </w:p>
    <w:p>
      <w:pPr>
        <w:pStyle w:val="BodyText"/>
        <w:spacing w:line="480" w:lineRule="auto"/>
        <w:ind w:left="747" w:right="846"/>
        <w:jc w:val="both"/>
      </w:pPr>
      <w:r>
        <w:rPr/>
        <w:t>The increase in the number of immature white blood cells (leucocytosis) or reduction in leucocyte counts (leucopenia) in circulation is commonly of reactive to infection which often triggers inflammation (Parakrama and Clive, 2005). Inflammation that occur in</w:t>
      </w:r>
      <w:r>
        <w:rPr>
          <w:spacing w:val="80"/>
        </w:rPr>
        <w:t> </w:t>
      </w:r>
      <w:r>
        <w:rPr/>
        <w:t>the absence of infection (such as in atherosclerosis) are usually described as</w:t>
      </w:r>
      <w:r>
        <w:rPr>
          <w:spacing w:val="80"/>
        </w:rPr>
        <w:t> </w:t>
      </w:r>
      <w:r>
        <w:rPr/>
        <w:t>maladaptive (Allison </w:t>
      </w:r>
      <w:r>
        <w:rPr>
          <w:i/>
        </w:rPr>
        <w:t>et al</w:t>
      </w:r>
      <w:r>
        <w:rPr/>
        <w:t>., 2013). Leucopenia may be due to decreased production by the bone marrow or increased removal particularly of neutrophils that are not able to renew their used up lysosomes in digesting microbes and so often die after each activity (Bruce </w:t>
      </w:r>
      <w:r>
        <w:rPr>
          <w:i/>
        </w:rPr>
        <w:t>et al</w:t>
      </w:r>
      <w:r>
        <w:rPr/>
        <w:t>., 2002).</w:t>
      </w:r>
    </w:p>
    <w:p>
      <w:pPr>
        <w:pStyle w:val="BodyText"/>
      </w:pPr>
    </w:p>
    <w:p>
      <w:pPr>
        <w:pStyle w:val="BodyText"/>
        <w:spacing w:before="1"/>
      </w:pPr>
    </w:p>
    <w:p>
      <w:pPr>
        <w:pStyle w:val="BodyText"/>
        <w:spacing w:line="480" w:lineRule="auto"/>
        <w:ind w:left="747" w:right="845"/>
        <w:jc w:val="both"/>
      </w:pPr>
      <w:r>
        <w:rPr/>
        <w:t>Sepsis</w:t>
      </w:r>
      <w:r>
        <w:rPr>
          <w:spacing w:val="-1"/>
        </w:rPr>
        <w:t> </w:t>
      </w:r>
      <w:r>
        <w:rPr/>
        <w:t>or</w:t>
      </w:r>
      <w:r>
        <w:rPr>
          <w:spacing w:val="-3"/>
        </w:rPr>
        <w:t> </w:t>
      </w:r>
      <w:r>
        <w:rPr/>
        <w:t>septic</w:t>
      </w:r>
      <w:r>
        <w:rPr>
          <w:spacing w:val="-2"/>
        </w:rPr>
        <w:t> </w:t>
      </w:r>
      <w:r>
        <w:rPr/>
        <w:t>bacterial infections is</w:t>
      </w:r>
      <w:r>
        <w:rPr>
          <w:spacing w:val="-2"/>
        </w:rPr>
        <w:t> </w:t>
      </w:r>
      <w:r>
        <w:rPr/>
        <w:t>a</w:t>
      </w:r>
      <w:r>
        <w:rPr>
          <w:spacing w:val="-2"/>
        </w:rPr>
        <w:t> </w:t>
      </w:r>
      <w:r>
        <w:rPr/>
        <w:t>potentially</w:t>
      </w:r>
      <w:r>
        <w:rPr>
          <w:spacing w:val="-5"/>
        </w:rPr>
        <w:t> </w:t>
      </w:r>
      <w:r>
        <w:rPr/>
        <w:t>dangerous</w:t>
      </w:r>
      <w:r>
        <w:rPr>
          <w:spacing w:val="-2"/>
        </w:rPr>
        <w:t> </w:t>
      </w:r>
      <w:r>
        <w:rPr/>
        <w:t>or</w:t>
      </w:r>
      <w:r>
        <w:rPr>
          <w:spacing w:val="-2"/>
        </w:rPr>
        <w:t> </w:t>
      </w:r>
      <w:r>
        <w:rPr/>
        <w:t>life</w:t>
      </w:r>
      <w:r>
        <w:rPr>
          <w:spacing w:val="-4"/>
        </w:rPr>
        <w:t> </w:t>
      </w:r>
      <w:r>
        <w:rPr/>
        <w:t>threatening</w:t>
      </w:r>
      <w:r>
        <w:rPr>
          <w:spacing w:val="-4"/>
        </w:rPr>
        <w:t> </w:t>
      </w:r>
      <w:r>
        <w:rPr/>
        <w:t>medical condition</w:t>
      </w:r>
      <w:r>
        <w:rPr>
          <w:spacing w:val="-1"/>
        </w:rPr>
        <w:t> </w:t>
      </w:r>
      <w:r>
        <w:rPr/>
        <w:t>in</w:t>
      </w:r>
      <w:r>
        <w:rPr>
          <w:spacing w:val="-1"/>
        </w:rPr>
        <w:t> </w:t>
      </w:r>
      <w:r>
        <w:rPr/>
        <w:t>which</w:t>
      </w:r>
      <w:r>
        <w:rPr>
          <w:spacing w:val="-1"/>
        </w:rPr>
        <w:t> </w:t>
      </w:r>
      <w:r>
        <w:rPr/>
        <w:t>there is</w:t>
      </w:r>
      <w:r>
        <w:rPr>
          <w:spacing w:val="-1"/>
        </w:rPr>
        <w:t> </w:t>
      </w:r>
      <w:r>
        <w:rPr/>
        <w:t>the</w:t>
      </w:r>
      <w:r>
        <w:rPr>
          <w:spacing w:val="-2"/>
        </w:rPr>
        <w:t> </w:t>
      </w:r>
      <w:r>
        <w:rPr/>
        <w:t>presence</w:t>
      </w:r>
      <w:r>
        <w:rPr>
          <w:spacing w:val="-2"/>
        </w:rPr>
        <w:t> </w:t>
      </w:r>
      <w:r>
        <w:rPr/>
        <w:t>of</w:t>
      </w:r>
      <w:r>
        <w:rPr>
          <w:spacing w:val="-2"/>
        </w:rPr>
        <w:t> </w:t>
      </w:r>
      <w:r>
        <w:rPr/>
        <w:t>harmful toxins</w:t>
      </w:r>
      <w:r>
        <w:rPr>
          <w:spacing w:val="-1"/>
        </w:rPr>
        <w:t> </w:t>
      </w:r>
      <w:r>
        <w:rPr/>
        <w:t>of</w:t>
      </w:r>
      <w:r>
        <w:rPr>
          <w:spacing w:val="-2"/>
        </w:rPr>
        <w:t> </w:t>
      </w:r>
      <w:r>
        <w:rPr/>
        <w:t>bacteria</w:t>
      </w:r>
      <w:r>
        <w:rPr>
          <w:spacing w:val="-2"/>
        </w:rPr>
        <w:t> </w:t>
      </w:r>
      <w:r>
        <w:rPr/>
        <w:t>or</w:t>
      </w:r>
      <w:r>
        <w:rPr>
          <w:spacing w:val="-2"/>
        </w:rPr>
        <w:t> </w:t>
      </w:r>
      <w:r>
        <w:rPr/>
        <w:t>other organisms in tissue wounds (Pavlidis, 2003). Usually it is the chemicals released into the blood to fight the septic infection that cause inflammation over the entire body, causing</w:t>
      </w:r>
      <w:r>
        <w:rPr>
          <w:spacing w:val="40"/>
        </w:rPr>
        <w:t> </w:t>
      </w:r>
      <w:r>
        <w:rPr/>
        <w:t>formation of tiny</w:t>
      </w:r>
      <w:r>
        <w:rPr>
          <w:spacing w:val="-3"/>
        </w:rPr>
        <w:t> </w:t>
      </w:r>
      <w:r>
        <w:rPr/>
        <w:t>blood clots that block oxygen from vital organs and resulting in septic shock, organ failure and threatening drop in blood pressure (Tsiotou </w:t>
      </w:r>
      <w:r>
        <w:rPr>
          <w:i/>
        </w:rPr>
        <w:t>et al</w:t>
      </w:r>
      <w:r>
        <w:rPr/>
        <w:t>., 2005). The risk of sepsis is more in conditions of suppressed immune system. Introduction of bacterial organisms into an otherwise sterile peritoneal environment is most times associated with severe septic shock (Bruce </w:t>
      </w:r>
      <w:r>
        <w:rPr>
          <w:i/>
        </w:rPr>
        <w:t>et al</w:t>
      </w:r>
      <w:r>
        <w:rPr/>
        <w:t>., 2002; Tsiotou </w:t>
      </w:r>
      <w:r>
        <w:rPr>
          <w:i/>
        </w:rPr>
        <w:t>et al</w:t>
      </w:r>
      <w:r>
        <w:rPr/>
        <w:t>., 2005). </w:t>
      </w:r>
      <w:r>
        <w:rPr>
          <w:sz w:val="22"/>
        </w:rPr>
        <w:t>Infections</w:t>
      </w:r>
      <w:r>
        <w:rPr>
          <w:spacing w:val="40"/>
          <w:sz w:val="22"/>
        </w:rPr>
        <w:t> </w:t>
      </w:r>
      <w:r>
        <w:rPr>
          <w:sz w:val="22"/>
        </w:rPr>
        <w:t>of the peritoneum can be generalized (peritonitis) or localized (intra-abdominal abscess). </w:t>
      </w:r>
      <w:r>
        <w:rPr/>
        <w:t>There are primary, secondary and tertiary stages of peritonitis, but the primary form is that occurring</w:t>
      </w:r>
      <w:r>
        <w:rPr>
          <w:spacing w:val="27"/>
        </w:rPr>
        <w:t> </w:t>
      </w:r>
      <w:r>
        <w:rPr/>
        <w:t>in</w:t>
      </w:r>
      <w:r>
        <w:rPr>
          <w:spacing w:val="32"/>
        </w:rPr>
        <w:t> </w:t>
      </w:r>
      <w:r>
        <w:rPr/>
        <w:t>immunocompromised</w:t>
      </w:r>
      <w:r>
        <w:rPr>
          <w:spacing w:val="33"/>
        </w:rPr>
        <w:t> </w:t>
      </w:r>
      <w:r>
        <w:rPr/>
        <w:t>conditions</w:t>
      </w:r>
      <w:r>
        <w:rPr>
          <w:spacing w:val="33"/>
        </w:rPr>
        <w:t> </w:t>
      </w:r>
      <w:r>
        <w:rPr/>
        <w:t>as</w:t>
      </w:r>
      <w:r>
        <w:rPr>
          <w:spacing w:val="33"/>
        </w:rPr>
        <w:t> </w:t>
      </w:r>
      <w:r>
        <w:rPr/>
        <w:t>against</w:t>
      </w:r>
      <w:r>
        <w:rPr>
          <w:spacing w:val="33"/>
        </w:rPr>
        <w:t> </w:t>
      </w:r>
      <w:r>
        <w:rPr/>
        <w:t>the</w:t>
      </w:r>
      <w:r>
        <w:rPr>
          <w:spacing w:val="31"/>
        </w:rPr>
        <w:t> </w:t>
      </w:r>
      <w:r>
        <w:rPr/>
        <w:t>secondary</w:t>
      </w:r>
      <w:r>
        <w:rPr>
          <w:spacing w:val="30"/>
        </w:rPr>
        <w:t> </w:t>
      </w:r>
      <w:r>
        <w:rPr/>
        <w:t>relating</w:t>
      </w:r>
      <w:r>
        <w:rPr>
          <w:spacing w:val="32"/>
        </w:rPr>
        <w:t> </w:t>
      </w:r>
      <w:r>
        <w:rPr/>
        <w:t>to</w:t>
      </w:r>
      <w:r>
        <w:rPr>
          <w:spacing w:val="33"/>
        </w:rPr>
        <w:t> </w:t>
      </w:r>
      <w:r>
        <w:rPr>
          <w:spacing w:val="-5"/>
        </w:rPr>
        <w:t>the</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pathologic process in the visceral organ; and the tertiary from recurrent cases (Morrell, </w:t>
      </w:r>
      <w:r>
        <w:rPr>
          <w:spacing w:val="-2"/>
        </w:rPr>
        <w:t>2009).</w:t>
      </w:r>
    </w:p>
    <w:p>
      <w:pPr>
        <w:pStyle w:val="BodyText"/>
      </w:pPr>
    </w:p>
    <w:p>
      <w:pPr>
        <w:pStyle w:val="BodyText"/>
        <w:spacing w:before="1"/>
      </w:pPr>
    </w:p>
    <w:p>
      <w:pPr>
        <w:pStyle w:val="BodyText"/>
        <w:spacing w:line="480" w:lineRule="auto"/>
        <w:ind w:left="747" w:right="846"/>
        <w:jc w:val="both"/>
      </w:pPr>
      <w:r>
        <w:rPr/>
        <w:t>Delayed (Type IV) hypersensitivity reaction is an exaggerated immune reaction to an invading</w:t>
      </w:r>
      <w:r>
        <w:rPr>
          <w:spacing w:val="-3"/>
        </w:rPr>
        <w:t> </w:t>
      </w:r>
      <w:r>
        <w:rPr/>
        <w:t>pathogen</w:t>
      </w:r>
      <w:r>
        <w:rPr>
          <w:spacing w:val="-1"/>
        </w:rPr>
        <w:t> </w:t>
      </w:r>
      <w:r>
        <w:rPr/>
        <w:t>(mycobacteria, fungi,</w:t>
      </w:r>
      <w:r>
        <w:rPr>
          <w:spacing w:val="-1"/>
        </w:rPr>
        <w:t> </w:t>
      </w:r>
      <w:r>
        <w:rPr/>
        <w:t>virus</w:t>
      </w:r>
      <w:r>
        <w:rPr>
          <w:spacing w:val="-1"/>
        </w:rPr>
        <w:t> </w:t>
      </w:r>
      <w:r>
        <w:rPr/>
        <w:t>and</w:t>
      </w:r>
      <w:r>
        <w:rPr>
          <w:spacing w:val="-1"/>
        </w:rPr>
        <w:t> </w:t>
      </w:r>
      <w:r>
        <w:rPr/>
        <w:t>other</w:t>
      </w:r>
      <w:r>
        <w:rPr>
          <w:spacing w:val="-3"/>
        </w:rPr>
        <w:t> </w:t>
      </w:r>
      <w:r>
        <w:rPr/>
        <w:t>parasites)</w:t>
      </w:r>
      <w:r>
        <w:rPr>
          <w:spacing w:val="-2"/>
        </w:rPr>
        <w:t> </w:t>
      </w:r>
      <w:r>
        <w:rPr/>
        <w:t>that is</w:t>
      </w:r>
      <w:r>
        <w:rPr>
          <w:spacing w:val="-1"/>
        </w:rPr>
        <w:t> </w:t>
      </w:r>
      <w:r>
        <w:rPr/>
        <w:t>also</w:t>
      </w:r>
      <w:r>
        <w:rPr>
          <w:spacing w:val="-1"/>
        </w:rPr>
        <w:t> </w:t>
      </w:r>
      <w:r>
        <w:rPr/>
        <w:t>protective in nature and often initiated by</w:t>
      </w:r>
      <w:r>
        <w:rPr>
          <w:spacing w:val="-1"/>
        </w:rPr>
        <w:t> </w:t>
      </w:r>
      <w:r>
        <w:rPr/>
        <w:t>immune cells called mononuclear leukocytes. Following an exposure to an antigen, there is a delay (48 to 72 hours) response whereby T cells</w:t>
      </w:r>
      <w:r>
        <w:rPr>
          <w:spacing w:val="40"/>
        </w:rPr>
        <w:t> </w:t>
      </w:r>
      <w:r>
        <w:rPr/>
        <w:t>that recognize the antigen can do one of two things: (1) directly destroy the antigen (killer T cells) or (2) help trigger infiltration of mononuclear leukocytes to destroy the antigen (helper T cells) (Ariza </w:t>
      </w:r>
      <w:r>
        <w:rPr>
          <w:i/>
        </w:rPr>
        <w:t>et al</w:t>
      </w:r>
      <w:r>
        <w:rPr/>
        <w:t>., 2014).</w:t>
      </w:r>
    </w:p>
    <w:p>
      <w:pPr>
        <w:pStyle w:val="BodyText"/>
      </w:pPr>
    </w:p>
    <w:p>
      <w:pPr>
        <w:pStyle w:val="BodyText"/>
        <w:spacing w:before="6"/>
      </w:pPr>
    </w:p>
    <w:p>
      <w:pPr>
        <w:pStyle w:val="Heading2"/>
        <w:numPr>
          <w:ilvl w:val="1"/>
          <w:numId w:val="8"/>
        </w:numPr>
        <w:tabs>
          <w:tab w:pos="3798" w:val="left" w:leader="none"/>
        </w:tabs>
        <w:spacing w:line="240" w:lineRule="auto" w:before="0" w:after="0"/>
        <w:ind w:left="3798" w:right="0" w:hanging="840"/>
        <w:jc w:val="both"/>
      </w:pPr>
      <w:bookmarkStart w:name="_TOC_250012" w:id="11"/>
      <w:r>
        <w:rPr/>
        <w:t>Statement</w:t>
      </w:r>
      <w:r>
        <w:rPr>
          <w:spacing w:val="-3"/>
        </w:rPr>
        <w:t> </w:t>
      </w:r>
      <w:r>
        <w:rPr/>
        <w:t>of</w:t>
      </w:r>
      <w:r>
        <w:rPr>
          <w:spacing w:val="-2"/>
        </w:rPr>
        <w:t> </w:t>
      </w:r>
      <w:r>
        <w:rPr/>
        <w:t>Research </w:t>
      </w:r>
      <w:bookmarkEnd w:id="11"/>
      <w:r>
        <w:rPr>
          <w:spacing w:val="-2"/>
        </w:rPr>
        <w:t>Problem</w:t>
      </w:r>
    </w:p>
    <w:p>
      <w:pPr>
        <w:pStyle w:val="BodyText"/>
        <w:spacing w:line="480" w:lineRule="auto" w:before="271"/>
        <w:ind w:left="747" w:right="848"/>
        <w:jc w:val="both"/>
      </w:pPr>
      <w:r>
        <w:rPr/>
        <w:t>Mankind especially</w:t>
      </w:r>
      <w:r>
        <w:rPr>
          <w:spacing w:val="-4"/>
        </w:rPr>
        <w:t> </w:t>
      </w:r>
      <w:r>
        <w:rPr/>
        <w:t>those</w:t>
      </w:r>
      <w:r>
        <w:rPr>
          <w:spacing w:val="-1"/>
        </w:rPr>
        <w:t> </w:t>
      </w:r>
      <w:r>
        <w:rPr/>
        <w:t>residing</w:t>
      </w:r>
      <w:r>
        <w:rPr>
          <w:spacing w:val="-3"/>
        </w:rPr>
        <w:t> </w:t>
      </w:r>
      <w:r>
        <w:rPr/>
        <w:t>in the</w:t>
      </w:r>
      <w:r>
        <w:rPr>
          <w:spacing w:val="-1"/>
        </w:rPr>
        <w:t> </w:t>
      </w:r>
      <w:r>
        <w:rPr/>
        <w:t>tropical parts of</w:t>
      </w:r>
      <w:r>
        <w:rPr>
          <w:spacing w:val="-1"/>
        </w:rPr>
        <w:t> </w:t>
      </w:r>
      <w:r>
        <w:rPr/>
        <w:t>the African continent of</w:t>
      </w:r>
      <w:r>
        <w:rPr>
          <w:spacing w:val="-1"/>
        </w:rPr>
        <w:t> </w:t>
      </w:r>
      <w:r>
        <w:rPr/>
        <w:t>which Nigeria is one, is constantly exposed to various types of microbial parasites like</w:t>
      </w:r>
      <w:r>
        <w:rPr>
          <w:spacing w:val="40"/>
        </w:rPr>
        <w:t> </w:t>
      </w:r>
      <w:r>
        <w:rPr/>
        <w:t>bacteria, fungi and viruses; and which are associated with infectious diseases of high morbidity and mortality (Bert </w:t>
      </w:r>
      <w:r>
        <w:rPr>
          <w:i/>
        </w:rPr>
        <w:t>et al</w:t>
      </w:r>
      <w:r>
        <w:rPr/>
        <w:t>., 2005).</w:t>
      </w:r>
      <w:r>
        <w:rPr>
          <w:spacing w:val="40"/>
        </w:rPr>
        <w:t> </w:t>
      </w:r>
      <w:r>
        <w:rPr/>
        <w:t>The effects of those microbial organisms include HIV/AIDS, hepatitis, urinary tract infections (UTIs), meningitis to mention but</w:t>
      </w:r>
      <w:r>
        <w:rPr>
          <w:spacing w:val="40"/>
        </w:rPr>
        <w:t> </w:t>
      </w:r>
      <w:r>
        <w:rPr/>
        <w:t>a few, and these are all serious global health problems.</w:t>
      </w:r>
    </w:p>
    <w:p>
      <w:pPr>
        <w:pStyle w:val="BodyText"/>
      </w:pPr>
    </w:p>
    <w:p>
      <w:pPr>
        <w:pStyle w:val="BodyText"/>
        <w:spacing w:before="1"/>
      </w:pPr>
    </w:p>
    <w:p>
      <w:pPr>
        <w:pStyle w:val="BodyText"/>
        <w:spacing w:line="480" w:lineRule="auto"/>
        <w:ind w:left="747" w:right="846"/>
        <w:jc w:val="both"/>
      </w:pPr>
      <w:r>
        <w:rPr/>
        <w:t>Neutrophils usually make up 50-70% of the circulating white blood cells and serves as the primary defense against infections by destroying bacteria in the blood (Thomas </w:t>
      </w:r>
      <w:r>
        <w:rPr>
          <w:i/>
        </w:rPr>
        <w:t>et al</w:t>
      </w:r>
      <w:r>
        <w:rPr/>
        <w:t>., 2003)</w:t>
      </w:r>
      <w:r>
        <w:rPr>
          <w:b/>
        </w:rPr>
        <w:t>. </w:t>
      </w:r>
      <w:r>
        <w:rPr/>
        <w:t>Reduced neutrophils is an immunodeficiency condition associated with greater</w:t>
      </w:r>
      <w:r>
        <w:rPr>
          <w:spacing w:val="-1"/>
        </w:rPr>
        <w:t> </w:t>
      </w:r>
      <w:r>
        <w:rPr/>
        <w:t>risk of</w:t>
      </w:r>
      <w:r>
        <w:rPr>
          <w:spacing w:val="-1"/>
        </w:rPr>
        <w:t> </w:t>
      </w:r>
      <w:r>
        <w:rPr/>
        <w:t>infection and a</w:t>
      </w:r>
      <w:r>
        <w:rPr>
          <w:spacing w:val="-1"/>
        </w:rPr>
        <w:t> </w:t>
      </w:r>
      <w:r>
        <w:rPr/>
        <w:t>variety</w:t>
      </w:r>
      <w:r>
        <w:rPr>
          <w:spacing w:val="-5"/>
        </w:rPr>
        <w:t> </w:t>
      </w:r>
      <w:r>
        <w:rPr/>
        <w:t>of</w:t>
      </w:r>
      <w:r>
        <w:rPr>
          <w:spacing w:val="-1"/>
        </w:rPr>
        <w:t> </w:t>
      </w:r>
      <w:r>
        <w:rPr/>
        <w:t>signs and symptoms of</w:t>
      </w:r>
      <w:r>
        <w:rPr>
          <w:spacing w:val="-1"/>
        </w:rPr>
        <w:t> </w:t>
      </w:r>
      <w:r>
        <w:rPr/>
        <w:t>many</w:t>
      </w:r>
      <w:r>
        <w:rPr>
          <w:spacing w:val="-8"/>
        </w:rPr>
        <w:t> </w:t>
      </w:r>
      <w:r>
        <w:rPr/>
        <w:t>diseases including most feverish conditions of body temperature above 38.5</w:t>
      </w:r>
      <w:r>
        <w:rPr>
          <w:rFonts w:ascii="Calibri" w:hAnsi="Calibri"/>
        </w:rPr>
        <w:t>⁰</w:t>
      </w:r>
      <w:r>
        <w:rPr/>
        <w:t>C/101.3</w:t>
      </w:r>
      <w:r>
        <w:rPr>
          <w:rFonts w:ascii="Calibri" w:hAnsi="Calibri"/>
        </w:rPr>
        <w:t>⁰</w:t>
      </w:r>
      <w:r>
        <w:rPr/>
        <w:t>F are often related to neutropenia (Bert </w:t>
      </w:r>
      <w:r>
        <w:rPr>
          <w:i/>
        </w:rPr>
        <w:t>et al</w:t>
      </w:r>
      <w:r>
        <w:rPr/>
        <w:t>., 2005).</w:t>
      </w:r>
    </w:p>
    <w:p>
      <w:pPr>
        <w:spacing w:after="0" w:line="480" w:lineRule="auto"/>
        <w:jc w:val="both"/>
        <w:sectPr>
          <w:pgSz w:w="11910" w:h="16840"/>
          <w:pgMar w:header="0" w:footer="981" w:top="1320" w:bottom="1180" w:left="1240" w:right="560"/>
        </w:sectPr>
      </w:pPr>
    </w:p>
    <w:p>
      <w:pPr>
        <w:pStyle w:val="BodyText"/>
        <w:spacing w:line="480" w:lineRule="auto" w:before="77"/>
        <w:ind w:left="747" w:right="844"/>
        <w:jc w:val="both"/>
      </w:pPr>
      <w:r>
        <w:rPr/>
        <w:t>Millions of deaths around the world are due to infection-triggered chronic inflammation with its associated septic shock. The risk of sepsis is more in conditions of weakened immune system and inflammation-associated sepsis affect millions of people around the world and kill more than 1 in 4 people who contract it (Dellinger, 2003). Septic</w:t>
      </w:r>
      <w:r>
        <w:rPr>
          <w:spacing w:val="80"/>
        </w:rPr>
        <w:t> </w:t>
      </w:r>
      <w:r>
        <w:rPr/>
        <w:t>bacterial infection is a potentially life threatening systemic inflammatory response syndrome of</w:t>
      </w:r>
      <w:r>
        <w:rPr>
          <w:spacing w:val="40"/>
        </w:rPr>
        <w:t> </w:t>
      </w:r>
      <w:r>
        <w:rPr/>
        <w:t>high mortality rate, which according to Dellinger (2003) accounts to 60- 70% death per year in the developing countries.</w:t>
      </w:r>
    </w:p>
    <w:p>
      <w:pPr>
        <w:pStyle w:val="BodyText"/>
      </w:pPr>
    </w:p>
    <w:p>
      <w:pPr>
        <w:pStyle w:val="BodyText"/>
        <w:spacing w:before="1"/>
      </w:pPr>
    </w:p>
    <w:p>
      <w:pPr>
        <w:pStyle w:val="BodyText"/>
        <w:spacing w:line="480" w:lineRule="auto"/>
        <w:ind w:left="747" w:right="846"/>
        <w:jc w:val="both"/>
      </w:pPr>
      <w:r>
        <w:rPr/>
        <w:t>The primary form of peritonitis which most at times is associated with severe septic shock occurs in immunocompromised conditions and is known to be a complication of cirrhosis and ascites which has world prevalence as high as 18% (Bruce </w:t>
      </w:r>
      <w:r>
        <w:rPr>
          <w:i/>
        </w:rPr>
        <w:t>et al</w:t>
      </w:r>
      <w:r>
        <w:rPr/>
        <w:t>., 2002).</w:t>
      </w:r>
    </w:p>
    <w:p>
      <w:pPr>
        <w:pStyle w:val="BodyText"/>
      </w:pPr>
    </w:p>
    <w:p>
      <w:pPr>
        <w:pStyle w:val="BodyText"/>
        <w:spacing w:before="5"/>
      </w:pPr>
    </w:p>
    <w:p>
      <w:pPr>
        <w:pStyle w:val="Heading2"/>
        <w:numPr>
          <w:ilvl w:val="1"/>
          <w:numId w:val="8"/>
        </w:numPr>
        <w:tabs>
          <w:tab w:pos="3748" w:val="left" w:leader="none"/>
        </w:tabs>
        <w:spacing w:line="240" w:lineRule="auto" w:before="0" w:after="0"/>
        <w:ind w:left="3748" w:right="0" w:hanging="840"/>
        <w:jc w:val="both"/>
      </w:pPr>
      <w:bookmarkStart w:name="_TOC_250011" w:id="12"/>
      <w:r>
        <w:rPr/>
        <w:t>Justification</w:t>
      </w:r>
      <w:r>
        <w:rPr>
          <w:spacing w:val="-3"/>
        </w:rPr>
        <w:t> </w:t>
      </w:r>
      <w:r>
        <w:rPr/>
        <w:t>of the</w:t>
      </w:r>
      <w:bookmarkEnd w:id="12"/>
      <w:r>
        <w:rPr>
          <w:spacing w:val="-2"/>
        </w:rPr>
        <w:t> Study</w:t>
      </w:r>
    </w:p>
    <w:p>
      <w:pPr>
        <w:pStyle w:val="BodyText"/>
        <w:spacing w:line="480" w:lineRule="auto" w:before="271"/>
        <w:ind w:left="747" w:right="847"/>
        <w:jc w:val="both"/>
      </w:pPr>
      <w:r>
        <w:rPr/>
        <w:t>The</w:t>
      </w:r>
      <w:r>
        <w:rPr>
          <w:spacing w:val="-1"/>
        </w:rPr>
        <w:t> </w:t>
      </w:r>
      <w:r>
        <w:rPr/>
        <w:t>immune system is involved in the etiology</w:t>
      </w:r>
      <w:r>
        <w:rPr>
          <w:spacing w:val="-4"/>
        </w:rPr>
        <w:t> </w:t>
      </w:r>
      <w:r>
        <w:rPr/>
        <w:t>as well as pathophysiologic mechanisms of many diseases and since most infections interfere with cellular immune functions, protection against them will depend on cellular immunity</w:t>
      </w:r>
      <w:r>
        <w:rPr>
          <w:spacing w:val="-5"/>
        </w:rPr>
        <w:t> </w:t>
      </w:r>
      <w:r>
        <w:rPr/>
        <w:t>and thus, agents that boost the immune system can provide supportive therapy to conventional chemotherapy (Fulzele </w:t>
      </w:r>
      <w:r>
        <w:rPr>
          <w:i/>
        </w:rPr>
        <w:t>et al</w:t>
      </w:r>
      <w:r>
        <w:rPr/>
        <w:t>., 2003).</w:t>
      </w:r>
    </w:p>
    <w:p>
      <w:pPr>
        <w:pStyle w:val="BodyText"/>
      </w:pPr>
    </w:p>
    <w:p>
      <w:pPr>
        <w:pStyle w:val="BodyText"/>
        <w:spacing w:before="1"/>
      </w:pPr>
    </w:p>
    <w:p>
      <w:pPr>
        <w:pStyle w:val="BodyText"/>
        <w:spacing w:line="480" w:lineRule="auto"/>
        <w:ind w:left="747" w:right="846"/>
        <w:jc w:val="both"/>
      </w:pPr>
      <w:r>
        <w:rPr/>
        <w:t>The need to look out for available natural plants that boosts the immune system is pertinent since</w:t>
      </w:r>
      <w:r>
        <w:rPr>
          <w:spacing w:val="-1"/>
        </w:rPr>
        <w:t> </w:t>
      </w:r>
      <w:r>
        <w:rPr/>
        <w:t>immunosuppression is a</w:t>
      </w:r>
      <w:r>
        <w:rPr>
          <w:spacing w:val="-1"/>
        </w:rPr>
        <w:t> </w:t>
      </w:r>
      <w:r>
        <w:rPr/>
        <w:t>frequently</w:t>
      </w:r>
      <w:r>
        <w:rPr>
          <w:spacing w:val="-2"/>
        </w:rPr>
        <w:t> </w:t>
      </w:r>
      <w:r>
        <w:rPr/>
        <w:t>encountered phenomenon via disease conditions, drug therapy as well as microbial infections which are in continuous association with mankind.</w:t>
      </w:r>
    </w:p>
    <w:p>
      <w:pPr>
        <w:spacing w:after="0" w:line="480" w:lineRule="auto"/>
        <w:jc w:val="both"/>
        <w:sectPr>
          <w:pgSz w:w="11910" w:h="16840"/>
          <w:pgMar w:header="0" w:footer="981" w:top="1860" w:bottom="1180" w:left="1240" w:right="560"/>
        </w:sectPr>
      </w:pPr>
    </w:p>
    <w:p>
      <w:pPr>
        <w:pStyle w:val="BodyText"/>
        <w:spacing w:line="480" w:lineRule="auto" w:before="64"/>
        <w:ind w:left="747" w:right="848" w:firstLine="59"/>
        <w:jc w:val="both"/>
      </w:pPr>
      <w:r>
        <w:rPr/>
        <w:t>According to World Health Organization (2002), 80% of population in Africa still rely on medicinal plants for their daily health care needs and Africa has an</w:t>
      </w:r>
      <w:r>
        <w:rPr>
          <w:spacing w:val="40"/>
        </w:rPr>
        <w:t> </w:t>
      </w:r>
      <w:r>
        <w:rPr/>
        <w:t>impressive natural vegetation with many</w:t>
      </w:r>
      <w:r>
        <w:rPr>
          <w:spacing w:val="-3"/>
        </w:rPr>
        <w:t> </w:t>
      </w:r>
      <w:r>
        <w:rPr/>
        <w:t>plants that can be used</w:t>
      </w:r>
      <w:r>
        <w:rPr>
          <w:spacing w:val="-1"/>
        </w:rPr>
        <w:t> </w:t>
      </w:r>
      <w:r>
        <w:rPr/>
        <w:t>as remedies for various ailments of both man and animals (Ojewole, 2008).</w:t>
      </w:r>
    </w:p>
    <w:p>
      <w:pPr>
        <w:pStyle w:val="BodyText"/>
      </w:pPr>
    </w:p>
    <w:p>
      <w:pPr>
        <w:pStyle w:val="BodyText"/>
        <w:spacing w:before="1"/>
      </w:pPr>
    </w:p>
    <w:p>
      <w:pPr>
        <w:pStyle w:val="BodyText"/>
        <w:spacing w:line="480" w:lineRule="auto"/>
        <w:ind w:left="747" w:right="846"/>
        <w:jc w:val="both"/>
      </w:pPr>
      <w:r>
        <w:rPr>
          <w:i/>
        </w:rPr>
        <w:t>Combretum micranthum </w:t>
      </w:r>
      <w:r>
        <w:rPr/>
        <w:t>is a plant known for its antioxidant, antimicrobial, anti- flammatory and various other properties of immune-related effects. Thus, it seemed worthwhile</w:t>
      </w:r>
      <w:r>
        <w:rPr>
          <w:spacing w:val="-4"/>
        </w:rPr>
        <w:t> </w:t>
      </w:r>
      <w:r>
        <w:rPr/>
        <w:t>to</w:t>
      </w:r>
      <w:r>
        <w:rPr>
          <w:spacing w:val="-3"/>
        </w:rPr>
        <w:t> </w:t>
      </w:r>
      <w:r>
        <w:rPr/>
        <w:t>undertake studies</w:t>
      </w:r>
      <w:r>
        <w:rPr>
          <w:spacing w:val="-3"/>
        </w:rPr>
        <w:t> </w:t>
      </w:r>
      <w:r>
        <w:rPr/>
        <w:t>directed</w:t>
      </w:r>
      <w:r>
        <w:rPr>
          <w:spacing w:val="-2"/>
        </w:rPr>
        <w:t> </w:t>
      </w:r>
      <w:r>
        <w:rPr/>
        <w:t>towards finding</w:t>
      </w:r>
      <w:r>
        <w:rPr>
          <w:spacing w:val="-5"/>
        </w:rPr>
        <w:t> </w:t>
      </w:r>
      <w:r>
        <w:rPr/>
        <w:t>the</w:t>
      </w:r>
      <w:r>
        <w:rPr>
          <w:spacing w:val="-2"/>
        </w:rPr>
        <w:t> </w:t>
      </w:r>
      <w:r>
        <w:rPr/>
        <w:t>extent</w:t>
      </w:r>
      <w:r>
        <w:rPr>
          <w:spacing w:val="-3"/>
        </w:rPr>
        <w:t> </w:t>
      </w:r>
      <w:r>
        <w:rPr/>
        <w:t>of</w:t>
      </w:r>
      <w:r>
        <w:rPr>
          <w:spacing w:val="-3"/>
        </w:rPr>
        <w:t> </w:t>
      </w:r>
      <w:r>
        <w:rPr/>
        <w:t>its</w:t>
      </w:r>
      <w:r>
        <w:rPr>
          <w:spacing w:val="-3"/>
        </w:rPr>
        <w:t> </w:t>
      </w:r>
      <w:r>
        <w:rPr/>
        <w:t>effect</w:t>
      </w:r>
      <w:r>
        <w:rPr>
          <w:spacing w:val="-1"/>
        </w:rPr>
        <w:t> </w:t>
      </w:r>
      <w:r>
        <w:rPr/>
        <w:t>on</w:t>
      </w:r>
      <w:r>
        <w:rPr>
          <w:spacing w:val="-3"/>
        </w:rPr>
        <w:t> </w:t>
      </w:r>
      <w:r>
        <w:rPr/>
        <w:t>some systemic inflammatory response syndromes induced in experimental animal models.</w:t>
      </w:r>
    </w:p>
    <w:p>
      <w:pPr>
        <w:pStyle w:val="BodyText"/>
      </w:pPr>
    </w:p>
    <w:p>
      <w:pPr>
        <w:pStyle w:val="BodyText"/>
        <w:spacing w:before="6"/>
      </w:pPr>
    </w:p>
    <w:p>
      <w:pPr>
        <w:pStyle w:val="Heading2"/>
        <w:numPr>
          <w:ilvl w:val="1"/>
          <w:numId w:val="8"/>
        </w:numPr>
        <w:tabs>
          <w:tab w:pos="3697" w:val="left" w:leader="none"/>
        </w:tabs>
        <w:spacing w:line="240" w:lineRule="auto" w:before="0" w:after="0"/>
        <w:ind w:left="3697" w:right="0" w:hanging="720"/>
        <w:jc w:val="both"/>
      </w:pPr>
      <w:r>
        <w:rPr/>
        <w:t>Aim</w:t>
      </w:r>
      <w:r>
        <w:rPr>
          <w:spacing w:val="-5"/>
        </w:rPr>
        <w:t> </w:t>
      </w:r>
      <w:r>
        <w:rPr/>
        <w:t>and</w:t>
      </w:r>
      <w:r>
        <w:rPr>
          <w:spacing w:val="-1"/>
        </w:rPr>
        <w:t> </w:t>
      </w:r>
      <w:r>
        <w:rPr/>
        <w:t>Objectives of the</w:t>
      </w:r>
      <w:r>
        <w:rPr>
          <w:spacing w:val="-1"/>
        </w:rPr>
        <w:t> </w:t>
      </w:r>
      <w:r>
        <w:rPr>
          <w:spacing w:val="-2"/>
        </w:rPr>
        <w:t>Study</w:t>
      </w:r>
    </w:p>
    <w:p>
      <w:pPr>
        <w:pStyle w:val="BodyText"/>
        <w:spacing w:line="480" w:lineRule="auto" w:before="271"/>
        <w:ind w:left="747" w:right="850"/>
        <w:jc w:val="both"/>
      </w:pPr>
      <w:r>
        <w:rPr/>
        <w:t>The aim of the study is to ascertain the effect of the crude aqueous ethanol leaf extract</w:t>
      </w:r>
      <w:r>
        <w:rPr>
          <w:spacing w:val="40"/>
        </w:rPr>
        <w:t> </w:t>
      </w:r>
      <w:r>
        <w:rPr/>
        <w:t>of </w:t>
      </w:r>
      <w:r>
        <w:rPr>
          <w:i/>
        </w:rPr>
        <w:t>C. micranthum on </w:t>
      </w:r>
      <w:r>
        <w:rPr/>
        <w:t>some systemic inflammatory immune responses induced in mice and rats.</w:t>
      </w:r>
    </w:p>
    <w:p>
      <w:pPr>
        <w:pStyle w:val="BodyText"/>
        <w:ind w:left="747"/>
        <w:jc w:val="both"/>
      </w:pPr>
      <w:r>
        <w:rPr/>
        <w:t>The</w:t>
      </w:r>
      <w:r>
        <w:rPr>
          <w:spacing w:val="-3"/>
        </w:rPr>
        <w:t> </w:t>
      </w:r>
      <w:r>
        <w:rPr/>
        <w:t>specific</w:t>
      </w:r>
      <w:r>
        <w:rPr>
          <w:spacing w:val="-1"/>
        </w:rPr>
        <w:t> </w:t>
      </w:r>
      <w:r>
        <w:rPr/>
        <w:t>objectives</w:t>
      </w:r>
      <w:r>
        <w:rPr>
          <w:spacing w:val="-1"/>
        </w:rPr>
        <w:t> </w:t>
      </w:r>
      <w:r>
        <w:rPr/>
        <w:t>are</w:t>
      </w:r>
      <w:r>
        <w:rPr>
          <w:spacing w:val="-3"/>
        </w:rPr>
        <w:t> </w:t>
      </w:r>
      <w:r>
        <w:rPr/>
        <w:t>as </w:t>
      </w:r>
      <w:r>
        <w:rPr>
          <w:spacing w:val="-2"/>
        </w:rPr>
        <w:t>follows:</w:t>
      </w:r>
    </w:p>
    <w:p>
      <w:pPr>
        <w:pStyle w:val="BodyText"/>
      </w:pPr>
    </w:p>
    <w:p>
      <w:pPr>
        <w:pStyle w:val="ListParagraph"/>
        <w:numPr>
          <w:ilvl w:val="0"/>
          <w:numId w:val="9"/>
        </w:numPr>
        <w:tabs>
          <w:tab w:pos="1467" w:val="left" w:leader="none"/>
        </w:tabs>
        <w:spacing w:line="240" w:lineRule="auto" w:before="1" w:after="0"/>
        <w:ind w:left="1467" w:right="0" w:hanging="360"/>
        <w:jc w:val="left"/>
        <w:rPr>
          <w:sz w:val="24"/>
        </w:rPr>
      </w:pPr>
      <w:r>
        <w:rPr>
          <w:sz w:val="24"/>
        </w:rPr>
        <w:t>To</w:t>
      </w:r>
      <w:r>
        <w:rPr>
          <w:spacing w:val="-2"/>
          <w:sz w:val="24"/>
        </w:rPr>
        <w:t> </w:t>
      </w:r>
      <w:r>
        <w:rPr>
          <w:sz w:val="24"/>
        </w:rPr>
        <w:t>validate</w:t>
      </w:r>
      <w:r>
        <w:rPr>
          <w:spacing w:val="-2"/>
          <w:sz w:val="24"/>
        </w:rPr>
        <w:t> </w:t>
      </w:r>
      <w:r>
        <w:rPr>
          <w:sz w:val="24"/>
        </w:rPr>
        <w:t>the</w:t>
      </w:r>
      <w:r>
        <w:rPr>
          <w:spacing w:val="-2"/>
          <w:sz w:val="24"/>
        </w:rPr>
        <w:t> </w:t>
      </w:r>
      <w:r>
        <w:rPr>
          <w:sz w:val="24"/>
        </w:rPr>
        <w:t>phytochemical</w:t>
      </w:r>
      <w:r>
        <w:rPr>
          <w:spacing w:val="-1"/>
          <w:sz w:val="24"/>
        </w:rPr>
        <w:t> </w:t>
      </w:r>
      <w:r>
        <w:rPr>
          <w:spacing w:val="-2"/>
          <w:sz w:val="24"/>
        </w:rPr>
        <w:t>components</w:t>
      </w:r>
    </w:p>
    <w:p>
      <w:pPr>
        <w:pStyle w:val="ListParagraph"/>
        <w:numPr>
          <w:ilvl w:val="0"/>
          <w:numId w:val="9"/>
        </w:numPr>
        <w:tabs>
          <w:tab w:pos="1467" w:val="left" w:leader="none"/>
        </w:tabs>
        <w:spacing w:line="240" w:lineRule="auto" w:before="276" w:after="0"/>
        <w:ind w:left="1467" w:right="0" w:hanging="360"/>
        <w:jc w:val="left"/>
        <w:rPr>
          <w:sz w:val="24"/>
        </w:rPr>
      </w:pPr>
      <w:r>
        <w:rPr>
          <w:sz w:val="24"/>
        </w:rPr>
        <w:t>To</w:t>
      </w:r>
      <w:r>
        <w:rPr>
          <w:spacing w:val="-4"/>
          <w:sz w:val="24"/>
        </w:rPr>
        <w:t> </w:t>
      </w:r>
      <w:r>
        <w:rPr>
          <w:sz w:val="24"/>
        </w:rPr>
        <w:t>evaluate</w:t>
      </w:r>
      <w:r>
        <w:rPr>
          <w:spacing w:val="-2"/>
          <w:sz w:val="24"/>
        </w:rPr>
        <w:t> </w:t>
      </w:r>
      <w:r>
        <w:rPr>
          <w:sz w:val="24"/>
        </w:rPr>
        <w:t>the antibacterial</w:t>
      </w:r>
      <w:r>
        <w:rPr>
          <w:spacing w:val="-2"/>
          <w:sz w:val="24"/>
        </w:rPr>
        <w:t> </w:t>
      </w:r>
      <w:r>
        <w:rPr>
          <w:sz w:val="24"/>
        </w:rPr>
        <w:t>potential</w:t>
      </w:r>
      <w:r>
        <w:rPr>
          <w:spacing w:val="-1"/>
          <w:sz w:val="24"/>
        </w:rPr>
        <w:t> </w:t>
      </w:r>
      <w:r>
        <w:rPr>
          <w:sz w:val="24"/>
        </w:rPr>
        <w:t>of</w:t>
      </w:r>
      <w:r>
        <w:rPr>
          <w:spacing w:val="-1"/>
          <w:sz w:val="24"/>
        </w:rPr>
        <w:t> </w:t>
      </w:r>
      <w:r>
        <w:rPr>
          <w:sz w:val="24"/>
        </w:rPr>
        <w:t>the</w:t>
      </w:r>
      <w:r>
        <w:rPr>
          <w:spacing w:val="-2"/>
          <w:sz w:val="24"/>
        </w:rPr>
        <w:t> extract</w:t>
      </w:r>
    </w:p>
    <w:p>
      <w:pPr>
        <w:pStyle w:val="ListParagraph"/>
        <w:numPr>
          <w:ilvl w:val="0"/>
          <w:numId w:val="9"/>
        </w:numPr>
        <w:tabs>
          <w:tab w:pos="1467" w:val="left" w:leader="none"/>
        </w:tabs>
        <w:spacing w:line="240" w:lineRule="auto" w:before="276" w:after="0"/>
        <w:ind w:left="1467" w:right="0" w:hanging="360"/>
        <w:jc w:val="left"/>
        <w:rPr>
          <w:sz w:val="24"/>
        </w:rPr>
      </w:pPr>
      <w:r>
        <w:rPr>
          <w:sz w:val="24"/>
        </w:rPr>
        <w:t>To</w:t>
      </w:r>
      <w:r>
        <w:rPr>
          <w:spacing w:val="-3"/>
          <w:sz w:val="24"/>
        </w:rPr>
        <w:t> </w:t>
      </w:r>
      <w:r>
        <w:rPr>
          <w:sz w:val="24"/>
        </w:rPr>
        <w:t>assess</w:t>
      </w:r>
      <w:r>
        <w:rPr>
          <w:spacing w:val="-1"/>
          <w:sz w:val="24"/>
        </w:rPr>
        <w:t> </w:t>
      </w:r>
      <w:r>
        <w:rPr>
          <w:sz w:val="24"/>
        </w:rPr>
        <w:t>the</w:t>
      </w:r>
      <w:r>
        <w:rPr>
          <w:spacing w:val="-1"/>
          <w:sz w:val="24"/>
        </w:rPr>
        <w:t> </w:t>
      </w:r>
      <w:r>
        <w:rPr>
          <w:sz w:val="24"/>
        </w:rPr>
        <w:t>effect</w:t>
      </w:r>
      <w:r>
        <w:rPr>
          <w:spacing w:val="-1"/>
          <w:sz w:val="24"/>
        </w:rPr>
        <w:t> </w:t>
      </w:r>
      <w:r>
        <w:rPr>
          <w:sz w:val="24"/>
        </w:rPr>
        <w:t>of</w:t>
      </w:r>
      <w:r>
        <w:rPr>
          <w:spacing w:val="-1"/>
          <w:sz w:val="24"/>
        </w:rPr>
        <w:t> </w:t>
      </w:r>
      <w:r>
        <w:rPr>
          <w:sz w:val="24"/>
        </w:rPr>
        <w:t>the</w:t>
      </w:r>
      <w:r>
        <w:rPr>
          <w:spacing w:val="-2"/>
          <w:sz w:val="24"/>
        </w:rPr>
        <w:t> </w:t>
      </w:r>
      <w:r>
        <w:rPr>
          <w:sz w:val="24"/>
        </w:rPr>
        <w:t>extract </w:t>
      </w:r>
      <w:r>
        <w:rPr>
          <w:spacing w:val="-5"/>
          <w:sz w:val="24"/>
        </w:rPr>
        <w:t>on:</w:t>
      </w:r>
    </w:p>
    <w:p>
      <w:pPr>
        <w:pStyle w:val="ListParagraph"/>
        <w:numPr>
          <w:ilvl w:val="0"/>
          <w:numId w:val="10"/>
        </w:numPr>
        <w:tabs>
          <w:tab w:pos="1527" w:val="left" w:leader="none"/>
        </w:tabs>
        <w:spacing w:line="240" w:lineRule="auto" w:before="276" w:after="0"/>
        <w:ind w:left="1527" w:right="0" w:hanging="420"/>
        <w:jc w:val="left"/>
        <w:rPr>
          <w:sz w:val="24"/>
        </w:rPr>
      </w:pPr>
      <w:r>
        <w:rPr>
          <w:sz w:val="24"/>
        </w:rPr>
        <w:t>Cyclophosphamide-induced</w:t>
      </w:r>
      <w:r>
        <w:rPr>
          <w:spacing w:val="-5"/>
          <w:sz w:val="24"/>
        </w:rPr>
        <w:t> </w:t>
      </w:r>
      <w:r>
        <w:rPr>
          <w:sz w:val="24"/>
        </w:rPr>
        <w:t>neutropenia</w:t>
      </w:r>
      <w:r>
        <w:rPr>
          <w:spacing w:val="-2"/>
          <w:sz w:val="24"/>
        </w:rPr>
        <w:t> </w:t>
      </w:r>
      <w:r>
        <w:rPr>
          <w:sz w:val="24"/>
        </w:rPr>
        <w:t>in</w:t>
      </w:r>
      <w:r>
        <w:rPr>
          <w:spacing w:val="-2"/>
          <w:sz w:val="24"/>
        </w:rPr>
        <w:t> </w:t>
      </w:r>
      <w:r>
        <w:rPr>
          <w:spacing w:val="-5"/>
          <w:sz w:val="24"/>
        </w:rPr>
        <w:t>rat</w:t>
      </w:r>
    </w:p>
    <w:p>
      <w:pPr>
        <w:pStyle w:val="BodyText"/>
      </w:pPr>
    </w:p>
    <w:p>
      <w:pPr>
        <w:pStyle w:val="ListParagraph"/>
        <w:numPr>
          <w:ilvl w:val="0"/>
          <w:numId w:val="10"/>
        </w:numPr>
        <w:tabs>
          <w:tab w:pos="1527" w:val="left" w:leader="none"/>
        </w:tabs>
        <w:spacing w:line="240" w:lineRule="auto" w:before="0" w:after="0"/>
        <w:ind w:left="1527" w:right="0" w:hanging="420"/>
        <w:jc w:val="left"/>
        <w:rPr>
          <w:sz w:val="24"/>
        </w:rPr>
      </w:pPr>
      <w:r>
        <w:rPr>
          <w:i/>
          <w:sz w:val="24"/>
        </w:rPr>
        <w:t>E.</w:t>
      </w:r>
      <w:r>
        <w:rPr>
          <w:i/>
          <w:spacing w:val="-1"/>
          <w:sz w:val="24"/>
        </w:rPr>
        <w:t> </w:t>
      </w:r>
      <w:r>
        <w:rPr>
          <w:i/>
          <w:sz w:val="24"/>
        </w:rPr>
        <w:t>coli</w:t>
      </w:r>
      <w:r>
        <w:rPr>
          <w:sz w:val="24"/>
        </w:rPr>
        <w:t>-induced</w:t>
      </w:r>
      <w:r>
        <w:rPr>
          <w:spacing w:val="-1"/>
          <w:sz w:val="24"/>
        </w:rPr>
        <w:t> </w:t>
      </w:r>
      <w:r>
        <w:rPr>
          <w:sz w:val="24"/>
        </w:rPr>
        <w:t>abdominal</w:t>
      </w:r>
      <w:r>
        <w:rPr>
          <w:spacing w:val="-1"/>
          <w:sz w:val="24"/>
        </w:rPr>
        <w:t> </w:t>
      </w:r>
      <w:r>
        <w:rPr>
          <w:sz w:val="24"/>
        </w:rPr>
        <w:t>sepsis</w:t>
      </w:r>
      <w:r>
        <w:rPr>
          <w:spacing w:val="-1"/>
          <w:sz w:val="24"/>
        </w:rPr>
        <w:t> </w:t>
      </w:r>
      <w:r>
        <w:rPr>
          <w:sz w:val="24"/>
        </w:rPr>
        <w:t>in </w:t>
      </w:r>
      <w:r>
        <w:rPr>
          <w:spacing w:val="-4"/>
          <w:sz w:val="24"/>
        </w:rPr>
        <w:t>mice</w:t>
      </w:r>
    </w:p>
    <w:p>
      <w:pPr>
        <w:pStyle w:val="BodyText"/>
      </w:pPr>
    </w:p>
    <w:p>
      <w:pPr>
        <w:pStyle w:val="ListParagraph"/>
        <w:numPr>
          <w:ilvl w:val="0"/>
          <w:numId w:val="10"/>
        </w:numPr>
        <w:tabs>
          <w:tab w:pos="1524" w:val="left" w:leader="none"/>
        </w:tabs>
        <w:spacing w:line="240" w:lineRule="auto" w:before="0" w:after="0"/>
        <w:ind w:left="1524" w:right="0" w:hanging="417"/>
        <w:jc w:val="left"/>
        <w:rPr>
          <w:sz w:val="24"/>
        </w:rPr>
      </w:pPr>
      <w:r>
        <w:rPr>
          <w:sz w:val="24"/>
        </w:rPr>
        <w:t>Sheep</w:t>
      </w:r>
      <w:r>
        <w:rPr>
          <w:spacing w:val="-1"/>
          <w:sz w:val="24"/>
        </w:rPr>
        <w:t> </w:t>
      </w:r>
      <w:r>
        <w:rPr>
          <w:sz w:val="24"/>
        </w:rPr>
        <w:t>red</w:t>
      </w:r>
      <w:r>
        <w:rPr>
          <w:spacing w:val="-1"/>
          <w:sz w:val="24"/>
        </w:rPr>
        <w:t> </w:t>
      </w:r>
      <w:r>
        <w:rPr>
          <w:sz w:val="24"/>
        </w:rPr>
        <w:t>blood</w:t>
      </w:r>
      <w:r>
        <w:rPr>
          <w:spacing w:val="-1"/>
          <w:sz w:val="24"/>
        </w:rPr>
        <w:t> </w:t>
      </w:r>
      <w:r>
        <w:rPr>
          <w:sz w:val="24"/>
        </w:rPr>
        <w:t>cells-induced</w:t>
      </w:r>
      <w:r>
        <w:rPr>
          <w:spacing w:val="-1"/>
          <w:sz w:val="24"/>
        </w:rPr>
        <w:t> </w:t>
      </w:r>
      <w:r>
        <w:rPr>
          <w:sz w:val="24"/>
        </w:rPr>
        <w:t>delayed</w:t>
      </w:r>
      <w:r>
        <w:rPr>
          <w:spacing w:val="-1"/>
          <w:sz w:val="24"/>
        </w:rPr>
        <w:t> </w:t>
      </w:r>
      <w:r>
        <w:rPr>
          <w:sz w:val="24"/>
        </w:rPr>
        <w:t>hypersensitivity</w:t>
      </w:r>
      <w:r>
        <w:rPr>
          <w:spacing w:val="-5"/>
          <w:sz w:val="24"/>
        </w:rPr>
        <w:t> </w:t>
      </w:r>
      <w:r>
        <w:rPr>
          <w:sz w:val="24"/>
        </w:rPr>
        <w:t>reaction</w:t>
      </w:r>
      <w:r>
        <w:rPr>
          <w:spacing w:val="-1"/>
          <w:sz w:val="24"/>
        </w:rPr>
        <w:t> </w:t>
      </w:r>
      <w:r>
        <w:rPr>
          <w:sz w:val="24"/>
        </w:rPr>
        <w:t>in </w:t>
      </w:r>
      <w:r>
        <w:rPr>
          <w:spacing w:val="-5"/>
          <w:sz w:val="24"/>
        </w:rPr>
        <w:t>rat</w:t>
      </w:r>
    </w:p>
    <w:p>
      <w:pPr>
        <w:spacing w:after="0" w:line="240" w:lineRule="auto"/>
        <w:jc w:val="left"/>
        <w:rPr>
          <w:sz w:val="24"/>
        </w:rPr>
        <w:sectPr>
          <w:pgSz w:w="11910" w:h="16840"/>
          <w:pgMar w:header="0" w:footer="981" w:top="1320" w:bottom="1180" w:left="1240" w:right="560"/>
        </w:sectPr>
      </w:pPr>
    </w:p>
    <w:p>
      <w:pPr>
        <w:pStyle w:val="Heading2"/>
        <w:numPr>
          <w:ilvl w:val="1"/>
          <w:numId w:val="8"/>
        </w:numPr>
        <w:tabs>
          <w:tab w:pos="4825" w:val="left" w:leader="none"/>
        </w:tabs>
        <w:spacing w:line="240" w:lineRule="auto" w:before="69" w:after="0"/>
        <w:ind w:left="4825" w:right="0" w:hanging="780"/>
        <w:jc w:val="both"/>
      </w:pPr>
      <w:r>
        <w:rPr>
          <w:spacing w:val="-2"/>
        </w:rPr>
        <w:t>Hypothesis</w:t>
      </w:r>
    </w:p>
    <w:p>
      <w:pPr>
        <w:pStyle w:val="BodyText"/>
        <w:spacing w:line="480" w:lineRule="auto" w:before="272"/>
        <w:ind w:left="747" w:right="847"/>
        <w:jc w:val="both"/>
      </w:pPr>
      <w:r>
        <w:rPr/>
        <w:t>The antimicrobial, antioxidant and anti-inflammatory properties of </w:t>
      </w:r>
      <w:r>
        <w:rPr>
          <w:i/>
        </w:rPr>
        <w:t>Combretum micranthum </w:t>
      </w:r>
      <w:r>
        <w:rPr/>
        <w:t>plant are all factors that boost cellular immunity to protect from or reduce the occurrence of immunosuppression, tissue damage from prolonged or chronic inflammation, and/or death.</w:t>
      </w:r>
    </w:p>
    <w:p>
      <w:pPr>
        <w:spacing w:after="0" w:line="480" w:lineRule="auto"/>
        <w:jc w:val="both"/>
        <w:sectPr>
          <w:pgSz w:w="11910" w:h="16840"/>
          <w:pgMar w:header="0" w:footer="981" w:top="1320" w:bottom="1180" w:left="1240" w:right="560"/>
        </w:sectPr>
      </w:pPr>
    </w:p>
    <w:p>
      <w:pPr>
        <w:pStyle w:val="Heading1"/>
        <w:spacing w:before="69"/>
        <w:ind w:right="103"/>
      </w:pPr>
      <w:bookmarkStart w:name="_TOC_250010" w:id="13"/>
      <w:r>
        <w:rPr/>
        <w:t>CHAPTER</w:t>
      </w:r>
      <w:r>
        <w:rPr>
          <w:spacing w:val="-4"/>
        </w:rPr>
        <w:t> </w:t>
      </w:r>
      <w:bookmarkEnd w:id="13"/>
      <w:r>
        <w:rPr>
          <w:spacing w:val="-5"/>
        </w:rPr>
        <w:t>TWO</w:t>
      </w:r>
    </w:p>
    <w:p>
      <w:pPr>
        <w:pStyle w:val="BodyText"/>
        <w:rPr>
          <w:b/>
        </w:rPr>
      </w:pPr>
    </w:p>
    <w:p>
      <w:pPr>
        <w:pStyle w:val="Heading1"/>
        <w:numPr>
          <w:ilvl w:val="1"/>
          <w:numId w:val="11"/>
        </w:numPr>
        <w:tabs>
          <w:tab w:pos="4038" w:val="left" w:leader="none"/>
        </w:tabs>
        <w:spacing w:line="240" w:lineRule="auto" w:before="1" w:after="0"/>
        <w:ind w:left="4038" w:right="0" w:hanging="720"/>
        <w:jc w:val="left"/>
      </w:pPr>
      <w:bookmarkStart w:name="_TOC_250009" w:id="14"/>
      <w:r>
        <w:rPr/>
        <w:t>LITERATURE</w:t>
      </w:r>
      <w:bookmarkEnd w:id="14"/>
      <w:r>
        <w:rPr>
          <w:spacing w:val="-2"/>
        </w:rPr>
        <w:t> REVIEW</w:t>
      </w:r>
    </w:p>
    <w:p>
      <w:pPr>
        <w:pStyle w:val="Heading2"/>
        <w:numPr>
          <w:ilvl w:val="1"/>
          <w:numId w:val="11"/>
        </w:numPr>
        <w:tabs>
          <w:tab w:pos="3695" w:val="left" w:leader="none"/>
        </w:tabs>
        <w:spacing w:line="240" w:lineRule="auto" w:before="271" w:after="0"/>
        <w:ind w:left="3695" w:right="0" w:hanging="720"/>
        <w:jc w:val="left"/>
      </w:pPr>
      <w:r>
        <w:rPr/>
        <w:t>History</w:t>
      </w:r>
      <w:r>
        <w:rPr>
          <w:spacing w:val="-1"/>
        </w:rPr>
        <w:t> </w:t>
      </w:r>
      <w:r>
        <w:rPr/>
        <w:t>and</w:t>
      </w:r>
      <w:r>
        <w:rPr>
          <w:spacing w:val="-1"/>
        </w:rPr>
        <w:t> </w:t>
      </w:r>
      <w:r>
        <w:rPr/>
        <w:t>Description</w:t>
      </w:r>
      <w:r>
        <w:rPr>
          <w:spacing w:val="-1"/>
        </w:rPr>
        <w:t> </w:t>
      </w:r>
      <w:r>
        <w:rPr/>
        <w:t>of</w:t>
      </w:r>
      <w:r>
        <w:rPr>
          <w:spacing w:val="1"/>
        </w:rPr>
        <w:t> </w:t>
      </w:r>
      <w:r>
        <w:rPr>
          <w:spacing w:val="-4"/>
        </w:rPr>
        <w:t>Plant</w:t>
      </w:r>
    </w:p>
    <w:p>
      <w:pPr>
        <w:pStyle w:val="BodyText"/>
        <w:rPr>
          <w:b/>
        </w:rPr>
      </w:pPr>
    </w:p>
    <w:p>
      <w:pPr>
        <w:spacing w:line="480" w:lineRule="auto" w:before="0"/>
        <w:ind w:left="747" w:right="846" w:firstLine="0"/>
        <w:jc w:val="both"/>
        <w:rPr>
          <w:i/>
          <w:sz w:val="24"/>
        </w:rPr>
      </w:pPr>
      <w:r>
        <w:rPr>
          <w:sz w:val="24"/>
        </w:rPr>
        <w:t>The combretaceae is a family of about 20 genera and has as many as 600 species, some of which are trees commonly seen on woodlands with a stem to 10 cm in diameter,</w:t>
      </w:r>
      <w:r>
        <w:rPr>
          <w:spacing w:val="40"/>
          <w:sz w:val="24"/>
        </w:rPr>
        <w:t> </w:t>
      </w:r>
      <w:r>
        <w:rPr>
          <w:sz w:val="24"/>
        </w:rPr>
        <w:t>while some are shrubs mostly on rocky hills. The most commonly occurring genus of</w:t>
      </w:r>
      <w:r>
        <w:rPr>
          <w:spacing w:val="40"/>
          <w:sz w:val="24"/>
        </w:rPr>
        <w:t> </w:t>
      </w:r>
      <w:r>
        <w:rPr>
          <w:sz w:val="24"/>
        </w:rPr>
        <w:t>the genera is combretum which has almost 250 species including </w:t>
      </w:r>
      <w:r>
        <w:rPr>
          <w:i/>
          <w:sz w:val="24"/>
        </w:rPr>
        <w:t>C. aculeatum, C. albidum,</w:t>
      </w:r>
      <w:r>
        <w:rPr>
          <w:i/>
          <w:spacing w:val="67"/>
          <w:sz w:val="24"/>
        </w:rPr>
        <w:t> </w:t>
      </w:r>
      <w:r>
        <w:rPr>
          <w:i/>
          <w:sz w:val="24"/>
        </w:rPr>
        <w:t>C.</w:t>
      </w:r>
      <w:r>
        <w:rPr>
          <w:i/>
          <w:spacing w:val="5"/>
          <w:sz w:val="24"/>
        </w:rPr>
        <w:t> </w:t>
      </w:r>
      <w:r>
        <w:rPr>
          <w:i/>
          <w:sz w:val="24"/>
        </w:rPr>
        <w:t>apiculatum,</w:t>
      </w:r>
      <w:r>
        <w:rPr>
          <w:i/>
          <w:spacing w:val="6"/>
          <w:sz w:val="24"/>
        </w:rPr>
        <w:t> </w:t>
      </w:r>
      <w:r>
        <w:rPr>
          <w:i/>
          <w:sz w:val="24"/>
        </w:rPr>
        <w:t>C.</w:t>
      </w:r>
      <w:r>
        <w:rPr>
          <w:i/>
          <w:spacing w:val="4"/>
          <w:sz w:val="24"/>
        </w:rPr>
        <w:t> </w:t>
      </w:r>
      <w:r>
        <w:rPr>
          <w:i/>
          <w:sz w:val="24"/>
        </w:rPr>
        <w:t>bracteosum</w:t>
      </w:r>
      <w:r>
        <w:rPr>
          <w:i/>
          <w:spacing w:val="70"/>
          <w:sz w:val="24"/>
        </w:rPr>
        <w:t> </w:t>
      </w:r>
      <w:r>
        <w:rPr>
          <w:i/>
          <w:sz w:val="24"/>
        </w:rPr>
        <w:t>C.</w:t>
      </w:r>
      <w:r>
        <w:rPr>
          <w:i/>
          <w:spacing w:val="7"/>
          <w:sz w:val="24"/>
        </w:rPr>
        <w:t> </w:t>
      </w:r>
      <w:r>
        <w:rPr>
          <w:i/>
          <w:sz w:val="24"/>
        </w:rPr>
        <w:t>coccineum,</w:t>
      </w:r>
      <w:r>
        <w:rPr>
          <w:i/>
          <w:spacing w:val="3"/>
          <w:sz w:val="24"/>
        </w:rPr>
        <w:t> </w:t>
      </w:r>
      <w:r>
        <w:rPr>
          <w:i/>
          <w:sz w:val="24"/>
        </w:rPr>
        <w:t>C.</w:t>
      </w:r>
      <w:r>
        <w:rPr>
          <w:i/>
          <w:spacing w:val="7"/>
          <w:sz w:val="24"/>
        </w:rPr>
        <w:t> </w:t>
      </w:r>
      <w:r>
        <w:rPr>
          <w:i/>
          <w:sz w:val="24"/>
        </w:rPr>
        <w:t>erythrophylum,</w:t>
      </w:r>
      <w:r>
        <w:rPr>
          <w:i/>
          <w:spacing w:val="6"/>
          <w:sz w:val="24"/>
        </w:rPr>
        <w:t> </w:t>
      </w:r>
      <w:r>
        <w:rPr>
          <w:i/>
          <w:sz w:val="24"/>
        </w:rPr>
        <w:t>C.</w:t>
      </w:r>
      <w:r>
        <w:rPr>
          <w:i/>
          <w:spacing w:val="4"/>
          <w:sz w:val="24"/>
        </w:rPr>
        <w:t> </w:t>
      </w:r>
      <w:r>
        <w:rPr>
          <w:i/>
          <w:spacing w:val="-2"/>
          <w:sz w:val="24"/>
        </w:rPr>
        <w:t>extensum,</w:t>
      </w:r>
    </w:p>
    <w:p>
      <w:pPr>
        <w:spacing w:line="480" w:lineRule="auto" w:before="1"/>
        <w:ind w:left="747" w:right="843" w:firstLine="0"/>
        <w:jc w:val="both"/>
        <w:rPr>
          <w:sz w:val="24"/>
        </w:rPr>
      </w:pPr>
      <w:r>
        <w:rPr>
          <w:i/>
          <w:sz w:val="24"/>
        </w:rPr>
        <w:t>C. flagrocarpu, C.</w:t>
      </w:r>
      <w:r>
        <w:rPr>
          <w:i/>
          <w:spacing w:val="40"/>
          <w:sz w:val="24"/>
        </w:rPr>
        <w:t> </w:t>
      </w:r>
      <w:r>
        <w:rPr>
          <w:i/>
          <w:sz w:val="24"/>
        </w:rPr>
        <w:t>imberbe, C. krausii, C. leprosum, C. molle, C. micranthum, C. microphyllum, C. nigricans, C. platypetalum, C. zeyheric </w:t>
      </w:r>
      <w:r>
        <w:rPr>
          <w:sz w:val="24"/>
        </w:rPr>
        <w:t>and so forth (Burkill, 1985). The specie, </w:t>
      </w:r>
      <w:r>
        <w:rPr>
          <w:i/>
          <w:sz w:val="24"/>
        </w:rPr>
        <w:t>C. micranthum </w:t>
      </w:r>
      <w:r>
        <w:rPr>
          <w:sz w:val="24"/>
        </w:rPr>
        <w:t>is commonly</w:t>
      </w:r>
      <w:r>
        <w:rPr>
          <w:spacing w:val="-5"/>
          <w:sz w:val="24"/>
        </w:rPr>
        <w:t> </w:t>
      </w:r>
      <w:r>
        <w:rPr>
          <w:sz w:val="24"/>
        </w:rPr>
        <w:t>found in</w:t>
      </w:r>
      <w:r>
        <w:rPr>
          <w:spacing w:val="-1"/>
          <w:sz w:val="24"/>
        </w:rPr>
        <w:t> </w:t>
      </w:r>
      <w:r>
        <w:rPr>
          <w:sz w:val="24"/>
        </w:rPr>
        <w:t>the tropical and sub-tropical countries including</w:t>
      </w:r>
      <w:r>
        <w:rPr>
          <w:spacing w:val="-1"/>
          <w:sz w:val="24"/>
        </w:rPr>
        <w:t> </w:t>
      </w:r>
      <w:r>
        <w:rPr>
          <w:sz w:val="24"/>
        </w:rPr>
        <w:t>those of Africa like Senegal, Gabon, Gambia, Mali, Nigeria, Niger and Ghana where they are widely used in traditional medicine (Abdullahi, 2008).</w:t>
      </w:r>
    </w:p>
    <w:p>
      <w:pPr>
        <w:pStyle w:val="BodyText"/>
      </w:pPr>
    </w:p>
    <w:p>
      <w:pPr>
        <w:pStyle w:val="BodyText"/>
      </w:pPr>
    </w:p>
    <w:p>
      <w:pPr>
        <w:pStyle w:val="BodyText"/>
        <w:spacing w:line="480" w:lineRule="auto"/>
        <w:ind w:left="747" w:right="847"/>
        <w:jc w:val="both"/>
      </w:pPr>
      <w:r>
        <w:rPr/>
        <w:t>The flowers are usually bisexual and are borne as auxiliary cluster on scaly stalks. The fruits are small and scaly, while the leaves are dorsiventral or more rarely centric with short stalk, the leaves turn from green to orange over time and are very useful in herbal medicine (Watson </w:t>
      </w:r>
      <w:r>
        <w:rPr>
          <w:i/>
        </w:rPr>
        <w:t>et al</w:t>
      </w:r>
      <w:r>
        <w:rPr/>
        <w:t>., 2000). The Plant is a very drought and fire-resistant. It is a brouse Plant for Cattle and is of some importance as forage in the dry season in</w:t>
      </w:r>
      <w:r>
        <w:rPr>
          <w:spacing w:val="40"/>
        </w:rPr>
        <w:t> </w:t>
      </w:r>
      <w:r>
        <w:rPr/>
        <w:t>Northern Nigeria.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Heading3"/>
        <w:numPr>
          <w:ilvl w:val="2"/>
          <w:numId w:val="12"/>
        </w:numPr>
        <w:tabs>
          <w:tab w:pos="1466" w:val="left" w:leader="none"/>
        </w:tabs>
        <w:spacing w:line="240" w:lineRule="auto" w:before="0" w:after="0"/>
        <w:ind w:left="1466" w:right="0" w:hanging="719"/>
        <w:jc w:val="both"/>
      </w:pPr>
      <w:r>
        <w:rPr/>
        <w:t>Combretum</w:t>
      </w:r>
      <w:r>
        <w:rPr>
          <w:spacing w:val="-3"/>
        </w:rPr>
        <w:t> </w:t>
      </w:r>
      <w:r>
        <w:rPr>
          <w:spacing w:val="-2"/>
        </w:rPr>
        <w:t>micranthum</w:t>
      </w:r>
    </w:p>
    <w:p>
      <w:pPr>
        <w:spacing w:after="0" w:line="240" w:lineRule="auto"/>
        <w:jc w:val="both"/>
        <w:sectPr>
          <w:pgSz w:w="11910" w:h="16840"/>
          <w:pgMar w:header="0" w:footer="981" w:top="1320" w:bottom="1180" w:left="1240" w:right="560"/>
        </w:sectPr>
      </w:pPr>
    </w:p>
    <w:p>
      <w:pPr>
        <w:pStyle w:val="BodyText"/>
        <w:spacing w:before="64"/>
        <w:ind w:left="747"/>
      </w:pPr>
      <w:r>
        <w:rPr/>
        <w:t>This</w:t>
      </w:r>
      <w:r>
        <w:rPr>
          <w:spacing w:val="-2"/>
        </w:rPr>
        <w:t> </w:t>
      </w:r>
      <w:r>
        <w:rPr/>
        <w:t>plant is of </w:t>
      </w:r>
      <w:r>
        <w:rPr>
          <w:spacing w:val="-4"/>
        </w:rPr>
        <w:t>the:</w:t>
      </w:r>
    </w:p>
    <w:p>
      <w:pPr>
        <w:pStyle w:val="BodyText"/>
        <w:spacing w:before="1"/>
      </w:pPr>
    </w:p>
    <w:p>
      <w:pPr>
        <w:pStyle w:val="BodyText"/>
        <w:spacing w:line="480" w:lineRule="auto"/>
        <w:ind w:left="747" w:right="6951"/>
      </w:pPr>
      <w:r>
        <w:rPr/>
        <w:t>Division:</w:t>
      </w:r>
      <w:r>
        <w:rPr>
          <w:spacing w:val="-15"/>
        </w:rPr>
        <w:t> </w:t>
      </w:r>
      <w:r>
        <w:rPr/>
        <w:t>Spermatophyta Class: Dicotyledoneae Family: Combretaceae Genus:</w:t>
      </w:r>
      <w:r>
        <w:rPr>
          <w:spacing w:val="40"/>
        </w:rPr>
        <w:t> </w:t>
      </w:r>
      <w:r>
        <w:rPr/>
        <w:t>Combretum Species: Micranthum</w:t>
      </w:r>
    </w:p>
    <w:p>
      <w:pPr>
        <w:spacing w:before="0"/>
        <w:ind w:left="747" w:right="0" w:firstLine="0"/>
        <w:jc w:val="left"/>
        <w:rPr>
          <w:i/>
          <w:sz w:val="24"/>
        </w:rPr>
      </w:pPr>
      <w:r>
        <w:rPr>
          <w:sz w:val="24"/>
        </w:rPr>
        <w:t>Scientific</w:t>
      </w:r>
      <w:r>
        <w:rPr>
          <w:spacing w:val="-2"/>
          <w:sz w:val="24"/>
        </w:rPr>
        <w:t> </w:t>
      </w:r>
      <w:r>
        <w:rPr>
          <w:sz w:val="24"/>
        </w:rPr>
        <w:t>Name: </w:t>
      </w:r>
      <w:r>
        <w:rPr>
          <w:i/>
          <w:sz w:val="24"/>
        </w:rPr>
        <w:t>Combretum</w:t>
      </w:r>
      <w:r>
        <w:rPr>
          <w:i/>
          <w:spacing w:val="-2"/>
          <w:sz w:val="24"/>
        </w:rPr>
        <w:t> </w:t>
      </w:r>
      <w:r>
        <w:rPr>
          <w:i/>
          <w:sz w:val="24"/>
        </w:rPr>
        <w:t>micranthum</w:t>
      </w:r>
      <w:r>
        <w:rPr>
          <w:i/>
          <w:spacing w:val="-1"/>
          <w:sz w:val="24"/>
        </w:rPr>
        <w:t> </w:t>
      </w:r>
      <w:r>
        <w:rPr>
          <w:sz w:val="24"/>
        </w:rPr>
        <w:t>G.</w:t>
      </w:r>
      <w:r>
        <w:rPr>
          <w:spacing w:val="-1"/>
          <w:sz w:val="24"/>
        </w:rPr>
        <w:t> </w:t>
      </w:r>
      <w:r>
        <w:rPr>
          <w:i/>
          <w:spacing w:val="-5"/>
          <w:sz w:val="24"/>
        </w:rPr>
        <w:t>Don</w:t>
      </w:r>
    </w:p>
    <w:p>
      <w:pPr>
        <w:pStyle w:val="BodyText"/>
        <w:spacing w:before="1"/>
        <w:rPr>
          <w:i/>
        </w:rPr>
      </w:pPr>
    </w:p>
    <w:p>
      <w:pPr>
        <w:spacing w:before="0"/>
        <w:ind w:left="747" w:right="0" w:firstLine="0"/>
        <w:jc w:val="left"/>
        <w:rPr>
          <w:b/>
          <w:sz w:val="24"/>
        </w:rPr>
      </w:pPr>
      <w:r>
        <w:rPr>
          <w:sz w:val="24"/>
        </w:rPr>
        <w:t>Common</w:t>
      </w:r>
      <w:r>
        <w:rPr>
          <w:spacing w:val="2"/>
          <w:sz w:val="24"/>
        </w:rPr>
        <w:t> </w:t>
      </w:r>
      <w:r>
        <w:rPr>
          <w:sz w:val="24"/>
        </w:rPr>
        <w:t>names</w:t>
      </w:r>
      <w:r>
        <w:rPr>
          <w:spacing w:val="3"/>
          <w:sz w:val="24"/>
        </w:rPr>
        <w:t> </w:t>
      </w:r>
      <w:r>
        <w:rPr>
          <w:sz w:val="24"/>
        </w:rPr>
        <w:t>according</w:t>
      </w:r>
      <w:r>
        <w:rPr>
          <w:spacing w:val="1"/>
          <w:sz w:val="24"/>
        </w:rPr>
        <w:t> </w:t>
      </w:r>
      <w:r>
        <w:rPr>
          <w:sz w:val="24"/>
        </w:rPr>
        <w:t>to</w:t>
      </w:r>
      <w:r>
        <w:rPr>
          <w:spacing w:val="6"/>
          <w:sz w:val="24"/>
        </w:rPr>
        <w:t> </w:t>
      </w:r>
      <w:r>
        <w:rPr>
          <w:sz w:val="24"/>
        </w:rPr>
        <w:t>Burkill</w:t>
      </w:r>
      <w:r>
        <w:rPr>
          <w:spacing w:val="4"/>
          <w:sz w:val="24"/>
        </w:rPr>
        <w:t> </w:t>
      </w:r>
      <w:r>
        <w:rPr>
          <w:sz w:val="24"/>
        </w:rPr>
        <w:t>(1985)</w:t>
      </w:r>
      <w:r>
        <w:rPr>
          <w:spacing w:val="3"/>
          <w:sz w:val="24"/>
        </w:rPr>
        <w:t> </w:t>
      </w:r>
      <w:r>
        <w:rPr>
          <w:sz w:val="24"/>
        </w:rPr>
        <w:t>are:</w:t>
      </w:r>
      <w:r>
        <w:rPr>
          <w:spacing w:val="70"/>
          <w:sz w:val="24"/>
        </w:rPr>
        <w:t> </w:t>
      </w:r>
      <w:r>
        <w:rPr>
          <w:sz w:val="24"/>
        </w:rPr>
        <w:t>Hausa:</w:t>
      </w:r>
      <w:r>
        <w:rPr>
          <w:spacing w:val="3"/>
          <w:sz w:val="24"/>
        </w:rPr>
        <w:t> </w:t>
      </w:r>
      <w:r>
        <w:rPr>
          <w:i/>
          <w:sz w:val="24"/>
        </w:rPr>
        <w:t>Farar</w:t>
      </w:r>
      <w:r>
        <w:rPr>
          <w:i/>
          <w:spacing w:val="3"/>
          <w:sz w:val="24"/>
        </w:rPr>
        <w:t> </w:t>
      </w:r>
      <w:r>
        <w:rPr>
          <w:i/>
          <w:sz w:val="24"/>
        </w:rPr>
        <w:t>Geezaa</w:t>
      </w:r>
      <w:r>
        <w:rPr>
          <w:sz w:val="24"/>
        </w:rPr>
        <w:t>;</w:t>
      </w:r>
      <w:r>
        <w:rPr>
          <w:spacing w:val="4"/>
          <w:sz w:val="24"/>
        </w:rPr>
        <w:t> </w:t>
      </w:r>
      <w:r>
        <w:rPr>
          <w:sz w:val="24"/>
        </w:rPr>
        <w:t>Yoruba:</w:t>
      </w:r>
      <w:r>
        <w:rPr>
          <w:spacing w:val="5"/>
          <w:sz w:val="24"/>
        </w:rPr>
        <w:t> </w:t>
      </w:r>
      <w:r>
        <w:rPr>
          <w:i/>
          <w:spacing w:val="-2"/>
          <w:sz w:val="24"/>
        </w:rPr>
        <w:t>Okan</w:t>
      </w:r>
      <w:r>
        <w:rPr>
          <w:b/>
          <w:spacing w:val="-2"/>
          <w:sz w:val="24"/>
        </w:rPr>
        <w:t>;</w:t>
      </w:r>
    </w:p>
    <w:p>
      <w:pPr>
        <w:pStyle w:val="BodyText"/>
        <w:rPr>
          <w:b/>
        </w:rPr>
      </w:pPr>
    </w:p>
    <w:p>
      <w:pPr>
        <w:spacing w:before="0"/>
        <w:ind w:left="747" w:right="0" w:firstLine="0"/>
        <w:jc w:val="left"/>
        <w:rPr>
          <w:i/>
          <w:sz w:val="24"/>
        </w:rPr>
      </w:pPr>
      <w:r>
        <w:rPr>
          <w:sz w:val="24"/>
        </w:rPr>
        <w:t>Igbo:</w:t>
      </w:r>
      <w:r>
        <w:rPr>
          <w:spacing w:val="-1"/>
          <w:sz w:val="24"/>
        </w:rPr>
        <w:t> </w:t>
      </w:r>
      <w:r>
        <w:rPr>
          <w:i/>
          <w:sz w:val="24"/>
        </w:rPr>
        <w:t>Nza</w:t>
      </w:r>
      <w:r>
        <w:rPr>
          <w:i/>
          <w:spacing w:val="-1"/>
          <w:sz w:val="24"/>
        </w:rPr>
        <w:t> </w:t>
      </w:r>
      <w:r>
        <w:rPr>
          <w:i/>
          <w:sz w:val="24"/>
        </w:rPr>
        <w:t>Otego</w:t>
      </w:r>
      <w:r>
        <w:rPr>
          <w:sz w:val="24"/>
        </w:rPr>
        <w:t>;</w:t>
      </w:r>
      <w:r>
        <w:rPr>
          <w:spacing w:val="1"/>
          <w:sz w:val="24"/>
        </w:rPr>
        <w:t> </w:t>
      </w:r>
      <w:r>
        <w:rPr>
          <w:sz w:val="24"/>
        </w:rPr>
        <w:t>Fulanis</w:t>
      </w:r>
      <w:r>
        <w:rPr>
          <w:spacing w:val="-1"/>
          <w:sz w:val="24"/>
        </w:rPr>
        <w:t> </w:t>
      </w:r>
      <w:r>
        <w:rPr>
          <w:sz w:val="24"/>
        </w:rPr>
        <w:t>in</w:t>
      </w:r>
      <w:r>
        <w:rPr>
          <w:spacing w:val="-1"/>
          <w:sz w:val="24"/>
        </w:rPr>
        <w:t> </w:t>
      </w:r>
      <w:r>
        <w:rPr>
          <w:sz w:val="24"/>
        </w:rPr>
        <w:t>Sokoto</w:t>
      </w:r>
      <w:r>
        <w:rPr>
          <w:i/>
          <w:sz w:val="24"/>
        </w:rPr>
        <w:t>: </w:t>
      </w:r>
      <w:r>
        <w:rPr>
          <w:i/>
          <w:spacing w:val="-2"/>
          <w:sz w:val="24"/>
        </w:rPr>
        <w:t>Gumumi</w:t>
      </w:r>
    </w:p>
    <w:p>
      <w:pPr>
        <w:spacing w:after="0"/>
        <w:jc w:val="left"/>
        <w:rPr>
          <w:sz w:val="24"/>
        </w:rPr>
        <w:sectPr>
          <w:pgSz w:w="11910" w:h="16840"/>
          <w:pgMar w:header="0" w:footer="981" w:top="1320" w:bottom="1180" w:left="1240" w:right="560"/>
        </w:sectPr>
      </w:pPr>
    </w:p>
    <w:p>
      <w:pPr>
        <w:pStyle w:val="BodyText"/>
        <w:ind w:left="747"/>
        <w:rPr>
          <w:sz w:val="20"/>
        </w:rPr>
      </w:pPr>
      <w:r>
        <w:rPr>
          <w:sz w:val="20"/>
        </w:rPr>
        <w:drawing>
          <wp:inline distT="0" distB="0" distL="0" distR="0">
            <wp:extent cx="5337469" cy="42291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7" cstate="print"/>
                    <a:stretch>
                      <a:fillRect/>
                    </a:stretch>
                  </pic:blipFill>
                  <pic:spPr>
                    <a:xfrm>
                      <a:off x="0" y="0"/>
                      <a:ext cx="5337469" cy="4229100"/>
                    </a:xfrm>
                    <a:prstGeom prst="rect">
                      <a:avLst/>
                    </a:prstGeom>
                  </pic:spPr>
                </pic:pic>
              </a:graphicData>
            </a:graphic>
          </wp:inline>
        </w:drawing>
      </w:r>
      <w:r>
        <w:rPr>
          <w:sz w:val="20"/>
        </w:rPr>
      </w:r>
    </w:p>
    <w:p>
      <w:pPr>
        <w:pStyle w:val="BodyText"/>
        <w:spacing w:before="194"/>
        <w:rPr>
          <w:i/>
        </w:rPr>
      </w:pPr>
    </w:p>
    <w:p>
      <w:pPr>
        <w:spacing w:before="1"/>
        <w:ind w:left="747" w:right="0" w:firstLine="0"/>
        <w:jc w:val="left"/>
        <w:rPr>
          <w:sz w:val="24"/>
        </w:rPr>
      </w:pPr>
      <w:r>
        <w:rPr>
          <w:sz w:val="24"/>
        </w:rPr>
        <w:t>Plate I.</w:t>
      </w:r>
      <w:r>
        <w:rPr>
          <w:spacing w:val="41"/>
          <w:sz w:val="24"/>
        </w:rPr>
        <w:t> </w:t>
      </w:r>
      <w:r>
        <w:rPr>
          <w:sz w:val="24"/>
        </w:rPr>
        <w:t>The</w:t>
      </w:r>
      <w:r>
        <w:rPr>
          <w:spacing w:val="-3"/>
          <w:sz w:val="24"/>
        </w:rPr>
        <w:t> </w:t>
      </w:r>
      <w:r>
        <w:rPr>
          <w:sz w:val="24"/>
        </w:rPr>
        <w:t>plant</w:t>
      </w:r>
      <w:r>
        <w:rPr>
          <w:spacing w:val="-1"/>
          <w:sz w:val="24"/>
        </w:rPr>
        <w:t> </w:t>
      </w:r>
      <w:r>
        <w:rPr>
          <w:i/>
          <w:sz w:val="24"/>
        </w:rPr>
        <w:t>C.</w:t>
      </w:r>
      <w:r>
        <w:rPr>
          <w:i/>
          <w:spacing w:val="-1"/>
          <w:sz w:val="24"/>
        </w:rPr>
        <w:t> </w:t>
      </w:r>
      <w:r>
        <w:rPr>
          <w:i/>
          <w:sz w:val="24"/>
        </w:rPr>
        <w:t>micranthum</w:t>
      </w:r>
      <w:r>
        <w:rPr>
          <w:i/>
          <w:spacing w:val="-1"/>
          <w:sz w:val="24"/>
        </w:rPr>
        <w:t> </w:t>
      </w:r>
      <w:r>
        <w:rPr>
          <w:sz w:val="24"/>
        </w:rPr>
        <w:t>in</w:t>
      </w:r>
      <w:r>
        <w:rPr>
          <w:spacing w:val="-1"/>
          <w:sz w:val="24"/>
        </w:rPr>
        <w:t> </w:t>
      </w:r>
      <w:r>
        <w:rPr>
          <w:sz w:val="24"/>
        </w:rPr>
        <w:t>its</w:t>
      </w:r>
      <w:r>
        <w:rPr>
          <w:spacing w:val="-1"/>
          <w:sz w:val="24"/>
        </w:rPr>
        <w:t> </w:t>
      </w:r>
      <w:r>
        <w:rPr>
          <w:sz w:val="24"/>
        </w:rPr>
        <w:t>natural </w:t>
      </w:r>
      <w:r>
        <w:rPr>
          <w:spacing w:val="-2"/>
          <w:sz w:val="24"/>
        </w:rPr>
        <w:t>environment</w:t>
      </w:r>
    </w:p>
    <w:p>
      <w:pPr>
        <w:spacing w:after="0"/>
        <w:jc w:val="left"/>
        <w:rPr>
          <w:sz w:val="24"/>
        </w:rPr>
        <w:sectPr>
          <w:pgSz w:w="11910" w:h="16840"/>
          <w:pgMar w:header="0" w:footer="981" w:top="1400" w:bottom="1180" w:left="1240" w:right="560"/>
        </w:sectPr>
      </w:pPr>
    </w:p>
    <w:p>
      <w:pPr>
        <w:pStyle w:val="BodyText"/>
        <w:ind w:left="1467"/>
        <w:rPr>
          <w:sz w:val="20"/>
        </w:rPr>
      </w:pPr>
      <w:r>
        <w:rPr>
          <w:sz w:val="20"/>
        </w:rPr>
        <w:drawing>
          <wp:inline distT="0" distB="0" distL="0" distR="0">
            <wp:extent cx="4848537" cy="434340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4848537" cy="4343400"/>
                    </a:xfrm>
                    <a:prstGeom prst="rect">
                      <a:avLst/>
                    </a:prstGeom>
                  </pic:spPr>
                </pic:pic>
              </a:graphicData>
            </a:graphic>
          </wp:inline>
        </w:drawing>
      </w:r>
      <w:r>
        <w:rPr>
          <w:sz w:val="20"/>
        </w:rPr>
      </w:r>
    </w:p>
    <w:p>
      <w:pPr>
        <w:pStyle w:val="BodyText"/>
        <w:spacing w:before="269"/>
      </w:pPr>
    </w:p>
    <w:p>
      <w:pPr>
        <w:pStyle w:val="BodyText"/>
        <w:tabs>
          <w:tab w:pos="2248" w:val="left" w:leader="none"/>
        </w:tabs>
        <w:ind w:left="747"/>
      </w:pPr>
      <w:r>
        <w:rPr/>
        <w:t>Plate</w:t>
      </w:r>
      <w:r>
        <w:rPr>
          <w:spacing w:val="1"/>
        </w:rPr>
        <w:t> </w:t>
      </w:r>
      <w:r>
        <w:rPr>
          <w:spacing w:val="-5"/>
        </w:rPr>
        <w:t>II.</w:t>
      </w:r>
      <w:r>
        <w:rPr/>
        <w:tab/>
        <w:t>The</w:t>
      </w:r>
      <w:r>
        <w:rPr>
          <w:spacing w:val="-5"/>
        </w:rPr>
        <w:t> </w:t>
      </w:r>
      <w:r>
        <w:rPr/>
        <w:t>plant</w:t>
      </w:r>
      <w:r>
        <w:rPr>
          <w:spacing w:val="-1"/>
        </w:rPr>
        <w:t> </w:t>
      </w:r>
      <w:r>
        <w:rPr>
          <w:i/>
        </w:rPr>
        <w:t>C. micranthum</w:t>
      </w:r>
      <w:r>
        <w:rPr>
          <w:i/>
          <w:spacing w:val="-1"/>
        </w:rPr>
        <w:t> </w:t>
      </w:r>
      <w:r>
        <w:rPr/>
        <w:t>in its</w:t>
      </w:r>
      <w:r>
        <w:rPr>
          <w:spacing w:val="-1"/>
        </w:rPr>
        <w:t> </w:t>
      </w:r>
      <w:r>
        <w:rPr/>
        <w:t>natural environment bearing</w:t>
      </w:r>
      <w:r>
        <w:rPr>
          <w:spacing w:val="-3"/>
        </w:rPr>
        <w:t> </w:t>
      </w:r>
      <w:r>
        <w:rPr>
          <w:spacing w:val="-2"/>
        </w:rPr>
        <w:t>fruit</w:t>
      </w:r>
    </w:p>
    <w:p>
      <w:pPr>
        <w:spacing w:after="0"/>
        <w:sectPr>
          <w:pgSz w:w="11910" w:h="16840"/>
          <w:pgMar w:header="0" w:footer="981" w:top="1400" w:bottom="1180" w:left="1240" w:right="560"/>
        </w:sectPr>
      </w:pPr>
    </w:p>
    <w:p>
      <w:pPr>
        <w:pStyle w:val="Heading2"/>
        <w:numPr>
          <w:ilvl w:val="2"/>
          <w:numId w:val="12"/>
        </w:numPr>
        <w:tabs>
          <w:tab w:pos="1466" w:val="left" w:leader="none"/>
        </w:tabs>
        <w:spacing w:line="240" w:lineRule="auto" w:before="69" w:after="0"/>
        <w:ind w:left="1466" w:right="0" w:hanging="719"/>
        <w:jc w:val="both"/>
      </w:pPr>
      <w:bookmarkStart w:name="_TOC_250008" w:id="15"/>
      <w:r>
        <w:rPr/>
        <w:t>Chemical</w:t>
      </w:r>
      <w:r>
        <w:rPr>
          <w:spacing w:val="-4"/>
        </w:rPr>
        <w:t> </w:t>
      </w:r>
      <w:bookmarkEnd w:id="15"/>
      <w:r>
        <w:rPr>
          <w:spacing w:val="-2"/>
        </w:rPr>
        <w:t>constituents</w:t>
      </w:r>
    </w:p>
    <w:p>
      <w:pPr>
        <w:pStyle w:val="BodyText"/>
        <w:spacing w:before="236"/>
        <w:rPr>
          <w:b/>
        </w:rPr>
      </w:pPr>
    </w:p>
    <w:p>
      <w:pPr>
        <w:pStyle w:val="BodyText"/>
        <w:spacing w:line="480" w:lineRule="auto"/>
        <w:ind w:left="747" w:right="845"/>
        <w:jc w:val="both"/>
      </w:pPr>
      <w:r>
        <w:rPr/>
        <w:t>The reported chemical constituents in the aqueous ethanolic root extract of </w:t>
      </w:r>
      <w:r>
        <w:rPr>
          <w:i/>
        </w:rPr>
        <w:t>C. micranthum </w:t>
      </w:r>
      <w:r>
        <w:rPr/>
        <w:t>include flavonoids, saponins, carbohydrates, anthraquinones, tannins and cardiac glycosides , while from the aqueous</w:t>
      </w:r>
      <w:r>
        <w:rPr>
          <w:spacing w:val="40"/>
        </w:rPr>
        <w:t> </w:t>
      </w:r>
      <w:r>
        <w:rPr/>
        <w:t>leaf extract, alkaloids, sterols and terpenes were found in addition to the above (Abdullahi, 2008; Welch, 2010 ).</w:t>
      </w:r>
    </w:p>
    <w:p>
      <w:pPr>
        <w:pStyle w:val="BodyText"/>
      </w:pPr>
    </w:p>
    <w:p>
      <w:pPr>
        <w:pStyle w:val="BodyText"/>
        <w:spacing w:before="1"/>
      </w:pPr>
    </w:p>
    <w:p>
      <w:pPr>
        <w:pStyle w:val="BodyText"/>
        <w:spacing w:line="480" w:lineRule="auto"/>
        <w:ind w:left="747" w:right="845"/>
        <w:jc w:val="both"/>
      </w:pPr>
      <w:r>
        <w:rPr/>
        <w:t>The chemical compositions from the ethyl-acetate and n-butanol fractions of the aqueous-ethanolic leaf extract as reported by Welch, (2010) include many polyphenolic compounds such as catechins, glycosylflavones, flavans and galloylated-C- glycosylflavone and epicatechin as well as gallic acid, mallic acid, betaine, choline, combretine, vitexin and isovitexin (C-glycosylflavone), m-inositol, sorbitol, myricetin- 3-O-glucoside and myricetin-3-O-rutinoside.</w:t>
      </w:r>
    </w:p>
    <w:p>
      <w:pPr>
        <w:pStyle w:val="BodyText"/>
      </w:pPr>
    </w:p>
    <w:p>
      <w:pPr>
        <w:pStyle w:val="BodyText"/>
        <w:spacing w:before="5"/>
      </w:pPr>
    </w:p>
    <w:p>
      <w:pPr>
        <w:pStyle w:val="ListParagraph"/>
        <w:numPr>
          <w:ilvl w:val="2"/>
          <w:numId w:val="12"/>
        </w:numPr>
        <w:tabs>
          <w:tab w:pos="1466" w:val="left" w:leader="none"/>
        </w:tabs>
        <w:spacing w:line="240" w:lineRule="auto" w:before="0" w:after="0"/>
        <w:ind w:left="1466" w:right="0" w:hanging="719"/>
        <w:jc w:val="both"/>
        <w:rPr>
          <w:b/>
          <w:i/>
          <w:sz w:val="24"/>
        </w:rPr>
      </w:pPr>
      <w:r>
        <w:rPr>
          <w:b/>
          <w:sz w:val="24"/>
        </w:rPr>
        <w:t>Ethnomedicinal</w:t>
      </w:r>
      <w:r>
        <w:rPr>
          <w:b/>
          <w:spacing w:val="-4"/>
          <w:sz w:val="24"/>
        </w:rPr>
        <w:t> </w:t>
      </w:r>
      <w:r>
        <w:rPr>
          <w:b/>
          <w:sz w:val="24"/>
        </w:rPr>
        <w:t>and</w:t>
      </w:r>
      <w:r>
        <w:rPr>
          <w:b/>
          <w:spacing w:val="-2"/>
          <w:sz w:val="24"/>
        </w:rPr>
        <w:t> </w:t>
      </w:r>
      <w:r>
        <w:rPr>
          <w:b/>
          <w:sz w:val="24"/>
        </w:rPr>
        <w:t>other</w:t>
      </w:r>
      <w:r>
        <w:rPr>
          <w:b/>
          <w:spacing w:val="-2"/>
          <w:sz w:val="24"/>
        </w:rPr>
        <w:t> </w:t>
      </w:r>
      <w:r>
        <w:rPr>
          <w:b/>
          <w:sz w:val="24"/>
        </w:rPr>
        <w:t>uses</w:t>
      </w:r>
      <w:r>
        <w:rPr>
          <w:b/>
          <w:spacing w:val="-2"/>
          <w:sz w:val="24"/>
        </w:rPr>
        <w:t> </w:t>
      </w:r>
      <w:r>
        <w:rPr>
          <w:b/>
          <w:sz w:val="24"/>
        </w:rPr>
        <w:t>of</w:t>
      </w:r>
      <w:r>
        <w:rPr>
          <w:b/>
          <w:spacing w:val="2"/>
          <w:sz w:val="24"/>
        </w:rPr>
        <w:t> </w:t>
      </w:r>
      <w:r>
        <w:rPr>
          <w:b/>
          <w:i/>
          <w:sz w:val="24"/>
        </w:rPr>
        <w:t>C.</w:t>
      </w:r>
      <w:r>
        <w:rPr>
          <w:b/>
          <w:i/>
          <w:spacing w:val="-4"/>
          <w:sz w:val="24"/>
        </w:rPr>
        <w:t> </w:t>
      </w:r>
      <w:r>
        <w:rPr>
          <w:b/>
          <w:i/>
          <w:spacing w:val="-2"/>
          <w:sz w:val="24"/>
        </w:rPr>
        <w:t>micranthum</w:t>
      </w:r>
    </w:p>
    <w:p>
      <w:pPr>
        <w:pStyle w:val="BodyText"/>
        <w:spacing w:line="480" w:lineRule="auto" w:before="271"/>
        <w:ind w:left="747" w:right="843"/>
        <w:jc w:val="both"/>
      </w:pPr>
      <w:r>
        <w:rPr/>
        <w:t>The leaf of </w:t>
      </w:r>
      <w:r>
        <w:rPr>
          <w:i/>
        </w:rPr>
        <w:t>C. micranthum </w:t>
      </w:r>
      <w:r>
        <w:rPr/>
        <w:t>is used in West Africa as herbal infusion in the treatment of biliary fever, kidney infections, naso-pharyngeal infection, colic and vomiting and has been found to possess antimalaria, diuretics, anti-inflammatory and antimicrobial properties</w:t>
      </w:r>
      <w:r>
        <w:rPr>
          <w:spacing w:val="-2"/>
        </w:rPr>
        <w:t> </w:t>
      </w:r>
      <w:r>
        <w:rPr/>
        <w:t>against both</w:t>
      </w:r>
      <w:r>
        <w:rPr>
          <w:spacing w:val="-1"/>
        </w:rPr>
        <w:t> </w:t>
      </w:r>
      <w:r>
        <w:rPr/>
        <w:t>gram</w:t>
      </w:r>
      <w:r>
        <w:rPr>
          <w:spacing w:val="-1"/>
        </w:rPr>
        <w:t> </w:t>
      </w:r>
      <w:r>
        <w:rPr/>
        <w:t>positive</w:t>
      </w:r>
      <w:r>
        <w:rPr>
          <w:spacing w:val="-2"/>
        </w:rPr>
        <w:t> </w:t>
      </w:r>
      <w:r>
        <w:rPr/>
        <w:t>and</w:t>
      </w:r>
      <w:r>
        <w:rPr>
          <w:spacing w:val="-1"/>
        </w:rPr>
        <w:t> </w:t>
      </w:r>
      <w:r>
        <w:rPr/>
        <w:t>negative organisms</w:t>
      </w:r>
      <w:r>
        <w:rPr>
          <w:spacing w:val="-1"/>
        </w:rPr>
        <w:t> </w:t>
      </w:r>
      <w:r>
        <w:rPr/>
        <w:t>(Yaouba </w:t>
      </w:r>
      <w:r>
        <w:rPr>
          <w:i/>
        </w:rPr>
        <w:t>et</w:t>
      </w:r>
      <w:r>
        <w:rPr>
          <w:i/>
          <w:spacing w:val="-1"/>
        </w:rPr>
        <w:t> </w:t>
      </w:r>
      <w:r>
        <w:rPr>
          <w:i/>
        </w:rPr>
        <w:t>al</w:t>
      </w:r>
      <w:r>
        <w:rPr/>
        <w:t>.,</w:t>
      </w:r>
      <w:r>
        <w:rPr>
          <w:spacing w:val="-1"/>
        </w:rPr>
        <w:t> </w:t>
      </w:r>
      <w:r>
        <w:rPr/>
        <w:t>2012).</w:t>
      </w:r>
      <w:r>
        <w:rPr>
          <w:spacing w:val="-2"/>
        </w:rPr>
        <w:t> </w:t>
      </w:r>
      <w:r>
        <w:rPr/>
        <w:t>The leaves decoction or fresh leaves have been used to treat coughs, bronchitis,</w:t>
      </w:r>
      <w:r>
        <w:rPr>
          <w:spacing w:val="80"/>
        </w:rPr>
        <w:t> </w:t>
      </w:r>
      <w:r>
        <w:rPr/>
        <w:t>hepatobiliary diseases, hepatitis and malaria (Ancolio </w:t>
      </w:r>
      <w:r>
        <w:rPr>
          <w:i/>
        </w:rPr>
        <w:t>et al</w:t>
      </w:r>
      <w:r>
        <w:rPr/>
        <w:t>., 2002); and in combination with the other plant parts it is used in the treatment of beri-beri, haemorrhage, leprosy, enuresis, blenorrhagia, infantile and adult diarrheoa (Burkill, 1985, Kola and Benjamin, </w:t>
      </w:r>
      <w:r>
        <w:rPr>
          <w:spacing w:val="-2"/>
        </w:rPr>
        <w:t>2002).</w:t>
      </w:r>
    </w:p>
    <w:p>
      <w:pPr>
        <w:pStyle w:val="BodyText"/>
        <w:spacing w:line="480" w:lineRule="auto" w:before="214"/>
        <w:ind w:left="747" w:right="854"/>
        <w:jc w:val="both"/>
      </w:pPr>
      <w:r>
        <w:rPr/>
        <w:t>A root decoction is vermifugal and is said to have been used for sore washes as antiseptic</w:t>
      </w:r>
      <w:r>
        <w:rPr>
          <w:spacing w:val="55"/>
        </w:rPr>
        <w:t> </w:t>
      </w:r>
      <w:r>
        <w:rPr/>
        <w:t>for</w:t>
      </w:r>
      <w:r>
        <w:rPr>
          <w:spacing w:val="57"/>
        </w:rPr>
        <w:t> </w:t>
      </w:r>
      <w:r>
        <w:rPr/>
        <w:t>washing</w:t>
      </w:r>
      <w:r>
        <w:rPr>
          <w:spacing w:val="57"/>
        </w:rPr>
        <w:t> </w:t>
      </w:r>
      <w:r>
        <w:rPr/>
        <w:t>open</w:t>
      </w:r>
      <w:r>
        <w:rPr>
          <w:spacing w:val="56"/>
        </w:rPr>
        <w:t> </w:t>
      </w:r>
      <w:r>
        <w:rPr/>
        <w:t>wounds</w:t>
      </w:r>
      <w:r>
        <w:rPr>
          <w:spacing w:val="56"/>
        </w:rPr>
        <w:t> </w:t>
      </w:r>
      <w:r>
        <w:rPr/>
        <w:t>and</w:t>
      </w:r>
      <w:r>
        <w:rPr>
          <w:spacing w:val="59"/>
        </w:rPr>
        <w:t> </w:t>
      </w:r>
      <w:r>
        <w:rPr/>
        <w:t>also</w:t>
      </w:r>
      <w:r>
        <w:rPr>
          <w:spacing w:val="59"/>
        </w:rPr>
        <w:t> </w:t>
      </w:r>
      <w:r>
        <w:rPr/>
        <w:t>drunk</w:t>
      </w:r>
      <w:r>
        <w:rPr>
          <w:spacing w:val="56"/>
        </w:rPr>
        <w:t> </w:t>
      </w:r>
      <w:r>
        <w:rPr/>
        <w:t>for</w:t>
      </w:r>
      <w:r>
        <w:rPr>
          <w:spacing w:val="55"/>
        </w:rPr>
        <w:t> </w:t>
      </w:r>
      <w:r>
        <w:rPr/>
        <w:t>treatment</w:t>
      </w:r>
      <w:r>
        <w:rPr>
          <w:spacing w:val="56"/>
        </w:rPr>
        <w:t> </w:t>
      </w:r>
      <w:r>
        <w:rPr/>
        <w:t>of</w:t>
      </w:r>
      <w:r>
        <w:rPr>
          <w:spacing w:val="58"/>
        </w:rPr>
        <w:t> </w:t>
      </w:r>
      <w:r>
        <w:rPr/>
        <w:t>guinea</w:t>
      </w:r>
      <w:r>
        <w:rPr>
          <w:spacing w:val="56"/>
        </w:rPr>
        <w:t> </w:t>
      </w:r>
      <w:r>
        <w:rPr>
          <w:spacing w:val="-4"/>
        </w:rPr>
        <w:t>worm</w:t>
      </w:r>
    </w:p>
    <w:p>
      <w:pPr>
        <w:spacing w:after="0" w:line="480" w:lineRule="auto"/>
        <w:jc w:val="both"/>
        <w:sectPr>
          <w:pgSz w:w="11910" w:h="16840"/>
          <w:pgMar w:header="0" w:footer="981" w:top="1320" w:bottom="1180" w:left="1240" w:right="560"/>
        </w:sectPr>
      </w:pPr>
    </w:p>
    <w:p>
      <w:pPr>
        <w:pStyle w:val="BodyText"/>
        <w:spacing w:line="480" w:lineRule="auto" w:before="64"/>
        <w:ind w:left="747" w:right="847"/>
        <w:jc w:val="both"/>
      </w:pPr>
      <w:r>
        <w:rPr/>
        <w:t>infestations (Yaouba </w:t>
      </w:r>
      <w:r>
        <w:rPr>
          <w:i/>
        </w:rPr>
        <w:t>et al</w:t>
      </w:r>
      <w:r>
        <w:rPr/>
        <w:t>., 2012). The dried powdered root and fruit when mixed with palm oil is used in the treatment of sprain, bruises, suppurating swellings and abscesses whether of syphilic or other origin (Burkill, 1985).</w:t>
      </w:r>
    </w:p>
    <w:p>
      <w:pPr>
        <w:pStyle w:val="BodyText"/>
      </w:pPr>
    </w:p>
    <w:p>
      <w:pPr>
        <w:pStyle w:val="BodyText"/>
        <w:spacing w:before="1"/>
      </w:pPr>
    </w:p>
    <w:p>
      <w:pPr>
        <w:pStyle w:val="BodyText"/>
        <w:spacing w:line="480" w:lineRule="auto"/>
        <w:ind w:left="747" w:right="844"/>
        <w:jc w:val="both"/>
      </w:pPr>
      <w:r>
        <w:rPr/>
        <w:t>Other</w:t>
      </w:r>
      <w:r>
        <w:rPr>
          <w:spacing w:val="-2"/>
        </w:rPr>
        <w:t> </w:t>
      </w:r>
      <w:r>
        <w:rPr/>
        <w:t>traditional</w:t>
      </w:r>
      <w:r>
        <w:rPr>
          <w:spacing w:val="-2"/>
        </w:rPr>
        <w:t> </w:t>
      </w:r>
      <w:r>
        <w:rPr/>
        <w:t>uses</w:t>
      </w:r>
      <w:r>
        <w:rPr>
          <w:spacing w:val="-2"/>
        </w:rPr>
        <w:t> </w:t>
      </w:r>
      <w:r>
        <w:rPr/>
        <w:t>of</w:t>
      </w:r>
      <w:r>
        <w:rPr>
          <w:spacing w:val="-2"/>
        </w:rPr>
        <w:t> </w:t>
      </w:r>
      <w:r>
        <w:rPr/>
        <w:t>the</w:t>
      </w:r>
      <w:r>
        <w:rPr>
          <w:spacing w:val="-3"/>
        </w:rPr>
        <w:t> </w:t>
      </w:r>
      <w:r>
        <w:rPr/>
        <w:t>plant</w:t>
      </w:r>
      <w:r>
        <w:rPr>
          <w:spacing w:val="-2"/>
        </w:rPr>
        <w:t> </w:t>
      </w:r>
      <w:r>
        <w:rPr/>
        <w:t>are</w:t>
      </w:r>
      <w:r>
        <w:rPr>
          <w:spacing w:val="-1"/>
        </w:rPr>
        <w:t> </w:t>
      </w:r>
      <w:r>
        <w:rPr/>
        <w:t>as forage</w:t>
      </w:r>
      <w:r>
        <w:rPr>
          <w:spacing w:val="-3"/>
        </w:rPr>
        <w:t> </w:t>
      </w:r>
      <w:r>
        <w:rPr/>
        <w:t>in</w:t>
      </w:r>
      <w:r>
        <w:rPr>
          <w:spacing w:val="-2"/>
        </w:rPr>
        <w:t> </w:t>
      </w:r>
      <w:r>
        <w:rPr/>
        <w:t>the</w:t>
      </w:r>
      <w:r>
        <w:rPr>
          <w:spacing w:val="-3"/>
        </w:rPr>
        <w:t> </w:t>
      </w:r>
      <w:r>
        <w:rPr/>
        <w:t>dry</w:t>
      </w:r>
      <w:r>
        <w:rPr>
          <w:spacing w:val="-7"/>
        </w:rPr>
        <w:t> </w:t>
      </w:r>
      <w:r>
        <w:rPr/>
        <w:t>season</w:t>
      </w:r>
      <w:r>
        <w:rPr>
          <w:spacing w:val="-2"/>
        </w:rPr>
        <w:t> </w:t>
      </w:r>
      <w:r>
        <w:rPr/>
        <w:t>for</w:t>
      </w:r>
      <w:r>
        <w:rPr>
          <w:spacing w:val="-2"/>
        </w:rPr>
        <w:t> </w:t>
      </w:r>
      <w:r>
        <w:rPr/>
        <w:t>animals in Northern Nigeria; in making large baskets (Kwando) which are used to store grain or to hold fowls; as building materials and as fuel for firewoods (Burkill, 1985).</w:t>
      </w:r>
    </w:p>
    <w:p>
      <w:pPr>
        <w:pStyle w:val="BodyText"/>
      </w:pPr>
    </w:p>
    <w:p>
      <w:pPr>
        <w:pStyle w:val="BodyText"/>
        <w:spacing w:before="5"/>
      </w:pPr>
    </w:p>
    <w:p>
      <w:pPr>
        <w:pStyle w:val="ListParagraph"/>
        <w:numPr>
          <w:ilvl w:val="2"/>
          <w:numId w:val="12"/>
        </w:numPr>
        <w:tabs>
          <w:tab w:pos="1406" w:val="left" w:leader="none"/>
        </w:tabs>
        <w:spacing w:line="240" w:lineRule="auto" w:before="1" w:after="0"/>
        <w:ind w:left="1406" w:right="0" w:hanging="659"/>
        <w:jc w:val="both"/>
        <w:rPr>
          <w:b/>
          <w:sz w:val="24"/>
        </w:rPr>
      </w:pPr>
      <w:r>
        <w:rPr>
          <w:b/>
          <w:sz w:val="24"/>
        </w:rPr>
        <w:t>Previous</w:t>
      </w:r>
      <w:r>
        <w:rPr>
          <w:b/>
          <w:spacing w:val="-2"/>
          <w:sz w:val="24"/>
        </w:rPr>
        <w:t> </w:t>
      </w:r>
      <w:r>
        <w:rPr>
          <w:b/>
          <w:sz w:val="24"/>
        </w:rPr>
        <w:t>studies</w:t>
      </w:r>
      <w:r>
        <w:rPr>
          <w:b/>
          <w:spacing w:val="-2"/>
          <w:sz w:val="24"/>
        </w:rPr>
        <w:t> </w:t>
      </w:r>
      <w:r>
        <w:rPr>
          <w:b/>
          <w:sz w:val="24"/>
        </w:rPr>
        <w:t>reported</w:t>
      </w:r>
      <w:r>
        <w:rPr>
          <w:b/>
          <w:spacing w:val="-2"/>
          <w:sz w:val="24"/>
        </w:rPr>
        <w:t> </w:t>
      </w:r>
      <w:r>
        <w:rPr>
          <w:b/>
          <w:sz w:val="24"/>
        </w:rPr>
        <w:t>on</w:t>
      </w:r>
      <w:r>
        <w:rPr>
          <w:b/>
          <w:spacing w:val="1"/>
          <w:sz w:val="24"/>
        </w:rPr>
        <w:t> </w:t>
      </w:r>
      <w:r>
        <w:rPr>
          <w:b/>
          <w:i/>
          <w:sz w:val="24"/>
        </w:rPr>
        <w:t>C.</w:t>
      </w:r>
      <w:r>
        <w:rPr>
          <w:b/>
          <w:i/>
          <w:spacing w:val="-2"/>
          <w:sz w:val="24"/>
        </w:rPr>
        <w:t> </w:t>
      </w:r>
      <w:r>
        <w:rPr>
          <w:b/>
          <w:i/>
          <w:sz w:val="24"/>
        </w:rPr>
        <w:t>micranthum</w:t>
      </w:r>
      <w:r>
        <w:rPr>
          <w:b/>
          <w:i/>
          <w:spacing w:val="2"/>
          <w:sz w:val="24"/>
        </w:rPr>
        <w:t> </w:t>
      </w:r>
      <w:r>
        <w:rPr>
          <w:b/>
          <w:spacing w:val="-4"/>
          <w:sz w:val="24"/>
        </w:rPr>
        <w:t>plant</w:t>
      </w:r>
    </w:p>
    <w:p>
      <w:pPr>
        <w:pStyle w:val="BodyText"/>
        <w:spacing w:line="480" w:lineRule="auto" w:before="271"/>
        <w:ind w:left="747" w:right="845"/>
        <w:jc w:val="both"/>
      </w:pPr>
      <w:r>
        <w:rPr/>
        <w:t>The aqueous ethanol root extract had been reported to possess dose-dependent anticonvulsant activity in both electroshock and chemically induced convulsions (Danmalam </w:t>
      </w:r>
      <w:r>
        <w:rPr>
          <w:i/>
        </w:rPr>
        <w:t>et al</w:t>
      </w:r>
      <w:r>
        <w:rPr/>
        <w:t>., 2011). The aqueous ethanol leaf and stem-bark extracts were also reported to have shown analgesic, anti-inflammatory and antidiarrhoeal properties (Abdullahi, 2008); while the aqueous leaf extract: showed antipyretic, analgesic and anti-inflammatory activity (Olajide </w:t>
      </w:r>
      <w:r>
        <w:rPr>
          <w:i/>
        </w:rPr>
        <w:t>et al</w:t>
      </w:r>
      <w:r>
        <w:rPr/>
        <w:t>., 2003); as well as significant antidiabetic property for type II diabetes mellitus (Aminu and Oricha, 2010). The aqueous extract from the fresh leaves also showed antibacterial activity (Uduma </w:t>
      </w:r>
      <w:r>
        <w:rPr>
          <w:i/>
        </w:rPr>
        <w:t>et al</w:t>
      </w:r>
      <w:r>
        <w:rPr/>
        <w:t>., 2012) and the methanol leaf extract showed inhibitory effect on herpes virus types I and II (Ferrea </w:t>
      </w:r>
      <w:r>
        <w:rPr>
          <w:i/>
        </w:rPr>
        <w:t>et al</w:t>
      </w:r>
      <w:r>
        <w:rPr/>
        <w:t>., 1993).</w:t>
      </w: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pStyle w:val="Heading2"/>
        <w:numPr>
          <w:ilvl w:val="1"/>
          <w:numId w:val="11"/>
        </w:numPr>
        <w:tabs>
          <w:tab w:pos="4302" w:val="left" w:leader="none"/>
        </w:tabs>
        <w:spacing w:line="240" w:lineRule="auto" w:before="0" w:after="0"/>
        <w:ind w:left="4302" w:right="0" w:hanging="720"/>
        <w:jc w:val="left"/>
      </w:pPr>
      <w:bookmarkStart w:name="_TOC_250007" w:id="16"/>
      <w:r>
        <w:rPr/>
        <w:t>The</w:t>
      </w:r>
      <w:r>
        <w:rPr>
          <w:spacing w:val="-3"/>
        </w:rPr>
        <w:t> </w:t>
      </w:r>
      <w:r>
        <w:rPr/>
        <w:t>Immune</w:t>
      </w:r>
      <w:r>
        <w:rPr>
          <w:spacing w:val="-3"/>
        </w:rPr>
        <w:t> </w:t>
      </w:r>
      <w:bookmarkEnd w:id="16"/>
      <w:r>
        <w:rPr>
          <w:spacing w:val="-2"/>
        </w:rPr>
        <w:t>System</w:t>
      </w:r>
    </w:p>
    <w:p>
      <w:pPr>
        <w:pStyle w:val="BodyText"/>
        <w:spacing w:line="480" w:lineRule="auto" w:before="246"/>
        <w:ind w:left="747" w:right="852"/>
        <w:jc w:val="both"/>
      </w:pPr>
      <w:r>
        <w:rPr/>
        <w:t>The immune system is a collection of organs, cells and tissues that work synergistically to</w:t>
      </w:r>
      <w:r>
        <w:rPr>
          <w:spacing w:val="41"/>
        </w:rPr>
        <w:t> </w:t>
      </w:r>
      <w:r>
        <w:rPr/>
        <w:t>protect</w:t>
      </w:r>
      <w:r>
        <w:rPr>
          <w:spacing w:val="43"/>
        </w:rPr>
        <w:t> </w:t>
      </w:r>
      <w:r>
        <w:rPr/>
        <w:t>the</w:t>
      </w:r>
      <w:r>
        <w:rPr>
          <w:spacing w:val="44"/>
        </w:rPr>
        <w:t> </w:t>
      </w:r>
      <w:r>
        <w:rPr/>
        <w:t>body</w:t>
      </w:r>
      <w:r>
        <w:rPr>
          <w:spacing w:val="38"/>
        </w:rPr>
        <w:t> </w:t>
      </w:r>
      <w:r>
        <w:rPr/>
        <w:t>from</w:t>
      </w:r>
      <w:r>
        <w:rPr>
          <w:spacing w:val="43"/>
        </w:rPr>
        <w:t> </w:t>
      </w:r>
      <w:r>
        <w:rPr/>
        <w:t>diseases</w:t>
      </w:r>
      <w:r>
        <w:rPr>
          <w:spacing w:val="45"/>
        </w:rPr>
        <w:t> </w:t>
      </w:r>
      <w:r>
        <w:rPr/>
        <w:t>caused</w:t>
      </w:r>
      <w:r>
        <w:rPr>
          <w:spacing w:val="44"/>
        </w:rPr>
        <w:t> </w:t>
      </w:r>
      <w:r>
        <w:rPr/>
        <w:t>mostly</w:t>
      </w:r>
      <w:r>
        <w:rPr>
          <w:spacing w:val="38"/>
        </w:rPr>
        <w:t> </w:t>
      </w:r>
      <w:r>
        <w:rPr/>
        <w:t>by</w:t>
      </w:r>
      <w:r>
        <w:rPr>
          <w:spacing w:val="40"/>
        </w:rPr>
        <w:t> </w:t>
      </w:r>
      <w:r>
        <w:rPr/>
        <w:t>pathogenic</w:t>
      </w:r>
      <w:r>
        <w:rPr>
          <w:spacing w:val="44"/>
        </w:rPr>
        <w:t> </w:t>
      </w:r>
      <w:r>
        <w:rPr/>
        <w:t>organisms</w:t>
      </w:r>
      <w:r>
        <w:rPr>
          <w:spacing w:val="43"/>
        </w:rPr>
        <w:t> </w:t>
      </w:r>
      <w:r>
        <w:rPr>
          <w:spacing w:val="-2"/>
        </w:rPr>
        <w:t>(bacteria,</w:t>
      </w:r>
    </w:p>
    <w:p>
      <w:pPr>
        <w:spacing w:after="0" w:line="480" w:lineRule="auto"/>
        <w:jc w:val="both"/>
        <w:sectPr>
          <w:pgSz w:w="11910" w:h="16840"/>
          <w:pgMar w:header="0" w:footer="981" w:top="1320" w:bottom="1180" w:left="1240" w:right="560"/>
        </w:sectPr>
      </w:pPr>
    </w:p>
    <w:p>
      <w:pPr>
        <w:pStyle w:val="BodyText"/>
        <w:spacing w:line="480" w:lineRule="auto" w:before="64"/>
        <w:ind w:left="747" w:right="845"/>
        <w:jc w:val="both"/>
      </w:pPr>
      <w:r>
        <w:rPr/>
        <w:t>viruses, parasites and fungi) as to maintain homeostatic balance between the body and the environment (Finlay and McFadden, 2006).</w:t>
      </w:r>
      <w:r>
        <w:rPr>
          <w:spacing w:val="40"/>
        </w:rPr>
        <w:t> </w:t>
      </w:r>
      <w:r>
        <w:rPr/>
        <w:t>In its normal functions, the immune system maintains homeostasis by generating protective responses that ensure good health, but when tuned abnormally that the immune system becomes unable to distinguish between the normal body cells and foreign cells, conditions like autoimmunity, cancer, diabetes or chronic inflammations which are very difficult to</w:t>
      </w:r>
      <w:r>
        <w:rPr>
          <w:spacing w:val="40"/>
        </w:rPr>
        <w:t> </w:t>
      </w:r>
      <w:r>
        <w:rPr/>
        <w:t>treat may occur.</w:t>
      </w:r>
      <w:r>
        <w:rPr>
          <w:spacing w:val="40"/>
        </w:rPr>
        <w:t> </w:t>
      </w:r>
      <w:r>
        <w:rPr/>
        <w:t>As with other physiologic systems, the immune system is carefully regulated in its function and an important form of regulation concerns the prevention of immune responses against self antigens. Disturbances in these regulatory mechanisms</w:t>
      </w:r>
      <w:r>
        <w:rPr>
          <w:spacing w:val="80"/>
        </w:rPr>
        <w:t> </w:t>
      </w:r>
      <w:r>
        <w:rPr/>
        <w:t>as may be caused by conditions such as congenital defects, hormonal imbalance, or infection may have disastrous consequences. For instance, AIDs is associated with a viral</w:t>
      </w:r>
      <w:r>
        <w:rPr>
          <w:spacing w:val="-3"/>
        </w:rPr>
        <w:t> </w:t>
      </w:r>
      <w:r>
        <w:rPr/>
        <w:t>infection</w:t>
      </w:r>
      <w:r>
        <w:rPr>
          <w:spacing w:val="-3"/>
        </w:rPr>
        <w:t> </w:t>
      </w:r>
      <w:r>
        <w:rPr/>
        <w:t>of</w:t>
      </w:r>
      <w:r>
        <w:rPr>
          <w:spacing w:val="-2"/>
        </w:rPr>
        <w:t> </w:t>
      </w:r>
      <w:r>
        <w:rPr/>
        <w:t>the</w:t>
      </w:r>
      <w:r>
        <w:rPr>
          <w:spacing w:val="-3"/>
        </w:rPr>
        <w:t> </w:t>
      </w:r>
      <w:r>
        <w:rPr/>
        <w:t>T-lymphocytes</w:t>
      </w:r>
      <w:r>
        <w:rPr>
          <w:spacing w:val="-3"/>
        </w:rPr>
        <w:t> </w:t>
      </w:r>
      <w:r>
        <w:rPr/>
        <w:t>that</w:t>
      </w:r>
      <w:r>
        <w:rPr>
          <w:spacing w:val="-3"/>
        </w:rPr>
        <w:t> </w:t>
      </w:r>
      <w:r>
        <w:rPr/>
        <w:t>participates</w:t>
      </w:r>
      <w:r>
        <w:rPr>
          <w:spacing w:val="-3"/>
        </w:rPr>
        <w:t> </w:t>
      </w:r>
      <w:r>
        <w:rPr/>
        <w:t>in</w:t>
      </w:r>
      <w:r>
        <w:rPr>
          <w:spacing w:val="-3"/>
        </w:rPr>
        <w:t> </w:t>
      </w:r>
      <w:r>
        <w:rPr/>
        <w:t>regulating</w:t>
      </w:r>
      <w:r>
        <w:rPr>
          <w:spacing w:val="-6"/>
        </w:rPr>
        <w:t> </w:t>
      </w:r>
      <w:r>
        <w:rPr/>
        <w:t>the</w:t>
      </w:r>
      <w:r>
        <w:rPr>
          <w:spacing w:val="-3"/>
        </w:rPr>
        <w:t> </w:t>
      </w:r>
      <w:r>
        <w:rPr/>
        <w:t>immune</w:t>
      </w:r>
      <w:r>
        <w:rPr>
          <w:spacing w:val="-4"/>
        </w:rPr>
        <w:t> </w:t>
      </w:r>
      <w:r>
        <w:rPr/>
        <w:t>response. The</w:t>
      </w:r>
      <w:r>
        <w:rPr>
          <w:spacing w:val="-4"/>
        </w:rPr>
        <w:t> </w:t>
      </w:r>
      <w:r>
        <w:rPr/>
        <w:t>T-lymphocyte</w:t>
      </w:r>
      <w:r>
        <w:rPr>
          <w:spacing w:val="-3"/>
        </w:rPr>
        <w:t> </w:t>
      </w:r>
      <w:r>
        <w:rPr/>
        <w:t>infested</w:t>
      </w:r>
      <w:r>
        <w:rPr>
          <w:spacing w:val="-3"/>
        </w:rPr>
        <w:t> </w:t>
      </w:r>
      <w:r>
        <w:rPr/>
        <w:t>with</w:t>
      </w:r>
      <w:r>
        <w:rPr>
          <w:spacing w:val="-3"/>
        </w:rPr>
        <w:t> </w:t>
      </w:r>
      <w:r>
        <w:rPr/>
        <w:t>human</w:t>
      </w:r>
      <w:r>
        <w:rPr>
          <w:spacing w:val="-3"/>
        </w:rPr>
        <w:t> </w:t>
      </w:r>
      <w:r>
        <w:rPr/>
        <w:t>immunodeficiency</w:t>
      </w:r>
      <w:r>
        <w:rPr>
          <w:spacing w:val="-6"/>
        </w:rPr>
        <w:t> </w:t>
      </w:r>
      <w:r>
        <w:rPr/>
        <w:t>virus</w:t>
      </w:r>
      <w:r>
        <w:rPr>
          <w:spacing w:val="-3"/>
        </w:rPr>
        <w:t> </w:t>
      </w:r>
      <w:r>
        <w:rPr/>
        <w:t>(HIV)</w:t>
      </w:r>
      <w:r>
        <w:rPr>
          <w:spacing w:val="-5"/>
        </w:rPr>
        <w:t> </w:t>
      </w:r>
      <w:r>
        <w:rPr/>
        <w:t>produces</w:t>
      </w:r>
      <w:r>
        <w:rPr>
          <w:spacing w:val="-3"/>
        </w:rPr>
        <w:t> </w:t>
      </w:r>
      <w:r>
        <w:rPr/>
        <w:t>AIDs</w:t>
      </w:r>
      <w:r>
        <w:rPr>
          <w:spacing w:val="-2"/>
        </w:rPr>
        <w:t> </w:t>
      </w:r>
      <w:r>
        <w:rPr/>
        <w:t>- a</w:t>
      </w:r>
      <w:r>
        <w:rPr>
          <w:spacing w:val="-1"/>
        </w:rPr>
        <w:t> </w:t>
      </w:r>
      <w:r>
        <w:rPr/>
        <w:t>decrease</w:t>
      </w:r>
      <w:r>
        <w:rPr>
          <w:spacing w:val="-1"/>
        </w:rPr>
        <w:t> </w:t>
      </w:r>
      <w:r>
        <w:rPr/>
        <w:t>in occurrence and function of</w:t>
      </w:r>
      <w:r>
        <w:rPr>
          <w:spacing w:val="-1"/>
        </w:rPr>
        <w:t> </w:t>
      </w:r>
      <w:r>
        <w:rPr/>
        <w:t>one</w:t>
      </w:r>
      <w:r>
        <w:rPr>
          <w:spacing w:val="-1"/>
        </w:rPr>
        <w:t> </w:t>
      </w:r>
      <w:r>
        <w:rPr/>
        <w:t>vital sub-population of</w:t>
      </w:r>
      <w:r>
        <w:rPr>
          <w:spacing w:val="-1"/>
        </w:rPr>
        <w:t> </w:t>
      </w:r>
      <w:r>
        <w:rPr/>
        <w:t>T-cells, resulting in immunologic deficiency of inability to resist infections that are ordinarily benign (Mackay, 2001).</w:t>
      </w:r>
    </w:p>
    <w:p>
      <w:pPr>
        <w:pStyle w:val="BodyText"/>
      </w:pPr>
    </w:p>
    <w:p>
      <w:pPr>
        <w:pStyle w:val="BodyText"/>
        <w:spacing w:before="7"/>
      </w:pPr>
    </w:p>
    <w:p>
      <w:pPr>
        <w:pStyle w:val="Heading2"/>
        <w:numPr>
          <w:ilvl w:val="2"/>
          <w:numId w:val="11"/>
        </w:numPr>
        <w:tabs>
          <w:tab w:pos="1466" w:val="left" w:leader="none"/>
        </w:tabs>
        <w:spacing w:line="240" w:lineRule="auto" w:before="0" w:after="0"/>
        <w:ind w:left="1466" w:right="0" w:hanging="719"/>
        <w:jc w:val="both"/>
      </w:pPr>
      <w:bookmarkStart w:name="_TOC_250006" w:id="17"/>
      <w:bookmarkEnd w:id="17"/>
      <w:r>
        <w:rPr>
          <w:spacing w:val="-2"/>
        </w:rPr>
        <w:t>Immunity</w:t>
      </w:r>
    </w:p>
    <w:p>
      <w:pPr>
        <w:pStyle w:val="BodyText"/>
        <w:spacing w:line="480" w:lineRule="auto" w:before="272"/>
        <w:ind w:left="747" w:right="844"/>
        <w:jc w:val="both"/>
      </w:pPr>
      <w:r>
        <w:rPr/>
        <w:t>Immunity is the ability to withstand and resist a subsequent attack or exposure to the same offending agent - a mechanism used by the body for protection against foreign agents; and the component weapons for this could be surface or internal elements (cellular, non-cellular or chemical). There are Innate and Acquired immunity.</w:t>
      </w:r>
      <w:r>
        <w:rPr>
          <w:spacing w:val="40"/>
        </w:rPr>
        <w:t> </w:t>
      </w:r>
      <w:r>
        <w:rPr/>
        <w:t>Innate immunity is the use of inborn elements which are always present and available at very short notices to mount protection or immune response to foreign invaders; while acquired</w:t>
      </w:r>
      <w:r>
        <w:rPr>
          <w:spacing w:val="25"/>
        </w:rPr>
        <w:t> </w:t>
      </w:r>
      <w:r>
        <w:rPr/>
        <w:t>immunity</w:t>
      </w:r>
      <w:r>
        <w:rPr>
          <w:spacing w:val="22"/>
        </w:rPr>
        <w:t> </w:t>
      </w:r>
      <w:r>
        <w:rPr/>
        <w:t>uses</w:t>
      </w:r>
      <w:r>
        <w:rPr>
          <w:spacing w:val="29"/>
        </w:rPr>
        <w:t> </w:t>
      </w:r>
      <w:r>
        <w:rPr/>
        <w:t>specific</w:t>
      </w:r>
      <w:r>
        <w:rPr>
          <w:spacing w:val="26"/>
        </w:rPr>
        <w:t> </w:t>
      </w:r>
      <w:r>
        <w:rPr/>
        <w:t>invader</w:t>
      </w:r>
      <w:r>
        <w:rPr>
          <w:spacing w:val="27"/>
        </w:rPr>
        <w:t> </w:t>
      </w:r>
      <w:r>
        <w:rPr/>
        <w:t>contact</w:t>
      </w:r>
      <w:r>
        <w:rPr>
          <w:spacing w:val="28"/>
        </w:rPr>
        <w:t> </w:t>
      </w:r>
      <w:r>
        <w:rPr/>
        <w:t>elements</w:t>
      </w:r>
      <w:r>
        <w:rPr>
          <w:spacing w:val="28"/>
        </w:rPr>
        <w:t> </w:t>
      </w:r>
      <w:r>
        <w:rPr/>
        <w:t>that</w:t>
      </w:r>
      <w:r>
        <w:rPr>
          <w:spacing w:val="27"/>
        </w:rPr>
        <w:t> </w:t>
      </w:r>
      <w:r>
        <w:rPr/>
        <w:t>supplements</w:t>
      </w:r>
      <w:r>
        <w:rPr>
          <w:spacing w:val="27"/>
        </w:rPr>
        <w:t> </w:t>
      </w:r>
      <w:r>
        <w:rPr/>
        <w:t>the</w:t>
      </w:r>
      <w:r>
        <w:rPr>
          <w:spacing w:val="28"/>
        </w:rPr>
        <w:t> </w:t>
      </w:r>
      <w:r>
        <w:rPr>
          <w:spacing w:val="-2"/>
        </w:rPr>
        <w:t>innate</w:t>
      </w:r>
    </w:p>
    <w:p>
      <w:pPr>
        <w:spacing w:after="0" w:line="480" w:lineRule="auto"/>
        <w:jc w:val="both"/>
        <w:sectPr>
          <w:pgSz w:w="11910" w:h="16840"/>
          <w:pgMar w:header="0" w:footer="981" w:top="1320" w:bottom="1180" w:left="1240" w:right="560"/>
        </w:sectPr>
      </w:pPr>
    </w:p>
    <w:p>
      <w:pPr>
        <w:pStyle w:val="BodyText"/>
        <w:spacing w:line="480" w:lineRule="auto" w:before="64"/>
        <w:ind w:left="747" w:right="852"/>
        <w:jc w:val="both"/>
      </w:pPr>
      <w:r>
        <w:rPr/>
        <w:t>elements against such invader; and an acquired immunity is present only in vertebrates. The innate and acquired immune systems play an integrated role in the prevention of</w:t>
      </w:r>
      <w:r>
        <w:rPr>
          <w:spacing w:val="40"/>
        </w:rPr>
        <w:t> </w:t>
      </w:r>
      <w:r>
        <w:rPr/>
        <w:t>and recovery from infectious diseases and are essential to the survival of an individual (Beck and Gail, 1996).</w:t>
      </w:r>
    </w:p>
    <w:p>
      <w:pPr>
        <w:pStyle w:val="BodyText"/>
      </w:pPr>
    </w:p>
    <w:p>
      <w:pPr>
        <w:pStyle w:val="BodyText"/>
        <w:spacing w:before="6"/>
      </w:pPr>
    </w:p>
    <w:p>
      <w:pPr>
        <w:pStyle w:val="Heading2"/>
        <w:numPr>
          <w:ilvl w:val="2"/>
          <w:numId w:val="11"/>
        </w:numPr>
        <w:tabs>
          <w:tab w:pos="1466" w:val="left" w:leader="none"/>
        </w:tabs>
        <w:spacing w:line="240" w:lineRule="auto" w:before="0" w:after="0"/>
        <w:ind w:left="1466" w:right="0" w:hanging="719"/>
        <w:jc w:val="both"/>
      </w:pPr>
      <w:bookmarkStart w:name="_TOC_250005" w:id="18"/>
      <w:r>
        <w:rPr/>
        <w:t>Acquired</w:t>
      </w:r>
      <w:r>
        <w:rPr>
          <w:spacing w:val="-4"/>
        </w:rPr>
        <w:t> </w:t>
      </w:r>
      <w:bookmarkEnd w:id="18"/>
      <w:r>
        <w:rPr>
          <w:spacing w:val="-2"/>
        </w:rPr>
        <w:t>immunity</w:t>
      </w:r>
    </w:p>
    <w:p>
      <w:pPr>
        <w:pStyle w:val="BodyText"/>
        <w:spacing w:line="480" w:lineRule="auto" w:before="271"/>
        <w:ind w:left="747" w:right="846"/>
        <w:jc w:val="both"/>
      </w:pPr>
      <w:r>
        <w:rPr/>
        <w:t>An initial contact with the foreign agent (immunization) triggers a chain of events that leads to the activation of series of protein synthesis, some of which show specific reactivity against the invader (Mackay and Rosen, 2000). The goal of acquired</w:t>
      </w:r>
      <w:r>
        <w:rPr>
          <w:spacing w:val="40"/>
        </w:rPr>
        <w:t> </w:t>
      </w:r>
      <w:r>
        <w:rPr/>
        <w:t>immunity is to eliminate invading foreign substance, but in the process, some tissue damage may occur as the result of synthesized immune components with nonspecific effects. However, this damage is temporary, as soon as the invader is eliminated; the situation at that site reverts to normal.</w:t>
      </w:r>
    </w:p>
    <w:p>
      <w:pPr>
        <w:pStyle w:val="BodyText"/>
      </w:pPr>
    </w:p>
    <w:p>
      <w:pPr>
        <w:pStyle w:val="BodyText"/>
        <w:spacing w:before="1"/>
      </w:pPr>
    </w:p>
    <w:p>
      <w:pPr>
        <w:pStyle w:val="BodyText"/>
        <w:spacing w:line="480" w:lineRule="auto"/>
        <w:ind w:left="747" w:right="844"/>
        <w:jc w:val="both"/>
      </w:pPr>
      <w:r>
        <w:rPr/>
        <w:t>The acquired immunity of eliminating antigen (Ag) is of humoral and cellular forms</w:t>
      </w:r>
      <w:r>
        <w:rPr>
          <w:spacing w:val="80"/>
        </w:rPr>
        <w:t> </w:t>
      </w:r>
      <w:r>
        <w:rPr/>
        <w:t>that collaborate to achieve an aim. The humoral is mediated mainly by B-cells and circulating antibodies (Abs) (serum Abs are proteins secreted by B-cells), while the cellular or cell mediated immunity is mediated by T-cells and the release of cytokines that affect other cells. The characteristics of acquired immune response include:</w:t>
      </w:r>
    </w:p>
    <w:p>
      <w:pPr>
        <w:pStyle w:val="ListParagraph"/>
        <w:numPr>
          <w:ilvl w:val="0"/>
          <w:numId w:val="13"/>
        </w:numPr>
        <w:tabs>
          <w:tab w:pos="1467" w:val="left" w:leader="none"/>
        </w:tabs>
        <w:spacing w:line="240" w:lineRule="auto" w:before="1" w:after="0"/>
        <w:ind w:left="1467" w:right="0" w:hanging="360"/>
        <w:jc w:val="both"/>
        <w:rPr>
          <w:sz w:val="24"/>
        </w:rPr>
      </w:pPr>
      <w:r>
        <w:rPr>
          <w:b/>
          <w:sz w:val="24"/>
        </w:rPr>
        <w:t>Specificity</w:t>
      </w:r>
      <w:r>
        <w:rPr>
          <w:sz w:val="24"/>
        </w:rPr>
        <w:t>:</w:t>
      </w:r>
      <w:r>
        <w:rPr>
          <w:spacing w:val="-3"/>
          <w:sz w:val="24"/>
        </w:rPr>
        <w:t> </w:t>
      </w:r>
      <w:r>
        <w:rPr>
          <w:sz w:val="24"/>
        </w:rPr>
        <w:t>response</w:t>
      </w:r>
      <w:r>
        <w:rPr>
          <w:spacing w:val="-1"/>
          <w:sz w:val="24"/>
        </w:rPr>
        <w:t> </w:t>
      </w:r>
      <w:r>
        <w:rPr>
          <w:sz w:val="24"/>
        </w:rPr>
        <w:t>only</w:t>
      </w:r>
      <w:r>
        <w:rPr>
          <w:spacing w:val="-3"/>
          <w:sz w:val="24"/>
        </w:rPr>
        <w:t> </w:t>
      </w:r>
      <w:r>
        <w:rPr>
          <w:sz w:val="24"/>
        </w:rPr>
        <w:t>to</w:t>
      </w:r>
      <w:r>
        <w:rPr>
          <w:spacing w:val="-1"/>
          <w:sz w:val="24"/>
        </w:rPr>
        <w:t> </w:t>
      </w:r>
      <w:r>
        <w:rPr>
          <w:sz w:val="24"/>
        </w:rPr>
        <w:t>unique</w:t>
      </w:r>
      <w:r>
        <w:rPr>
          <w:spacing w:val="-2"/>
          <w:sz w:val="24"/>
        </w:rPr>
        <w:t> </w:t>
      </w:r>
      <w:r>
        <w:rPr>
          <w:sz w:val="24"/>
        </w:rPr>
        <w:t>molecular entities</w:t>
      </w:r>
      <w:r>
        <w:rPr>
          <w:spacing w:val="-1"/>
          <w:sz w:val="24"/>
        </w:rPr>
        <w:t> </w:t>
      </w:r>
      <w:r>
        <w:rPr>
          <w:sz w:val="24"/>
        </w:rPr>
        <w:t>(discriminatory</w:t>
      </w:r>
      <w:r>
        <w:rPr>
          <w:spacing w:val="-3"/>
          <w:sz w:val="24"/>
        </w:rPr>
        <w:t> </w:t>
      </w:r>
      <w:r>
        <w:rPr>
          <w:spacing w:val="-2"/>
          <w:sz w:val="24"/>
        </w:rPr>
        <w:t>ability)</w:t>
      </w:r>
    </w:p>
    <w:p>
      <w:pPr>
        <w:pStyle w:val="BodyText"/>
      </w:pPr>
    </w:p>
    <w:p>
      <w:pPr>
        <w:pStyle w:val="ListParagraph"/>
        <w:numPr>
          <w:ilvl w:val="0"/>
          <w:numId w:val="13"/>
        </w:numPr>
        <w:tabs>
          <w:tab w:pos="1467" w:val="left" w:leader="none"/>
        </w:tabs>
        <w:spacing w:line="480" w:lineRule="auto" w:before="0" w:after="0"/>
        <w:ind w:left="1467" w:right="852" w:hanging="360"/>
        <w:jc w:val="both"/>
        <w:rPr>
          <w:sz w:val="24"/>
        </w:rPr>
      </w:pPr>
      <w:r>
        <w:rPr>
          <w:b/>
          <w:sz w:val="24"/>
        </w:rPr>
        <w:t>Adaptiveness</w:t>
      </w:r>
      <w:r>
        <w:rPr>
          <w:sz w:val="24"/>
        </w:rPr>
        <w:t>: ability to respond to previously unseen molecules that may have never existed; in other words, this type of immune response is not static, but grows and changes with exposure to and/or experience with foreign agents.</w:t>
      </w:r>
    </w:p>
    <w:p>
      <w:pPr>
        <w:pStyle w:val="ListParagraph"/>
        <w:numPr>
          <w:ilvl w:val="0"/>
          <w:numId w:val="13"/>
        </w:numPr>
        <w:tabs>
          <w:tab w:pos="1467" w:val="left" w:leader="none"/>
        </w:tabs>
        <w:spacing w:line="480" w:lineRule="auto" w:before="0" w:after="0"/>
        <w:ind w:left="1467" w:right="850" w:hanging="360"/>
        <w:jc w:val="both"/>
        <w:rPr>
          <w:sz w:val="24"/>
        </w:rPr>
      </w:pPr>
      <w:r>
        <w:rPr>
          <w:b/>
          <w:sz w:val="24"/>
        </w:rPr>
        <w:t>Discrimination between self and non-self</w:t>
      </w:r>
      <w:r>
        <w:rPr>
          <w:sz w:val="24"/>
        </w:rPr>
        <w:t>: ability to recognize and respond to molecules</w:t>
      </w:r>
      <w:r>
        <w:rPr>
          <w:spacing w:val="28"/>
          <w:sz w:val="24"/>
        </w:rPr>
        <w:t> </w:t>
      </w:r>
      <w:r>
        <w:rPr>
          <w:sz w:val="24"/>
        </w:rPr>
        <w:t>that</w:t>
      </w:r>
      <w:r>
        <w:rPr>
          <w:spacing w:val="27"/>
          <w:sz w:val="24"/>
        </w:rPr>
        <w:t> </w:t>
      </w:r>
      <w:r>
        <w:rPr>
          <w:sz w:val="24"/>
        </w:rPr>
        <w:t>are</w:t>
      </w:r>
      <w:r>
        <w:rPr>
          <w:spacing w:val="27"/>
          <w:sz w:val="24"/>
        </w:rPr>
        <w:t> </w:t>
      </w:r>
      <w:r>
        <w:rPr>
          <w:sz w:val="24"/>
        </w:rPr>
        <w:t>foreign</w:t>
      </w:r>
      <w:r>
        <w:rPr>
          <w:spacing w:val="27"/>
          <w:sz w:val="24"/>
        </w:rPr>
        <w:t> </w:t>
      </w:r>
      <w:r>
        <w:rPr>
          <w:sz w:val="24"/>
        </w:rPr>
        <w:t>(non-self)</w:t>
      </w:r>
      <w:r>
        <w:rPr>
          <w:spacing w:val="29"/>
          <w:sz w:val="24"/>
        </w:rPr>
        <w:t> </w:t>
      </w:r>
      <w:r>
        <w:rPr>
          <w:sz w:val="24"/>
        </w:rPr>
        <w:t>and</w:t>
      </w:r>
      <w:r>
        <w:rPr>
          <w:spacing w:val="27"/>
          <w:sz w:val="24"/>
        </w:rPr>
        <w:t> </w:t>
      </w:r>
      <w:r>
        <w:rPr>
          <w:sz w:val="24"/>
        </w:rPr>
        <w:t>to</w:t>
      </w:r>
      <w:r>
        <w:rPr>
          <w:spacing w:val="28"/>
          <w:sz w:val="24"/>
        </w:rPr>
        <w:t> </w:t>
      </w:r>
      <w:r>
        <w:rPr>
          <w:sz w:val="24"/>
        </w:rPr>
        <w:t>avoid</w:t>
      </w:r>
      <w:r>
        <w:rPr>
          <w:spacing w:val="28"/>
          <w:sz w:val="24"/>
        </w:rPr>
        <w:t> </w:t>
      </w:r>
      <w:r>
        <w:rPr>
          <w:sz w:val="24"/>
        </w:rPr>
        <w:t>making</w:t>
      </w:r>
      <w:r>
        <w:rPr>
          <w:spacing w:val="25"/>
          <w:sz w:val="24"/>
        </w:rPr>
        <w:t> </w:t>
      </w:r>
      <w:r>
        <w:rPr>
          <w:sz w:val="24"/>
        </w:rPr>
        <w:t>a</w:t>
      </w:r>
      <w:r>
        <w:rPr>
          <w:spacing w:val="29"/>
          <w:sz w:val="24"/>
        </w:rPr>
        <w:t> </w:t>
      </w:r>
      <w:r>
        <w:rPr>
          <w:sz w:val="24"/>
        </w:rPr>
        <w:t>response</w:t>
      </w:r>
      <w:r>
        <w:rPr>
          <w:spacing w:val="29"/>
          <w:sz w:val="24"/>
        </w:rPr>
        <w:t> </w:t>
      </w:r>
      <w:r>
        <w:rPr>
          <w:sz w:val="24"/>
        </w:rPr>
        <w:t>to</w:t>
      </w:r>
      <w:r>
        <w:rPr>
          <w:spacing w:val="28"/>
          <w:sz w:val="24"/>
        </w:rPr>
        <w:t> </w:t>
      </w:r>
      <w:r>
        <w:rPr>
          <w:sz w:val="24"/>
        </w:rPr>
        <w:t>those</w:t>
      </w:r>
    </w:p>
    <w:p>
      <w:pPr>
        <w:spacing w:after="0" w:line="480" w:lineRule="auto"/>
        <w:jc w:val="both"/>
        <w:rPr>
          <w:sz w:val="24"/>
        </w:rPr>
        <w:sectPr>
          <w:pgSz w:w="11910" w:h="16840"/>
          <w:pgMar w:header="0" w:footer="981" w:top="1320" w:bottom="1180" w:left="1240" w:right="560"/>
        </w:sectPr>
      </w:pPr>
    </w:p>
    <w:p>
      <w:pPr>
        <w:pStyle w:val="BodyText"/>
        <w:spacing w:line="480" w:lineRule="auto" w:before="64"/>
        <w:ind w:left="1467"/>
      </w:pPr>
      <w:r>
        <w:rPr/>
        <w:t>molecules</w:t>
      </w:r>
      <w:r>
        <w:rPr>
          <w:spacing w:val="30"/>
        </w:rPr>
        <w:t> </w:t>
      </w:r>
      <w:r>
        <w:rPr/>
        <w:t>that</w:t>
      </w:r>
      <w:r>
        <w:rPr>
          <w:spacing w:val="30"/>
        </w:rPr>
        <w:t> </w:t>
      </w:r>
      <w:r>
        <w:rPr/>
        <w:t>are</w:t>
      </w:r>
      <w:r>
        <w:rPr>
          <w:spacing w:val="28"/>
        </w:rPr>
        <w:t> </w:t>
      </w:r>
      <w:r>
        <w:rPr/>
        <w:t>self.</w:t>
      </w:r>
      <w:r>
        <w:rPr>
          <w:spacing w:val="33"/>
        </w:rPr>
        <w:t> </w:t>
      </w:r>
      <w:r>
        <w:rPr/>
        <w:t>This</w:t>
      </w:r>
      <w:r>
        <w:rPr>
          <w:spacing w:val="31"/>
        </w:rPr>
        <w:t> </w:t>
      </w:r>
      <w:r>
        <w:rPr/>
        <w:t>distinction</w:t>
      </w:r>
      <w:r>
        <w:rPr>
          <w:spacing w:val="30"/>
        </w:rPr>
        <w:t> </w:t>
      </w:r>
      <w:r>
        <w:rPr/>
        <w:t>between</w:t>
      </w:r>
      <w:r>
        <w:rPr>
          <w:spacing w:val="30"/>
        </w:rPr>
        <w:t> </w:t>
      </w:r>
      <w:r>
        <w:rPr/>
        <w:t>Ags</w:t>
      </w:r>
      <w:r>
        <w:rPr>
          <w:spacing w:val="30"/>
        </w:rPr>
        <w:t> </w:t>
      </w:r>
      <w:r>
        <w:rPr/>
        <w:t>and</w:t>
      </w:r>
      <w:r>
        <w:rPr>
          <w:spacing w:val="30"/>
        </w:rPr>
        <w:t> </w:t>
      </w:r>
      <w:r>
        <w:rPr/>
        <w:t>self</w:t>
      </w:r>
      <w:r>
        <w:rPr>
          <w:spacing w:val="30"/>
        </w:rPr>
        <w:t> </w:t>
      </w:r>
      <w:r>
        <w:rPr/>
        <w:t>is</w:t>
      </w:r>
      <w:r>
        <w:rPr>
          <w:spacing w:val="31"/>
        </w:rPr>
        <w:t> </w:t>
      </w:r>
      <w:r>
        <w:rPr/>
        <w:t>conferred</w:t>
      </w:r>
      <w:r>
        <w:rPr>
          <w:spacing w:val="30"/>
        </w:rPr>
        <w:t> </w:t>
      </w:r>
      <w:r>
        <w:rPr/>
        <w:t>by specialized cells –lymphocytes that bear on them surface Ag-specific receptors</w:t>
      </w:r>
    </w:p>
    <w:p>
      <w:pPr>
        <w:pStyle w:val="ListParagraph"/>
        <w:numPr>
          <w:ilvl w:val="0"/>
          <w:numId w:val="13"/>
        </w:numPr>
        <w:tabs>
          <w:tab w:pos="1467" w:val="left" w:leader="none"/>
        </w:tabs>
        <w:spacing w:line="480" w:lineRule="auto" w:before="1" w:after="0"/>
        <w:ind w:left="1467" w:right="846" w:hanging="360"/>
        <w:jc w:val="left"/>
        <w:rPr>
          <w:sz w:val="24"/>
        </w:rPr>
      </w:pPr>
      <w:r>
        <w:rPr>
          <w:b/>
          <w:sz w:val="24"/>
        </w:rPr>
        <w:t>Memory</w:t>
      </w:r>
      <w:r>
        <w:rPr>
          <w:sz w:val="24"/>
        </w:rPr>
        <w:t>: ability to recall previous contact with a foreign molecule and respond to it in a learned manner (Kawai and Akira, 2006).</w:t>
      </w:r>
    </w:p>
    <w:p>
      <w:pPr>
        <w:pStyle w:val="BodyText"/>
      </w:pPr>
    </w:p>
    <w:p>
      <w:pPr>
        <w:pStyle w:val="BodyText"/>
        <w:spacing w:before="5"/>
      </w:pPr>
    </w:p>
    <w:p>
      <w:pPr>
        <w:pStyle w:val="Heading2"/>
        <w:numPr>
          <w:ilvl w:val="2"/>
          <w:numId w:val="11"/>
        </w:numPr>
        <w:tabs>
          <w:tab w:pos="1466" w:val="left" w:leader="none"/>
        </w:tabs>
        <w:spacing w:line="240" w:lineRule="auto" w:before="0" w:after="0"/>
        <w:ind w:left="1466" w:right="0" w:hanging="719"/>
        <w:jc w:val="both"/>
      </w:pPr>
      <w:bookmarkStart w:name="_TOC_250004" w:id="19"/>
      <w:r>
        <w:rPr/>
        <w:t>Cells</w:t>
      </w:r>
      <w:r>
        <w:rPr>
          <w:spacing w:val="-4"/>
        </w:rPr>
        <w:t> </w:t>
      </w:r>
      <w:r>
        <w:rPr/>
        <w:t>involved</w:t>
      </w:r>
      <w:r>
        <w:rPr>
          <w:spacing w:val="-3"/>
        </w:rPr>
        <w:t> </w:t>
      </w:r>
      <w:r>
        <w:rPr/>
        <w:t>in</w:t>
      </w:r>
      <w:r>
        <w:rPr>
          <w:spacing w:val="-2"/>
        </w:rPr>
        <w:t> </w:t>
      </w:r>
      <w:r>
        <w:rPr/>
        <w:t>acquired</w:t>
      </w:r>
      <w:r>
        <w:rPr>
          <w:spacing w:val="-2"/>
        </w:rPr>
        <w:t> </w:t>
      </w:r>
      <w:r>
        <w:rPr/>
        <w:t>immune</w:t>
      </w:r>
      <w:bookmarkEnd w:id="19"/>
      <w:r>
        <w:rPr>
          <w:spacing w:val="-2"/>
        </w:rPr>
        <w:t> response</w:t>
      </w:r>
    </w:p>
    <w:p>
      <w:pPr>
        <w:pStyle w:val="BodyText"/>
        <w:spacing w:line="480" w:lineRule="auto" w:before="271"/>
        <w:ind w:left="747" w:right="845"/>
        <w:jc w:val="both"/>
      </w:pPr>
      <w:r>
        <w:rPr/>
        <w:t>The three main cells type involved in acquired immunity and whose complex interactions are required for the expression of the full blown range of immune response are T-cells, B-cells</w:t>
      </w:r>
      <w:r>
        <w:rPr>
          <w:spacing w:val="40"/>
        </w:rPr>
        <w:t> </w:t>
      </w:r>
      <w:r>
        <w:rPr/>
        <w:t>and APCs (antigen presenting cells). The T- and B-cells are from a common lymphoid precursor</w:t>
      </w:r>
      <w:r>
        <w:rPr>
          <w:spacing w:val="-1"/>
        </w:rPr>
        <w:t> </w:t>
      </w:r>
      <w:r>
        <w:rPr/>
        <w:t>cells, but differentiate along</w:t>
      </w:r>
      <w:r>
        <w:rPr>
          <w:spacing w:val="-2"/>
        </w:rPr>
        <w:t> </w:t>
      </w:r>
      <w:r>
        <w:rPr/>
        <w:t>different developmental lines. The line that matures in the thymus yields the T-cells and the line that matures in the bone</w:t>
      </w:r>
      <w:r>
        <w:rPr>
          <w:spacing w:val="-1"/>
        </w:rPr>
        <w:t> </w:t>
      </w:r>
      <w:r>
        <w:rPr/>
        <w:t>marrow yields the B-cells. The</w:t>
      </w:r>
      <w:r>
        <w:rPr>
          <w:spacing w:val="-2"/>
        </w:rPr>
        <w:t> </w:t>
      </w:r>
      <w:r>
        <w:rPr/>
        <w:t>T-</w:t>
      </w:r>
      <w:r>
        <w:rPr>
          <w:spacing w:val="-1"/>
        </w:rPr>
        <w:t> </w:t>
      </w:r>
      <w:r>
        <w:rPr/>
        <w:t>and B-</w:t>
      </w:r>
      <w:r>
        <w:rPr>
          <w:spacing w:val="-1"/>
        </w:rPr>
        <w:t> </w:t>
      </w:r>
      <w:r>
        <w:rPr/>
        <w:t>cells differ</w:t>
      </w:r>
      <w:r>
        <w:rPr>
          <w:spacing w:val="-1"/>
        </w:rPr>
        <w:t> </w:t>
      </w:r>
      <w:r>
        <w:rPr/>
        <w:t>in their</w:t>
      </w:r>
      <w:r>
        <w:rPr>
          <w:spacing w:val="-1"/>
        </w:rPr>
        <w:t> </w:t>
      </w:r>
      <w:r>
        <w:rPr/>
        <w:t>functions, but the</w:t>
      </w:r>
      <w:r>
        <w:rPr>
          <w:spacing w:val="-1"/>
        </w:rPr>
        <w:t> </w:t>
      </w:r>
      <w:r>
        <w:rPr/>
        <w:t>two shares the property of specificity to the Ag. Thus, the major recognition and reaction functions of the immune response are contained within the lymphocytes and which are the major cellular players in immune response (Harty </w:t>
      </w:r>
      <w:r>
        <w:rPr>
          <w:i/>
        </w:rPr>
        <w:t>et al</w:t>
      </w:r>
      <w:r>
        <w:rPr/>
        <w:t>., 2000).</w:t>
      </w:r>
    </w:p>
    <w:p>
      <w:pPr>
        <w:pStyle w:val="BodyText"/>
      </w:pPr>
    </w:p>
    <w:p>
      <w:pPr>
        <w:pStyle w:val="BodyText"/>
        <w:spacing w:before="1"/>
      </w:pPr>
    </w:p>
    <w:p>
      <w:pPr>
        <w:pStyle w:val="BodyText"/>
        <w:spacing w:line="480" w:lineRule="auto" w:before="1"/>
        <w:ind w:left="747" w:right="844"/>
        <w:jc w:val="both"/>
      </w:pPr>
      <w:r>
        <w:rPr/>
        <w:t>The T- and B- lymphocytes of myriad specificities exist and the lymphocytes have surface Ag-specific receptors to which the Ags bind for activation and onward release</w:t>
      </w:r>
      <w:r>
        <w:rPr>
          <w:spacing w:val="80"/>
        </w:rPr>
        <w:t> </w:t>
      </w:r>
      <w:r>
        <w:rPr/>
        <w:t>of various products.</w:t>
      </w:r>
      <w:r>
        <w:rPr>
          <w:spacing w:val="40"/>
        </w:rPr>
        <w:t> </w:t>
      </w:r>
      <w:r>
        <w:rPr/>
        <w:t>For B-lymphocytes, the receptors are Ab molecules with same specificity with the activated Ags, while for T-cells, the receptors are T-cell receptor (TCR) protein molecules (cytokines that regulates many participatory cells needed to mount up an effective response and/or Ag elimination process). It is also noteworthy</w:t>
      </w:r>
      <w:r>
        <w:rPr>
          <w:spacing w:val="40"/>
        </w:rPr>
        <w:t> </w:t>
      </w:r>
      <w:r>
        <w:rPr/>
        <w:t>that antigen receptors are expressed as trans-membrane molecules on B and T lymphocytes (Romero </w:t>
      </w:r>
      <w:r>
        <w:rPr>
          <w:i/>
        </w:rPr>
        <w:t>et al</w:t>
      </w:r>
      <w:r>
        <w:rPr/>
        <w:t>., 2006).</w:t>
      </w:r>
    </w:p>
    <w:p>
      <w:pPr>
        <w:spacing w:after="0" w:line="480" w:lineRule="auto"/>
        <w:jc w:val="both"/>
        <w:sectPr>
          <w:pgSz w:w="11910" w:h="16840"/>
          <w:pgMar w:header="0" w:footer="981" w:top="1320" w:bottom="1180" w:left="1240" w:right="560"/>
        </w:sectPr>
      </w:pPr>
    </w:p>
    <w:p>
      <w:pPr>
        <w:pStyle w:val="BodyText"/>
        <w:spacing w:line="480" w:lineRule="auto" w:before="64"/>
        <w:ind w:left="747" w:right="847"/>
        <w:jc w:val="both"/>
      </w:pPr>
      <w:r>
        <w:rPr/>
        <w:t>The APCs (macrophages, dendritic cells) do not have Ag-specific receptors as do the lymphocytes and thus, their function is to process and present the Ags to their specific T-cell receptors on the lymphocytes (Kovasc </w:t>
      </w:r>
      <w:r>
        <w:rPr>
          <w:i/>
        </w:rPr>
        <w:t>et al</w:t>
      </w:r>
      <w:r>
        <w:rPr/>
        <w:t>., 2000). They utilize two special surface molecules to do this (major histocompatibility</w:t>
      </w:r>
      <w:r>
        <w:rPr>
          <w:spacing w:val="-6"/>
        </w:rPr>
        <w:t> </w:t>
      </w:r>
      <w:r>
        <w:rPr/>
        <w:t>complex – MHC class I</w:t>
      </w:r>
      <w:r>
        <w:rPr>
          <w:spacing w:val="-4"/>
        </w:rPr>
        <w:t> </w:t>
      </w:r>
      <w:r>
        <w:rPr/>
        <w:t>and class II) which are encoded by a set of genes.</w:t>
      </w:r>
      <w:r>
        <w:rPr>
          <w:spacing w:val="40"/>
        </w:rPr>
        <w:t> </w:t>
      </w:r>
      <w:r>
        <w:rPr/>
        <w:t>The processed Ag is one that has been non- covalently</w:t>
      </w:r>
      <w:r>
        <w:rPr>
          <w:spacing w:val="-7"/>
        </w:rPr>
        <w:t> </w:t>
      </w:r>
      <w:r>
        <w:rPr/>
        <w:t>bound to MHC class I</w:t>
      </w:r>
      <w:r>
        <w:rPr>
          <w:spacing w:val="-5"/>
        </w:rPr>
        <w:t> </w:t>
      </w:r>
      <w:r>
        <w:rPr/>
        <w:t>or</w:t>
      </w:r>
      <w:r>
        <w:rPr>
          <w:spacing w:val="-1"/>
        </w:rPr>
        <w:t> </w:t>
      </w:r>
      <w:r>
        <w:rPr/>
        <w:t>class II</w:t>
      </w:r>
      <w:r>
        <w:rPr>
          <w:spacing w:val="-6"/>
        </w:rPr>
        <w:t> </w:t>
      </w:r>
      <w:r>
        <w:rPr/>
        <w:t>molecules</w:t>
      </w:r>
      <w:r>
        <w:rPr>
          <w:spacing w:val="-1"/>
        </w:rPr>
        <w:t> </w:t>
      </w:r>
      <w:r>
        <w:rPr/>
        <w:t>(or</w:t>
      </w:r>
      <w:r>
        <w:rPr>
          <w:spacing w:val="-1"/>
        </w:rPr>
        <w:t> </w:t>
      </w:r>
      <w:r>
        <w:rPr/>
        <w:t>both).</w:t>
      </w:r>
      <w:r>
        <w:rPr>
          <w:spacing w:val="40"/>
        </w:rPr>
        <w:t> </w:t>
      </w:r>
      <w:r>
        <w:rPr/>
        <w:t>Ag</w:t>
      </w:r>
      <w:r>
        <w:rPr>
          <w:spacing w:val="-2"/>
        </w:rPr>
        <w:t> </w:t>
      </w:r>
      <w:r>
        <w:rPr/>
        <w:t>presented</w:t>
      </w:r>
      <w:r>
        <w:rPr>
          <w:spacing w:val="-1"/>
        </w:rPr>
        <w:t> </w:t>
      </w:r>
      <w:r>
        <w:rPr/>
        <w:t>on MHC class I molecules is presented to one T-cell sub-population (cytotoxic T-cells) and participates in the activation of this T-cell. Ag presented on APCs MHC class II molecules activates another T-cell sub-population (the helper T-cell) (Mackay, 2001).</w:t>
      </w:r>
    </w:p>
    <w:p>
      <w:pPr>
        <w:pStyle w:val="BodyText"/>
      </w:pPr>
    </w:p>
    <w:p>
      <w:pPr>
        <w:pStyle w:val="BodyText"/>
        <w:spacing w:before="2"/>
      </w:pPr>
    </w:p>
    <w:p>
      <w:pPr>
        <w:pStyle w:val="BodyText"/>
        <w:spacing w:line="480" w:lineRule="auto"/>
        <w:ind w:left="747" w:right="844"/>
        <w:jc w:val="both"/>
      </w:pPr>
      <w:r>
        <w:rPr/>
        <w:t>The other cell types that participate in immune responses (both innate and acquired) are neutrophils and mast cells which are primarily involved in the effector phase of the response. They have no specific Ag recognition properties, but are activated by various substances called cytokines released by various cells (including activated Ag-specific lymphocytes) (Eming </w:t>
      </w:r>
      <w:r>
        <w:rPr>
          <w:i/>
        </w:rPr>
        <w:t>et al</w:t>
      </w:r>
      <w:r>
        <w:rPr/>
        <w:t>., 2007).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2"/>
          <w:numId w:val="11"/>
        </w:numPr>
        <w:tabs>
          <w:tab w:pos="1467" w:val="left" w:leader="none"/>
        </w:tabs>
        <w:spacing w:line="480" w:lineRule="auto" w:before="0" w:after="0"/>
        <w:ind w:left="1467" w:right="2307" w:hanging="720"/>
        <w:jc w:val="both"/>
      </w:pPr>
      <w:r>
        <w:rPr/>
        <w:t>Humoral</w:t>
      </w:r>
      <w:r>
        <w:rPr>
          <w:spacing w:val="-4"/>
        </w:rPr>
        <w:t> </w:t>
      </w:r>
      <w:r>
        <w:rPr/>
        <w:t>response</w:t>
      </w:r>
      <w:r>
        <w:rPr>
          <w:spacing w:val="-6"/>
        </w:rPr>
        <w:t> </w:t>
      </w:r>
      <w:r>
        <w:rPr/>
        <w:t>type</w:t>
      </w:r>
      <w:r>
        <w:rPr>
          <w:spacing w:val="-6"/>
        </w:rPr>
        <w:t> </w:t>
      </w:r>
      <w:r>
        <w:rPr/>
        <w:t>of</w:t>
      </w:r>
      <w:r>
        <w:rPr>
          <w:spacing w:val="-4"/>
        </w:rPr>
        <w:t> </w:t>
      </w:r>
      <w:r>
        <w:rPr/>
        <w:t>acquired</w:t>
      </w:r>
      <w:r>
        <w:rPr>
          <w:spacing w:val="-5"/>
        </w:rPr>
        <w:t> </w:t>
      </w:r>
      <w:r>
        <w:rPr/>
        <w:t>immunity</w:t>
      </w:r>
      <w:r>
        <w:rPr>
          <w:spacing w:val="-5"/>
        </w:rPr>
        <w:t> </w:t>
      </w:r>
      <w:r>
        <w:rPr/>
        <w:t>involving</w:t>
      </w:r>
      <w:r>
        <w:rPr>
          <w:spacing w:val="-4"/>
        </w:rPr>
        <w:t> </w:t>
      </w:r>
      <w:r>
        <w:rPr/>
        <w:t>B-cell immunoglobulins (Igs) antibodies</w:t>
      </w:r>
    </w:p>
    <w:p>
      <w:pPr>
        <w:pStyle w:val="BodyText"/>
        <w:spacing w:line="480" w:lineRule="auto"/>
        <w:ind w:left="747" w:right="845"/>
        <w:jc w:val="both"/>
      </w:pPr>
      <w:r>
        <w:rPr/>
        <w:t>The binding of Ags to B-cells specific membrane immunoglobulin (Ig) surface receptor molecules (BCRs) activates the B-cells to secret Abs (Agerberth and Gudmundsson, 2006).</w:t>
      </w:r>
      <w:r>
        <w:rPr>
          <w:spacing w:val="57"/>
        </w:rPr>
        <w:t> </w:t>
      </w:r>
      <w:r>
        <w:rPr/>
        <w:t>Each</w:t>
      </w:r>
      <w:r>
        <w:rPr>
          <w:spacing w:val="59"/>
        </w:rPr>
        <w:t> </w:t>
      </w:r>
      <w:r>
        <w:rPr/>
        <w:t>B-cell</w:t>
      </w:r>
      <w:r>
        <w:rPr>
          <w:spacing w:val="58"/>
        </w:rPr>
        <w:t> </w:t>
      </w:r>
      <w:r>
        <w:rPr/>
        <w:t>expresses</w:t>
      </w:r>
      <w:r>
        <w:rPr>
          <w:spacing w:val="57"/>
        </w:rPr>
        <w:t> </w:t>
      </w:r>
      <w:r>
        <w:rPr/>
        <w:t>approximately</w:t>
      </w:r>
      <w:r>
        <w:rPr>
          <w:spacing w:val="53"/>
        </w:rPr>
        <w:t> </w:t>
      </w:r>
      <w:r>
        <w:rPr/>
        <w:t>10</w:t>
      </w:r>
      <w:r>
        <w:rPr>
          <w:vertAlign w:val="superscript"/>
        </w:rPr>
        <w:t>5</w:t>
      </w:r>
      <w:r>
        <w:rPr>
          <w:spacing w:val="59"/>
          <w:vertAlign w:val="baseline"/>
        </w:rPr>
        <w:t> </w:t>
      </w:r>
      <w:r>
        <w:rPr>
          <w:vertAlign w:val="baseline"/>
        </w:rPr>
        <w:t>BCRs</w:t>
      </w:r>
      <w:r>
        <w:rPr>
          <w:spacing w:val="57"/>
          <w:vertAlign w:val="baseline"/>
        </w:rPr>
        <w:t> </w:t>
      </w:r>
      <w:r>
        <w:rPr>
          <w:vertAlign w:val="baseline"/>
        </w:rPr>
        <w:t>of</w:t>
      </w:r>
      <w:r>
        <w:rPr>
          <w:spacing w:val="56"/>
          <w:vertAlign w:val="baseline"/>
        </w:rPr>
        <w:t> </w:t>
      </w:r>
      <w:r>
        <w:rPr>
          <w:vertAlign w:val="baseline"/>
        </w:rPr>
        <w:t>exactly</w:t>
      </w:r>
      <w:r>
        <w:rPr>
          <w:spacing w:val="52"/>
          <w:vertAlign w:val="baseline"/>
        </w:rPr>
        <w:t> </w:t>
      </w:r>
      <w:r>
        <w:rPr>
          <w:vertAlign w:val="baseline"/>
        </w:rPr>
        <w:t>same</w:t>
      </w:r>
      <w:r>
        <w:rPr>
          <w:spacing w:val="56"/>
          <w:vertAlign w:val="baseline"/>
        </w:rPr>
        <w:t> </w:t>
      </w:r>
      <w:r>
        <w:rPr>
          <w:spacing w:val="-2"/>
          <w:vertAlign w:val="baseline"/>
        </w:rPr>
        <w:t>specificity.</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Antibodies are heterogeneous mixture of serum globulins all of which have the ability</w:t>
      </w:r>
      <w:r>
        <w:rPr>
          <w:spacing w:val="80"/>
        </w:rPr>
        <w:t> </w:t>
      </w:r>
      <w:r>
        <w:rPr/>
        <w:t>to bind specific Ags. All serum globulins with Ab activity are referred to as immunoglobulins (Igs). All Ig molecules have common features of both specific recognizing-binding of an Ag and performing common biologic function after combining with the Ag.</w:t>
      </w:r>
      <w:r>
        <w:rPr>
          <w:spacing w:val="40"/>
        </w:rPr>
        <w:t> </w:t>
      </w:r>
      <w:r>
        <w:rPr/>
        <w:t>Each Ig molecule has two identical light (L) chains and two identical heavy (H) chains linked together by disulfide bridges. The portion of the Ig molecule that binds the Ag is composed of the amino terminal region of both the H and L chains. Thus, each Ig is symmetric and is capable of binding to identical epitopes on the same Ag or on different ones (Girardi, 2006).</w:t>
      </w:r>
    </w:p>
    <w:p>
      <w:pPr>
        <w:pStyle w:val="BodyText"/>
      </w:pPr>
    </w:p>
    <w:p>
      <w:pPr>
        <w:pStyle w:val="BodyText"/>
        <w:spacing w:before="2"/>
      </w:pPr>
    </w:p>
    <w:p>
      <w:pPr>
        <w:pStyle w:val="BodyText"/>
        <w:spacing w:line="482" w:lineRule="auto"/>
        <w:ind w:left="747" w:right="849"/>
        <w:jc w:val="both"/>
      </w:pPr>
      <w:r>
        <w:rPr/>
        <w:t>There</w:t>
      </w:r>
      <w:r>
        <w:rPr>
          <w:spacing w:val="-2"/>
        </w:rPr>
        <w:t> </w:t>
      </w:r>
      <w:r>
        <w:rPr/>
        <w:t>are</w:t>
      </w:r>
      <w:r>
        <w:rPr>
          <w:spacing w:val="-3"/>
        </w:rPr>
        <w:t> </w:t>
      </w:r>
      <w:r>
        <w:rPr/>
        <w:t>5 different Igs of</w:t>
      </w:r>
      <w:r>
        <w:rPr>
          <w:spacing w:val="-3"/>
        </w:rPr>
        <w:t> </w:t>
      </w:r>
      <w:r>
        <w:rPr/>
        <w:t>H-chains (G,</w:t>
      </w:r>
      <w:r>
        <w:rPr>
          <w:spacing w:val="-2"/>
        </w:rPr>
        <w:t> </w:t>
      </w:r>
      <w:r>
        <w:rPr/>
        <w:t>M, A,</w:t>
      </w:r>
      <w:r>
        <w:rPr>
          <w:spacing w:val="-2"/>
        </w:rPr>
        <w:t> </w:t>
      </w:r>
      <w:r>
        <w:rPr/>
        <w:t>E, D)</w:t>
      </w:r>
      <w:r>
        <w:rPr>
          <w:spacing w:val="-2"/>
        </w:rPr>
        <w:t> </w:t>
      </w:r>
      <w:r>
        <w:rPr/>
        <w:t>corresponding</w:t>
      </w:r>
      <w:r>
        <w:rPr>
          <w:spacing w:val="-5"/>
        </w:rPr>
        <w:t> </w:t>
      </w:r>
      <w:r>
        <w:rPr/>
        <w:t>to (γ, µ,</w:t>
      </w:r>
      <w:r>
        <w:rPr>
          <w:spacing w:val="-2"/>
        </w:rPr>
        <w:t> </w:t>
      </w:r>
      <w:r>
        <w:rPr/>
        <w:t>α,</w:t>
      </w:r>
      <w:r>
        <w:rPr>
          <w:spacing w:val="-2"/>
        </w:rPr>
        <w:t> </w:t>
      </w:r>
      <w:r>
        <w:rPr/>
        <w:t>£, δ)</w:t>
      </w:r>
      <w:r>
        <w:rPr>
          <w:spacing w:val="-1"/>
        </w:rPr>
        <w:t> </w:t>
      </w:r>
      <w:r>
        <w:rPr/>
        <w:t>and these have unique biologic effector properties as follows:</w:t>
      </w:r>
    </w:p>
    <w:p>
      <w:pPr>
        <w:pStyle w:val="ListParagraph"/>
        <w:numPr>
          <w:ilvl w:val="0"/>
          <w:numId w:val="14"/>
        </w:numPr>
        <w:tabs>
          <w:tab w:pos="1588" w:val="left" w:leader="none"/>
          <w:tab w:pos="1827" w:val="left" w:leader="none"/>
        </w:tabs>
        <w:spacing w:line="480" w:lineRule="auto" w:before="194" w:after="0"/>
        <w:ind w:left="1827" w:right="845" w:hanging="720"/>
        <w:jc w:val="both"/>
        <w:rPr>
          <w:sz w:val="24"/>
        </w:rPr>
      </w:pPr>
      <w:r>
        <w:rPr>
          <w:sz w:val="24"/>
        </w:rPr>
        <w:t>IgA antibodies - are those that mainly protect exposed body surfaces such as nose, respiratory and digestive tracts, ears, eyes, vagina and so forth from foreign invasion on the outside. This type of antibody is also found in saliva and tears. About 10% to 15% of the antibodies in the body are of the IgA type and a small percentage of people do not make IgA antibodies.</w:t>
      </w:r>
    </w:p>
    <w:p>
      <w:pPr>
        <w:pStyle w:val="BodyText"/>
      </w:pPr>
    </w:p>
    <w:p>
      <w:pPr>
        <w:pStyle w:val="BodyText"/>
        <w:spacing w:before="1"/>
      </w:pPr>
    </w:p>
    <w:p>
      <w:pPr>
        <w:pStyle w:val="ListParagraph"/>
        <w:numPr>
          <w:ilvl w:val="0"/>
          <w:numId w:val="14"/>
        </w:numPr>
        <w:tabs>
          <w:tab w:pos="1465" w:val="left" w:leader="none"/>
          <w:tab w:pos="1827" w:val="left" w:leader="none"/>
        </w:tabs>
        <w:spacing w:line="480" w:lineRule="auto" w:before="0" w:after="0"/>
        <w:ind w:left="1827" w:right="844" w:hanging="720"/>
        <w:jc w:val="both"/>
        <w:rPr>
          <w:sz w:val="24"/>
        </w:rPr>
      </w:pPr>
      <w:r>
        <w:rPr>
          <w:sz w:val="24"/>
        </w:rPr>
        <w:t>IgG antibodies - are found in all body fluids. They are the smallest but most abundant</w:t>
      </w:r>
      <w:r>
        <w:rPr>
          <w:spacing w:val="-2"/>
          <w:sz w:val="24"/>
        </w:rPr>
        <w:t> </w:t>
      </w:r>
      <w:r>
        <w:rPr>
          <w:sz w:val="24"/>
        </w:rPr>
        <w:t>of</w:t>
      </w:r>
      <w:r>
        <w:rPr>
          <w:spacing w:val="-1"/>
          <w:sz w:val="24"/>
        </w:rPr>
        <w:t> </w:t>
      </w:r>
      <w:r>
        <w:rPr>
          <w:sz w:val="24"/>
        </w:rPr>
        <w:t>the</w:t>
      </w:r>
      <w:r>
        <w:rPr>
          <w:spacing w:val="-1"/>
          <w:sz w:val="24"/>
        </w:rPr>
        <w:t> </w:t>
      </w:r>
      <w:r>
        <w:rPr>
          <w:sz w:val="24"/>
        </w:rPr>
        <w:t>antibodies,</w:t>
      </w:r>
      <w:r>
        <w:rPr>
          <w:spacing w:val="-2"/>
          <w:sz w:val="24"/>
        </w:rPr>
        <w:t> </w:t>
      </w:r>
      <w:r>
        <w:rPr>
          <w:sz w:val="24"/>
        </w:rPr>
        <w:t>normally</w:t>
      </w:r>
      <w:r>
        <w:rPr>
          <w:spacing w:val="-5"/>
          <w:sz w:val="24"/>
        </w:rPr>
        <w:t> </w:t>
      </w:r>
      <w:r>
        <w:rPr>
          <w:sz w:val="24"/>
        </w:rPr>
        <w:t>comprising</w:t>
      </w:r>
      <w:r>
        <w:rPr>
          <w:spacing w:val="-5"/>
          <w:sz w:val="24"/>
        </w:rPr>
        <w:t> </w:t>
      </w:r>
      <w:r>
        <w:rPr>
          <w:sz w:val="24"/>
        </w:rPr>
        <w:t>about</w:t>
      </w:r>
      <w:r>
        <w:rPr>
          <w:spacing w:val="-2"/>
          <w:sz w:val="24"/>
        </w:rPr>
        <w:t> </w:t>
      </w:r>
      <w:r>
        <w:rPr>
          <w:sz w:val="24"/>
        </w:rPr>
        <w:t>75%</w:t>
      </w:r>
      <w:r>
        <w:rPr>
          <w:spacing w:val="-2"/>
          <w:sz w:val="24"/>
        </w:rPr>
        <w:t> </w:t>
      </w:r>
      <w:r>
        <w:rPr>
          <w:sz w:val="24"/>
        </w:rPr>
        <w:t>to</w:t>
      </w:r>
      <w:r>
        <w:rPr>
          <w:spacing w:val="-2"/>
          <w:sz w:val="24"/>
        </w:rPr>
        <w:t> </w:t>
      </w:r>
      <w:r>
        <w:rPr>
          <w:sz w:val="24"/>
        </w:rPr>
        <w:t>80%</w:t>
      </w:r>
      <w:r>
        <w:rPr>
          <w:spacing w:val="-1"/>
          <w:sz w:val="24"/>
        </w:rPr>
        <w:t> </w:t>
      </w:r>
      <w:r>
        <w:rPr>
          <w:sz w:val="24"/>
        </w:rPr>
        <w:t>of</w:t>
      </w:r>
      <w:r>
        <w:rPr>
          <w:spacing w:val="-1"/>
          <w:sz w:val="24"/>
        </w:rPr>
        <w:t> </w:t>
      </w:r>
      <w:r>
        <w:rPr>
          <w:sz w:val="24"/>
        </w:rPr>
        <w:t>all</w:t>
      </w:r>
      <w:r>
        <w:rPr>
          <w:spacing w:val="-2"/>
          <w:sz w:val="24"/>
        </w:rPr>
        <w:t> </w:t>
      </w:r>
      <w:r>
        <w:rPr>
          <w:sz w:val="24"/>
        </w:rPr>
        <w:t>the antibodies in the body. IgG antibodies are considered the most important antibodies in fighting bacterial and viral infections efficiently and are the only type of antibody that can cross the placenta to help protect the foetus.</w:t>
      </w:r>
    </w:p>
    <w:p>
      <w:pPr>
        <w:spacing w:after="0" w:line="480" w:lineRule="auto"/>
        <w:jc w:val="both"/>
        <w:rPr>
          <w:sz w:val="24"/>
        </w:rPr>
        <w:sectPr>
          <w:pgSz w:w="11910" w:h="16840"/>
          <w:pgMar w:header="0" w:footer="981" w:top="1320" w:bottom="1180" w:left="1240" w:right="560"/>
        </w:sectPr>
      </w:pPr>
    </w:p>
    <w:p>
      <w:pPr>
        <w:pStyle w:val="ListParagraph"/>
        <w:numPr>
          <w:ilvl w:val="0"/>
          <w:numId w:val="14"/>
        </w:numPr>
        <w:tabs>
          <w:tab w:pos="1465" w:val="left" w:leader="none"/>
          <w:tab w:pos="1827" w:val="left" w:leader="none"/>
        </w:tabs>
        <w:spacing w:line="480" w:lineRule="auto" w:before="64" w:after="0"/>
        <w:ind w:left="1827" w:right="849" w:hanging="720"/>
        <w:jc w:val="both"/>
        <w:rPr>
          <w:sz w:val="24"/>
        </w:rPr>
      </w:pPr>
      <w:r>
        <w:rPr>
          <w:sz w:val="24"/>
        </w:rPr>
        <w:t>IgM antibodies - are the largest type in blood and lymph fluid and are usually produced first in response to an infection. IgM antibodies normally</w:t>
      </w:r>
      <w:r>
        <w:rPr>
          <w:spacing w:val="-4"/>
          <w:sz w:val="24"/>
        </w:rPr>
        <w:t> </w:t>
      </w:r>
      <w:r>
        <w:rPr>
          <w:sz w:val="24"/>
        </w:rPr>
        <w:t>comprise about 5% to 10% of all the antibodies in the body.</w:t>
      </w:r>
    </w:p>
    <w:p>
      <w:pPr>
        <w:pStyle w:val="ListParagraph"/>
        <w:numPr>
          <w:ilvl w:val="0"/>
          <w:numId w:val="14"/>
        </w:numPr>
        <w:tabs>
          <w:tab w:pos="1466" w:val="left" w:leader="none"/>
          <w:tab w:pos="1827" w:val="left" w:leader="none"/>
        </w:tabs>
        <w:spacing w:line="480" w:lineRule="auto" w:before="1" w:after="0"/>
        <w:ind w:left="1827" w:right="846" w:hanging="720"/>
        <w:jc w:val="both"/>
        <w:rPr>
          <w:sz w:val="24"/>
        </w:rPr>
      </w:pPr>
      <w:r>
        <w:rPr>
          <w:sz w:val="24"/>
        </w:rPr>
        <w:t>IgD antibodies - are found in small amounts in the tissues that line the</w:t>
      </w:r>
      <w:r>
        <w:rPr>
          <w:spacing w:val="40"/>
          <w:sz w:val="24"/>
        </w:rPr>
        <w:t> </w:t>
      </w:r>
      <w:r>
        <w:rPr>
          <w:sz w:val="24"/>
        </w:rPr>
        <w:t>abdominal and</w:t>
      </w:r>
      <w:r>
        <w:rPr>
          <w:spacing w:val="80"/>
          <w:w w:val="150"/>
          <w:sz w:val="24"/>
        </w:rPr>
        <w:t> </w:t>
      </w:r>
      <w:r>
        <w:rPr>
          <w:sz w:val="24"/>
        </w:rPr>
        <w:t>chest cavity of the body. They appear to play a role in allergic reactions to some substances such as milk, some medications, and some poisons. IgD remains attached to B cells and play a key role in initiating early B cells response.</w:t>
      </w:r>
    </w:p>
    <w:p>
      <w:pPr>
        <w:pStyle w:val="ListParagraph"/>
        <w:numPr>
          <w:ilvl w:val="0"/>
          <w:numId w:val="14"/>
        </w:numPr>
        <w:tabs>
          <w:tab w:pos="1467" w:val="left" w:leader="none"/>
          <w:tab w:pos="1827" w:val="left" w:leader="none"/>
        </w:tabs>
        <w:spacing w:line="480" w:lineRule="auto" w:before="1" w:after="0"/>
        <w:ind w:left="1827" w:right="846" w:hanging="720"/>
        <w:jc w:val="both"/>
        <w:rPr>
          <w:sz w:val="24"/>
        </w:rPr>
      </w:pPr>
      <w:r>
        <w:rPr>
          <w:sz w:val="24"/>
        </w:rPr>
        <w:t>IgE. IgE antibodies are found in the lungs, skin, and mucous membranes. They cause the body to react against foreign substances such as pollen, fungus spores, and so forth. IgE antibody levels are often high in people with allergies (Schroeder and Cavacini, 2010).</w:t>
      </w:r>
    </w:p>
    <w:p>
      <w:pPr>
        <w:pStyle w:val="BodyText"/>
      </w:pPr>
    </w:p>
    <w:p>
      <w:pPr>
        <w:pStyle w:val="BodyText"/>
      </w:pPr>
    </w:p>
    <w:p>
      <w:pPr>
        <w:pStyle w:val="BodyText"/>
        <w:spacing w:line="480" w:lineRule="auto"/>
        <w:ind w:left="747" w:right="847"/>
        <w:jc w:val="both"/>
      </w:pPr>
      <w:r>
        <w:rPr/>
        <w:t>The reaction between Ag and Ab activates the complement system (series of serum enzymes) and may result in either lyses of the target Ag or enhanced phagocytosis (phagocytic cells-Ag ingestion) as the activation also recruits highly phagocytic polymorphonuclear cells being part of the innate immune system that maximize the effective response made by this humoral arm of immunity against invading agents (Agerberth and Gudmundsson, 2006).</w:t>
      </w:r>
    </w:p>
    <w:p>
      <w:pPr>
        <w:pStyle w:val="BodyText"/>
      </w:pPr>
    </w:p>
    <w:p>
      <w:pPr>
        <w:pStyle w:val="BodyText"/>
      </w:pPr>
    </w:p>
    <w:p>
      <w:pPr>
        <w:pStyle w:val="BodyText"/>
      </w:pPr>
    </w:p>
    <w:p>
      <w:pPr>
        <w:pStyle w:val="BodyText"/>
        <w:spacing w:before="6"/>
      </w:pPr>
    </w:p>
    <w:p>
      <w:pPr>
        <w:pStyle w:val="Heading2"/>
        <w:numPr>
          <w:ilvl w:val="2"/>
          <w:numId w:val="11"/>
        </w:numPr>
        <w:tabs>
          <w:tab w:pos="1407" w:val="left" w:leader="none"/>
          <w:tab w:pos="1467" w:val="left" w:leader="none"/>
        </w:tabs>
        <w:spacing w:line="477" w:lineRule="auto" w:before="0" w:after="0"/>
        <w:ind w:left="1407" w:right="1787" w:hanging="660"/>
        <w:jc w:val="left"/>
      </w:pPr>
      <w:r>
        <w:rPr/>
        <w:tab/>
        <w:t>Cell</w:t>
      </w:r>
      <w:r>
        <w:rPr>
          <w:spacing w:val="-4"/>
        </w:rPr>
        <w:t> </w:t>
      </w:r>
      <w:r>
        <w:rPr/>
        <w:t>mediated</w:t>
      </w:r>
      <w:r>
        <w:rPr>
          <w:spacing w:val="-4"/>
        </w:rPr>
        <w:t> </w:t>
      </w:r>
      <w:r>
        <w:rPr/>
        <w:t>response</w:t>
      </w:r>
      <w:r>
        <w:rPr>
          <w:spacing w:val="-3"/>
        </w:rPr>
        <w:t> </w:t>
      </w:r>
      <w:r>
        <w:rPr/>
        <w:t>type</w:t>
      </w:r>
      <w:r>
        <w:rPr>
          <w:spacing w:val="-5"/>
        </w:rPr>
        <w:t> </w:t>
      </w:r>
      <w:r>
        <w:rPr/>
        <w:t>of</w:t>
      </w:r>
      <w:r>
        <w:rPr>
          <w:spacing w:val="-3"/>
        </w:rPr>
        <w:t> </w:t>
      </w:r>
      <w:r>
        <w:rPr/>
        <w:t>acquired</w:t>
      </w:r>
      <w:r>
        <w:rPr>
          <w:spacing w:val="-4"/>
        </w:rPr>
        <w:t> </w:t>
      </w:r>
      <w:r>
        <w:rPr/>
        <w:t>immunity</w:t>
      </w:r>
      <w:r>
        <w:rPr>
          <w:spacing w:val="-4"/>
        </w:rPr>
        <w:t> </w:t>
      </w:r>
      <w:r>
        <w:rPr/>
        <w:t>involving</w:t>
      </w:r>
      <w:r>
        <w:rPr>
          <w:spacing w:val="-4"/>
        </w:rPr>
        <w:t> </w:t>
      </w:r>
      <w:r>
        <w:rPr/>
        <w:t>the</w:t>
      </w:r>
      <w:r>
        <w:rPr>
          <w:spacing w:val="-5"/>
        </w:rPr>
        <w:t> </w:t>
      </w:r>
      <w:r>
        <w:rPr/>
        <w:t>T- </w:t>
      </w:r>
      <w:r>
        <w:rPr>
          <w:spacing w:val="-2"/>
        </w:rPr>
        <w:t>lymphocytes</w:t>
      </w:r>
    </w:p>
    <w:p>
      <w:pPr>
        <w:pStyle w:val="BodyText"/>
        <w:spacing w:line="480" w:lineRule="auto"/>
        <w:ind w:left="747" w:right="847"/>
        <w:jc w:val="both"/>
      </w:pPr>
      <w:r>
        <w:rPr/>
        <w:t>The B- cells produce soluble Ab that circulates to bind its specific Ags, but each T-cell bear</w:t>
      </w:r>
      <w:r>
        <w:rPr>
          <w:spacing w:val="37"/>
        </w:rPr>
        <w:t> </w:t>
      </w:r>
      <w:r>
        <w:rPr/>
        <w:t>many</w:t>
      </w:r>
      <w:r>
        <w:rPr>
          <w:spacing w:val="31"/>
        </w:rPr>
        <w:t> </w:t>
      </w:r>
      <w:r>
        <w:rPr/>
        <w:t>identical</w:t>
      </w:r>
      <w:r>
        <w:rPr>
          <w:spacing w:val="37"/>
        </w:rPr>
        <w:t> </w:t>
      </w:r>
      <w:r>
        <w:rPr/>
        <w:t>Ag</w:t>
      </w:r>
      <w:r>
        <w:rPr>
          <w:spacing w:val="39"/>
        </w:rPr>
        <w:t> </w:t>
      </w:r>
      <w:r>
        <w:rPr/>
        <w:t>receptors</w:t>
      </w:r>
      <w:r>
        <w:rPr>
          <w:spacing w:val="36"/>
        </w:rPr>
        <w:t> </w:t>
      </w:r>
      <w:r>
        <w:rPr/>
        <w:t>(TCRs)</w:t>
      </w:r>
      <w:r>
        <w:rPr>
          <w:spacing w:val="36"/>
        </w:rPr>
        <w:t> </w:t>
      </w:r>
      <w:r>
        <w:rPr/>
        <w:t>of</w:t>
      </w:r>
      <w:r>
        <w:rPr>
          <w:spacing w:val="38"/>
        </w:rPr>
        <w:t> </w:t>
      </w:r>
      <w:r>
        <w:rPr/>
        <w:t>approximately</w:t>
      </w:r>
      <w:r>
        <w:rPr>
          <w:spacing w:val="33"/>
        </w:rPr>
        <w:t> </w:t>
      </w:r>
      <w:r>
        <w:rPr/>
        <w:t>10</w:t>
      </w:r>
      <w:r>
        <w:rPr>
          <w:vertAlign w:val="superscript"/>
        </w:rPr>
        <w:t>5</w:t>
      </w:r>
      <w:r>
        <w:rPr>
          <w:vertAlign w:val="baseline"/>
        </w:rPr>
        <w:t>/cell</w:t>
      </w:r>
      <w:r>
        <w:rPr>
          <w:spacing w:val="37"/>
          <w:vertAlign w:val="baseline"/>
        </w:rPr>
        <w:t> </w:t>
      </w:r>
      <w:r>
        <w:rPr>
          <w:vertAlign w:val="baseline"/>
        </w:rPr>
        <w:t>and</w:t>
      </w:r>
      <w:r>
        <w:rPr>
          <w:spacing w:val="39"/>
          <w:vertAlign w:val="baseline"/>
        </w:rPr>
        <w:t> </w:t>
      </w:r>
      <w:r>
        <w:rPr>
          <w:vertAlign w:val="baseline"/>
        </w:rPr>
        <w:t>they</w:t>
      </w:r>
      <w:r>
        <w:rPr>
          <w:spacing w:val="30"/>
          <w:vertAlign w:val="baseline"/>
        </w:rPr>
        <w:t> </w:t>
      </w:r>
      <w:r>
        <w:rPr>
          <w:vertAlign w:val="baseline"/>
        </w:rPr>
        <w:t>tend</w:t>
      </w:r>
      <w:r>
        <w:rPr>
          <w:spacing w:val="36"/>
          <w:vertAlign w:val="baseline"/>
        </w:rPr>
        <w:t> </w:t>
      </w:r>
      <w:r>
        <w:rPr>
          <w:spacing w:val="-5"/>
          <w:vertAlign w:val="baseline"/>
        </w:rPr>
        <w:t>to</w:t>
      </w:r>
    </w:p>
    <w:p>
      <w:pPr>
        <w:spacing w:after="0" w:line="480" w:lineRule="auto"/>
        <w:jc w:val="both"/>
        <w:sectPr>
          <w:pgSz w:w="11910" w:h="16840"/>
          <w:pgMar w:header="0" w:footer="981" w:top="1320" w:bottom="1180" w:left="1240" w:right="560"/>
        </w:sectPr>
      </w:pPr>
    </w:p>
    <w:p>
      <w:pPr>
        <w:pStyle w:val="BodyText"/>
        <w:spacing w:line="480" w:lineRule="auto" w:before="64"/>
        <w:ind w:left="747" w:right="845"/>
        <w:jc w:val="both"/>
      </w:pPr>
      <w:r>
        <w:rPr/>
        <w:t>circulate directly to the site of Ag expressed on APCs and to interact with the APCs on</w:t>
      </w:r>
      <w:r>
        <w:rPr>
          <w:spacing w:val="80"/>
        </w:rPr>
        <w:t> </w:t>
      </w:r>
      <w:r>
        <w:rPr/>
        <w:t>a cognate (cell to cell) fashion (Holtmeier and Kabelitz, 2005). Each sub-population of T-cell may be phenotypically distinct in functions, but may</w:t>
      </w:r>
      <w:r>
        <w:rPr>
          <w:spacing w:val="-2"/>
        </w:rPr>
        <w:t> </w:t>
      </w:r>
      <w:r>
        <w:rPr/>
        <w:t>have same specificity for an antigenic determinant (epitope), just as the different classes of immuno globulin molecules may have identical specificity, but different biological functions. The T-cell cytokines are soluble mediators and they exert their effect on other cells to become activated (to grow).</w:t>
      </w:r>
    </w:p>
    <w:p>
      <w:pPr>
        <w:pStyle w:val="BodyText"/>
      </w:pPr>
    </w:p>
    <w:p>
      <w:pPr>
        <w:pStyle w:val="BodyText"/>
        <w:spacing w:before="201"/>
      </w:pPr>
    </w:p>
    <w:p>
      <w:pPr>
        <w:pStyle w:val="BodyText"/>
        <w:spacing w:line="480" w:lineRule="auto"/>
        <w:ind w:left="747" w:right="848"/>
        <w:jc w:val="both"/>
      </w:pPr>
      <w:r>
        <w:rPr/>
        <w:t>The two major classes of T-cells are the helper T-cells (T</w:t>
      </w:r>
      <w:r>
        <w:rPr>
          <w:vertAlign w:val="subscript"/>
        </w:rPr>
        <w:t>H</w:t>
      </w:r>
      <w:r>
        <w:rPr>
          <w:vertAlign w:val="baseline"/>
        </w:rPr>
        <w:t> cells) expressing CD4 molecules on their surface and the cytotoxic T-cells (T</w:t>
      </w:r>
      <w:r>
        <w:rPr>
          <w:vertAlign w:val="subscript"/>
        </w:rPr>
        <w:t>C</w:t>
      </w:r>
      <w:r>
        <w:rPr>
          <w:vertAlign w:val="baseline"/>
        </w:rPr>
        <w:t> cells) expressing CD8 molecules (Von and Mackay, 2000).</w:t>
      </w:r>
    </w:p>
    <w:p>
      <w:pPr>
        <w:pStyle w:val="BodyText"/>
        <w:ind w:left="747"/>
        <w:jc w:val="both"/>
      </w:pPr>
      <w:r>
        <w:rPr/>
        <w:t>Functions</w:t>
      </w:r>
      <w:r>
        <w:rPr>
          <w:spacing w:val="-1"/>
        </w:rPr>
        <w:t> </w:t>
      </w:r>
      <w:r>
        <w:rPr/>
        <w:t>of</w:t>
      </w:r>
      <w:r>
        <w:rPr>
          <w:spacing w:val="-2"/>
        </w:rPr>
        <w:t> </w:t>
      </w:r>
      <w:r>
        <w:rPr/>
        <w:t>T</w:t>
      </w:r>
      <w:r>
        <w:rPr>
          <w:spacing w:val="-1"/>
        </w:rPr>
        <w:t> </w:t>
      </w:r>
      <w:r>
        <w:rPr>
          <w:spacing w:val="-2"/>
        </w:rPr>
        <w:t>cells:</w:t>
      </w:r>
    </w:p>
    <w:p>
      <w:pPr>
        <w:pStyle w:val="BodyText"/>
      </w:pPr>
    </w:p>
    <w:p>
      <w:pPr>
        <w:pStyle w:val="ListParagraph"/>
        <w:numPr>
          <w:ilvl w:val="0"/>
          <w:numId w:val="15"/>
        </w:numPr>
        <w:tabs>
          <w:tab w:pos="1465" w:val="left" w:leader="none"/>
          <w:tab w:pos="1467" w:val="left" w:leader="none"/>
        </w:tabs>
        <w:spacing w:line="480" w:lineRule="auto" w:before="1" w:after="0"/>
        <w:ind w:left="1467" w:right="844" w:hanging="360"/>
        <w:jc w:val="both"/>
        <w:rPr>
          <w:sz w:val="24"/>
        </w:rPr>
      </w:pPr>
      <w:r>
        <w:rPr>
          <w:sz w:val="24"/>
        </w:rPr>
        <w:t>They</w:t>
      </w:r>
      <w:r>
        <w:rPr>
          <w:spacing w:val="-2"/>
          <w:sz w:val="24"/>
        </w:rPr>
        <w:t> </w:t>
      </w:r>
      <w:r>
        <w:rPr>
          <w:sz w:val="24"/>
        </w:rPr>
        <w:t>corporate with B-cells to enhance production of</w:t>
      </w:r>
      <w:r>
        <w:rPr>
          <w:spacing w:val="-1"/>
          <w:sz w:val="24"/>
        </w:rPr>
        <w:t> </w:t>
      </w:r>
      <w:r>
        <w:rPr>
          <w:sz w:val="24"/>
        </w:rPr>
        <w:t>Abs – (releasing</w:t>
      </w:r>
      <w:r>
        <w:rPr>
          <w:spacing w:val="-3"/>
          <w:sz w:val="24"/>
        </w:rPr>
        <w:t> </w:t>
      </w:r>
      <w:r>
        <w:rPr>
          <w:sz w:val="24"/>
        </w:rPr>
        <w:t>cytokines which provide various activation signals for the B-cells). Cytokines are soluble substances / mediators released by</w:t>
      </w:r>
      <w:r>
        <w:rPr>
          <w:spacing w:val="-1"/>
          <w:sz w:val="24"/>
        </w:rPr>
        <w:t> </w:t>
      </w:r>
      <w:r>
        <w:rPr>
          <w:sz w:val="24"/>
        </w:rPr>
        <w:t>cells (eg: lymphokines for lymphocytes). The released cytokines defines the functions of helper T-cells subsets (TH</w:t>
      </w:r>
      <w:r>
        <w:rPr>
          <w:sz w:val="24"/>
          <w:vertAlign w:val="subscript"/>
        </w:rPr>
        <w:t>1</w:t>
      </w:r>
      <w:r>
        <w:rPr>
          <w:sz w:val="24"/>
          <w:vertAlign w:val="baseline"/>
        </w:rPr>
        <w:t>, TH</w:t>
      </w:r>
      <w:r>
        <w:rPr>
          <w:sz w:val="24"/>
          <w:vertAlign w:val="subscript"/>
        </w:rPr>
        <w:t>2</w:t>
      </w:r>
      <w:r>
        <w:rPr>
          <w:sz w:val="24"/>
          <w:vertAlign w:val="baseline"/>
        </w:rPr>
        <w:t>). A group of low molecular weight cytokines has been given the name chemokines and these play a role in inflammatory responses.</w:t>
      </w:r>
    </w:p>
    <w:p>
      <w:pPr>
        <w:pStyle w:val="BodyText"/>
      </w:pPr>
    </w:p>
    <w:p>
      <w:pPr>
        <w:pStyle w:val="BodyText"/>
      </w:pPr>
    </w:p>
    <w:p>
      <w:pPr>
        <w:pStyle w:val="ListParagraph"/>
        <w:numPr>
          <w:ilvl w:val="0"/>
          <w:numId w:val="15"/>
        </w:numPr>
        <w:tabs>
          <w:tab w:pos="1465" w:val="left" w:leader="none"/>
          <w:tab w:pos="1467" w:val="left" w:leader="none"/>
        </w:tabs>
        <w:spacing w:line="480" w:lineRule="auto" w:before="1" w:after="0"/>
        <w:ind w:left="1467" w:right="848" w:hanging="360"/>
        <w:jc w:val="both"/>
        <w:rPr>
          <w:sz w:val="24"/>
        </w:rPr>
      </w:pPr>
      <w:r>
        <w:rPr>
          <w:sz w:val="24"/>
        </w:rPr>
        <w:t>Inflammatory effect: Activation of certain T-cell subpopulation (T</w:t>
      </w:r>
      <w:r>
        <w:rPr>
          <w:sz w:val="24"/>
          <w:vertAlign w:val="subscript"/>
        </w:rPr>
        <w:t>DTH)</w:t>
      </w:r>
      <w:r>
        <w:rPr>
          <w:sz w:val="24"/>
          <w:vertAlign w:val="baseline"/>
        </w:rPr>
        <w:t>) releases cytokines which activate more monocytes and macrophages to migrate and this leads to delayed type hypersensitivity inflammatory reactions.</w:t>
      </w:r>
    </w:p>
    <w:p>
      <w:pPr>
        <w:pStyle w:val="ListParagraph"/>
        <w:numPr>
          <w:ilvl w:val="0"/>
          <w:numId w:val="15"/>
        </w:numPr>
        <w:tabs>
          <w:tab w:pos="1465" w:val="left" w:leader="none"/>
          <w:tab w:pos="1467" w:val="left" w:leader="none"/>
        </w:tabs>
        <w:spacing w:line="480" w:lineRule="auto" w:before="0" w:after="0"/>
        <w:ind w:left="1467" w:right="849" w:hanging="360"/>
        <w:jc w:val="both"/>
        <w:rPr>
          <w:sz w:val="24"/>
        </w:rPr>
      </w:pPr>
      <w:r>
        <w:rPr>
          <w:sz w:val="24"/>
        </w:rPr>
        <w:t>Cytotoxic effects: Another subset subpopulation of T-cells (T-cytotoxic = T</w:t>
      </w:r>
      <w:r>
        <w:rPr>
          <w:sz w:val="24"/>
          <w:vertAlign w:val="subscript"/>
        </w:rPr>
        <w:t>C</w:t>
      </w:r>
      <w:r>
        <w:rPr>
          <w:sz w:val="24"/>
          <w:vertAlign w:val="baseline"/>
        </w:rPr>
        <w:t> cells) delivers a lethal hit on their target Ags (cytotoxic killer cells). This group expresses CD</w:t>
      </w:r>
      <w:r>
        <w:rPr>
          <w:sz w:val="24"/>
          <w:vertAlign w:val="subscript"/>
        </w:rPr>
        <w:t>8</w:t>
      </w:r>
      <w:r>
        <w:rPr>
          <w:sz w:val="24"/>
          <w:vertAlign w:val="baseline"/>
        </w:rPr>
        <w:t> on their membranes and thus, can also be CD</w:t>
      </w:r>
      <w:r>
        <w:rPr>
          <w:sz w:val="24"/>
          <w:vertAlign w:val="subscript"/>
        </w:rPr>
        <w:t>8+</w:t>
      </w:r>
      <w:r>
        <w:rPr>
          <w:sz w:val="24"/>
          <w:vertAlign w:val="baseline"/>
        </w:rPr>
        <w:t> cells.</w:t>
      </w:r>
    </w:p>
    <w:p>
      <w:pPr>
        <w:spacing w:after="0" w:line="480" w:lineRule="auto"/>
        <w:jc w:val="both"/>
        <w:rPr>
          <w:sz w:val="24"/>
        </w:rPr>
        <w:sectPr>
          <w:pgSz w:w="11910" w:h="16840"/>
          <w:pgMar w:header="0" w:footer="981" w:top="1320" w:bottom="1180" w:left="1240" w:right="560"/>
        </w:sectPr>
      </w:pPr>
    </w:p>
    <w:p>
      <w:pPr>
        <w:pStyle w:val="ListParagraph"/>
        <w:numPr>
          <w:ilvl w:val="0"/>
          <w:numId w:val="15"/>
        </w:numPr>
        <w:tabs>
          <w:tab w:pos="1467" w:val="left" w:leader="none"/>
        </w:tabs>
        <w:spacing w:line="480" w:lineRule="auto" w:before="64" w:after="0"/>
        <w:ind w:left="1467" w:right="844" w:hanging="360"/>
        <w:jc w:val="both"/>
        <w:rPr>
          <w:sz w:val="24"/>
        </w:rPr>
      </w:pPr>
      <w:r>
        <w:rPr>
          <w:sz w:val="24"/>
        </w:rPr>
        <w:t>Regulatory effects: The released cytokines defines the regulatory functions of helper T-cells subsets ( regulatory or suppressor T-cells). However, the TH</w:t>
      </w:r>
      <w:r>
        <w:rPr>
          <w:sz w:val="24"/>
          <w:vertAlign w:val="subscript"/>
        </w:rPr>
        <w:t>1</w:t>
      </w:r>
      <w:r>
        <w:rPr>
          <w:sz w:val="24"/>
          <w:vertAlign w:val="baseline"/>
        </w:rPr>
        <w:t> can negatively cross regulate TH</w:t>
      </w:r>
      <w:r>
        <w:rPr>
          <w:sz w:val="24"/>
          <w:vertAlign w:val="subscript"/>
        </w:rPr>
        <w:t>2</w:t>
      </w:r>
      <w:r>
        <w:rPr>
          <w:sz w:val="24"/>
          <w:vertAlign w:val="baseline"/>
        </w:rPr>
        <w:t> cells and vice versa; another regulatory or suppressor T-cells subset can co-express CD</w:t>
      </w:r>
      <w:r>
        <w:rPr>
          <w:sz w:val="24"/>
          <w:vertAlign w:val="subscript"/>
        </w:rPr>
        <w:t>4</w:t>
      </w:r>
      <w:r>
        <w:rPr>
          <w:sz w:val="24"/>
          <w:vertAlign w:val="baseline"/>
        </w:rPr>
        <w:t> and CD</w:t>
      </w:r>
      <w:r>
        <w:rPr>
          <w:sz w:val="24"/>
          <w:vertAlign w:val="subscript"/>
        </w:rPr>
        <w:t>25</w:t>
      </w:r>
      <w:r>
        <w:rPr>
          <w:sz w:val="24"/>
          <w:vertAlign w:val="baseline"/>
        </w:rPr>
        <w:t> (interleukin 2 receptor</w:t>
      </w:r>
      <w:r>
        <w:rPr>
          <w:spacing w:val="80"/>
          <w:sz w:val="24"/>
          <w:vertAlign w:val="baseline"/>
        </w:rPr>
        <w:t> </w:t>
      </w:r>
      <w:r>
        <w:rPr>
          <w:sz w:val="24"/>
          <w:vertAlign w:val="baseline"/>
        </w:rPr>
        <w:t>α-chain). CD</w:t>
      </w:r>
      <w:r>
        <w:rPr>
          <w:sz w:val="24"/>
          <w:vertAlign w:val="subscript"/>
        </w:rPr>
        <w:t>4+</w:t>
      </w:r>
      <w:r>
        <w:rPr>
          <w:sz w:val="24"/>
          <w:vertAlign w:val="baseline"/>
        </w:rPr>
        <w:t> and CD</w:t>
      </w:r>
      <w:r>
        <w:rPr>
          <w:sz w:val="24"/>
          <w:vertAlign w:val="subscript"/>
        </w:rPr>
        <w:t>25+</w:t>
      </w:r>
      <w:r>
        <w:rPr>
          <w:sz w:val="24"/>
          <w:vertAlign w:val="baseline"/>
        </w:rPr>
        <w:t> play regulatory role and suppress autoimmunity.</w:t>
      </w:r>
    </w:p>
    <w:p>
      <w:pPr>
        <w:pStyle w:val="ListParagraph"/>
        <w:numPr>
          <w:ilvl w:val="0"/>
          <w:numId w:val="15"/>
        </w:numPr>
        <w:tabs>
          <w:tab w:pos="1467" w:val="left" w:leader="none"/>
        </w:tabs>
        <w:spacing w:line="480" w:lineRule="auto" w:before="1" w:after="0"/>
        <w:ind w:left="1467" w:right="846" w:hanging="360"/>
        <w:jc w:val="both"/>
        <w:rPr>
          <w:sz w:val="24"/>
        </w:rPr>
      </w:pPr>
      <w:r>
        <w:rPr>
          <w:sz w:val="24"/>
        </w:rPr>
        <w:t>Cytokines effects: The many different cytokines released by the T-cells communicate and collaborate with many cell types of the immune system (Von and Mackay, 2000).</w:t>
      </w:r>
    </w:p>
    <w:p>
      <w:pPr>
        <w:pStyle w:val="BodyText"/>
      </w:pPr>
    </w:p>
    <w:p>
      <w:pPr>
        <w:pStyle w:val="BodyText"/>
        <w:spacing w:before="1"/>
      </w:pPr>
    </w:p>
    <w:p>
      <w:pPr>
        <w:pStyle w:val="BodyText"/>
        <w:spacing w:line="480" w:lineRule="auto"/>
        <w:ind w:left="747" w:right="846"/>
        <w:jc w:val="both"/>
      </w:pPr>
      <w:r>
        <w:rPr/>
        <w:t>In all, the response to any particular pathogen is a complex interaction of innate, humoral and cellular immunity component arms of the immune system that ensure both the survival and protection of host from immune response against self. In general, the cellular component elements of immunity are majorly the white blood cells (Agerberth and Gudmundsson, 2006).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2"/>
          <w:numId w:val="11"/>
        </w:numPr>
        <w:tabs>
          <w:tab w:pos="1466" w:val="left" w:leader="none"/>
        </w:tabs>
        <w:spacing w:line="240" w:lineRule="auto" w:before="0" w:after="0"/>
        <w:ind w:left="1466" w:right="0" w:hanging="719"/>
        <w:jc w:val="both"/>
      </w:pPr>
      <w:bookmarkStart w:name="_TOC_250003" w:id="20"/>
      <w:r>
        <w:rPr/>
        <w:t>White</w:t>
      </w:r>
      <w:r>
        <w:rPr>
          <w:spacing w:val="-4"/>
        </w:rPr>
        <w:t> </w:t>
      </w:r>
      <w:r>
        <w:rPr/>
        <w:t>blood cells</w:t>
      </w:r>
      <w:r>
        <w:rPr>
          <w:spacing w:val="-1"/>
        </w:rPr>
        <w:t> </w:t>
      </w:r>
      <w:r>
        <w:rPr/>
        <w:t>(WBCs,</w:t>
      </w:r>
      <w:r>
        <w:rPr>
          <w:spacing w:val="-2"/>
        </w:rPr>
        <w:t> </w:t>
      </w:r>
      <w:r>
        <w:rPr/>
        <w:t>leukocytes</w:t>
      </w:r>
      <w:r>
        <w:rPr>
          <w:spacing w:val="-1"/>
        </w:rPr>
        <w:t> </w:t>
      </w:r>
      <w:r>
        <w:rPr/>
        <w:t>or</w:t>
      </w:r>
      <w:r>
        <w:rPr>
          <w:spacing w:val="-1"/>
        </w:rPr>
        <w:t> </w:t>
      </w:r>
      <w:bookmarkEnd w:id="20"/>
      <w:r>
        <w:rPr>
          <w:spacing w:val="-2"/>
        </w:rPr>
        <w:t>leucocytes)</w:t>
      </w:r>
    </w:p>
    <w:p>
      <w:pPr>
        <w:pStyle w:val="BodyText"/>
        <w:spacing w:line="480" w:lineRule="auto" w:before="271"/>
        <w:ind w:left="747" w:right="847"/>
        <w:jc w:val="both"/>
      </w:pPr>
      <w:r>
        <w:rPr/>
        <w:t>Leukocyte is a Greek word (leuco = white, kytos = hollow vessel and cytes = cell). The many WBCs are distinct in form and function, but are majorly distinguished by the presence or absence of granules (granulocytes or agranulocytes) (Handin </w:t>
      </w:r>
      <w:r>
        <w:rPr>
          <w:i/>
        </w:rPr>
        <w:t>et al</w:t>
      </w:r>
      <w:r>
        <w:rPr/>
        <w:t>., 2003).</w:t>
      </w:r>
    </w:p>
    <w:p>
      <w:pPr>
        <w:pStyle w:val="BodyText"/>
        <w:spacing w:line="480" w:lineRule="auto"/>
        <w:ind w:left="747" w:right="846"/>
        <w:jc w:val="both"/>
      </w:pPr>
      <w:r>
        <w:rPr/>
        <w:t>Granulocytes (polymorphonuclear leucocytes) are leucocytes whose cytoplasm in addition</w:t>
      </w:r>
      <w:r>
        <w:rPr>
          <w:spacing w:val="43"/>
        </w:rPr>
        <w:t> </w:t>
      </w:r>
      <w:r>
        <w:rPr/>
        <w:t>to</w:t>
      </w:r>
      <w:r>
        <w:rPr>
          <w:spacing w:val="44"/>
        </w:rPr>
        <w:t> </w:t>
      </w:r>
      <w:r>
        <w:rPr/>
        <w:t>lysosomes,</w:t>
      </w:r>
      <w:r>
        <w:rPr>
          <w:spacing w:val="43"/>
        </w:rPr>
        <w:t> </w:t>
      </w:r>
      <w:r>
        <w:rPr/>
        <w:t>contain</w:t>
      </w:r>
      <w:r>
        <w:rPr>
          <w:spacing w:val="44"/>
        </w:rPr>
        <w:t> </w:t>
      </w:r>
      <w:r>
        <w:rPr/>
        <w:t>different</w:t>
      </w:r>
      <w:r>
        <w:rPr>
          <w:spacing w:val="43"/>
        </w:rPr>
        <w:t> </w:t>
      </w:r>
      <w:r>
        <w:rPr/>
        <w:t>staining</w:t>
      </w:r>
      <w:r>
        <w:rPr>
          <w:spacing w:val="44"/>
        </w:rPr>
        <w:t> </w:t>
      </w:r>
      <w:r>
        <w:rPr/>
        <w:t>granules</w:t>
      </w:r>
      <w:r>
        <w:rPr>
          <w:spacing w:val="43"/>
        </w:rPr>
        <w:t> </w:t>
      </w:r>
      <w:r>
        <w:rPr/>
        <w:t>(lysozyme)</w:t>
      </w:r>
      <w:r>
        <w:rPr>
          <w:spacing w:val="49"/>
        </w:rPr>
        <w:t> </w:t>
      </w:r>
      <w:r>
        <w:rPr/>
        <w:t>–</w:t>
      </w:r>
      <w:r>
        <w:rPr>
          <w:spacing w:val="46"/>
        </w:rPr>
        <w:t> </w:t>
      </w:r>
      <w:r>
        <w:rPr/>
        <w:t>a</w:t>
      </w:r>
      <w:r>
        <w:rPr>
          <w:spacing w:val="43"/>
        </w:rPr>
        <w:t> </w:t>
      </w:r>
      <w:r>
        <w:rPr>
          <w:spacing w:val="-2"/>
        </w:rPr>
        <w:t>membrane</w:t>
      </w:r>
    </w:p>
    <w:p>
      <w:pPr>
        <w:spacing w:after="0" w:line="480" w:lineRule="auto"/>
        <w:jc w:val="both"/>
        <w:sectPr>
          <w:pgSz w:w="11910" w:h="16840"/>
          <w:pgMar w:header="0" w:footer="981" w:top="1320" w:bottom="1180" w:left="1240" w:right="560"/>
        </w:sectPr>
      </w:pPr>
    </w:p>
    <w:p>
      <w:pPr>
        <w:pStyle w:val="BodyText"/>
        <w:spacing w:line="480" w:lineRule="auto" w:before="64"/>
        <w:ind w:left="747" w:right="854"/>
        <w:jc w:val="both"/>
      </w:pPr>
      <w:r>
        <w:rPr/>
        <w:t>bound enzyme that digests endocytosed particles. The three types of granulocytes include neutrophils, basophils and eosinophils named according to their staining properties (Handin </w:t>
      </w:r>
      <w:r>
        <w:rPr>
          <w:i/>
        </w:rPr>
        <w:t>et al</w:t>
      </w:r>
      <w:r>
        <w:rPr/>
        <w:t>., 2003).</w:t>
      </w:r>
    </w:p>
    <w:p>
      <w:pPr>
        <w:pStyle w:val="BodyText"/>
      </w:pPr>
    </w:p>
    <w:p>
      <w:pPr>
        <w:pStyle w:val="BodyText"/>
        <w:spacing w:before="1"/>
      </w:pPr>
    </w:p>
    <w:p>
      <w:pPr>
        <w:pStyle w:val="BodyText"/>
        <w:spacing w:line="480" w:lineRule="auto"/>
        <w:ind w:left="747" w:right="844"/>
        <w:jc w:val="both"/>
      </w:pPr>
      <w:r>
        <w:rPr/>
        <w:t>The</w:t>
      </w:r>
      <w:r>
        <w:rPr>
          <w:spacing w:val="-1"/>
        </w:rPr>
        <w:t> </w:t>
      </w:r>
      <w:r>
        <w:rPr/>
        <w:t>WBCs are cells of</w:t>
      </w:r>
      <w:r>
        <w:rPr>
          <w:spacing w:val="-1"/>
        </w:rPr>
        <w:t> </w:t>
      </w:r>
      <w:r>
        <w:rPr/>
        <w:t>the</w:t>
      </w:r>
      <w:r>
        <w:rPr>
          <w:spacing w:val="-1"/>
        </w:rPr>
        <w:t> </w:t>
      </w:r>
      <w:r>
        <w:rPr/>
        <w:t>immune</w:t>
      </w:r>
      <w:r>
        <w:rPr>
          <w:spacing w:val="-1"/>
        </w:rPr>
        <w:t> </w:t>
      </w:r>
      <w:r>
        <w:rPr/>
        <w:t>system that are</w:t>
      </w:r>
      <w:r>
        <w:rPr>
          <w:spacing w:val="-1"/>
        </w:rPr>
        <w:t> </w:t>
      </w:r>
      <w:r>
        <w:rPr/>
        <w:t>found</w:t>
      </w:r>
      <w:r>
        <w:rPr>
          <w:spacing w:val="-1"/>
        </w:rPr>
        <w:t> </w:t>
      </w:r>
      <w:r>
        <w:rPr/>
        <w:t>throughout the</w:t>
      </w:r>
      <w:r>
        <w:rPr>
          <w:spacing w:val="-1"/>
        </w:rPr>
        <w:t> </w:t>
      </w:r>
      <w:r>
        <w:rPr/>
        <w:t>body</w:t>
      </w:r>
      <w:r>
        <w:rPr>
          <w:spacing w:val="-5"/>
        </w:rPr>
        <w:t> </w:t>
      </w:r>
      <w:r>
        <w:rPr/>
        <w:t>including the blood and lymphatic system and they live for about 3-4 days in an average human body.</w:t>
      </w:r>
      <w:r>
        <w:rPr>
          <w:spacing w:val="40"/>
        </w:rPr>
        <w:t> </w:t>
      </w:r>
      <w:r>
        <w:rPr/>
        <w:t>Some act as phagocytes, ingesting bacteria, viruses and cellular debris, while others release enzymatic granules that damage pathogenic invaders (Bruce </w:t>
      </w:r>
      <w:r>
        <w:rPr>
          <w:i/>
        </w:rPr>
        <w:t>et al</w:t>
      </w:r>
      <w:r>
        <w:rPr/>
        <w:t>., 2002). The</w:t>
      </w:r>
      <w:r>
        <w:rPr>
          <w:spacing w:val="-1"/>
        </w:rPr>
        <w:t> </w:t>
      </w:r>
      <w:r>
        <w:rPr/>
        <w:t>number of leucocytes in the blood is often an indicator of disease, but normally</w:t>
      </w:r>
      <w:r>
        <w:rPr>
          <w:spacing w:val="-4"/>
        </w:rPr>
        <w:t> </w:t>
      </w:r>
      <w:r>
        <w:rPr/>
        <w:t>it is approximately 7000/µL of blood – making up approximately 1% of the total blood volume in a</w:t>
      </w:r>
      <w:r>
        <w:rPr>
          <w:spacing w:val="-1"/>
        </w:rPr>
        <w:t> </w:t>
      </w:r>
      <w:r>
        <w:rPr/>
        <w:t>healthy</w:t>
      </w:r>
      <w:r>
        <w:rPr>
          <w:spacing w:val="-5"/>
        </w:rPr>
        <w:t> </w:t>
      </w:r>
      <w:r>
        <w:rPr/>
        <w:t>adult. The</w:t>
      </w:r>
      <w:r>
        <w:rPr>
          <w:spacing w:val="-2"/>
        </w:rPr>
        <w:t> </w:t>
      </w:r>
      <w:r>
        <w:rPr/>
        <w:t>changes in the</w:t>
      </w:r>
      <w:r>
        <w:rPr>
          <w:spacing w:val="-1"/>
        </w:rPr>
        <w:t> </w:t>
      </w:r>
      <w:r>
        <w:rPr/>
        <w:t>physical properties</w:t>
      </w:r>
      <w:r>
        <w:rPr>
          <w:spacing w:val="-1"/>
        </w:rPr>
        <w:t> </w:t>
      </w:r>
      <w:r>
        <w:rPr/>
        <w:t>(volume, conductivity, granularity</w:t>
      </w:r>
      <w:r>
        <w:rPr>
          <w:spacing w:val="-2"/>
        </w:rPr>
        <w:t> </w:t>
      </w:r>
      <w:r>
        <w:rPr/>
        <w:t>and so forth) of leucocytes are often due to activation, presence of immature cells or of malignancy as in leukemia. WBCs are the thin typical white layer of nucleated</w:t>
      </w:r>
      <w:r>
        <w:rPr>
          <w:spacing w:val="-1"/>
        </w:rPr>
        <w:t> </w:t>
      </w:r>
      <w:r>
        <w:rPr/>
        <w:t>cells settled</w:t>
      </w:r>
      <w:r>
        <w:rPr>
          <w:spacing w:val="-1"/>
        </w:rPr>
        <w:t> </w:t>
      </w:r>
      <w:r>
        <w:rPr/>
        <w:t>in the</w:t>
      </w:r>
      <w:r>
        <w:rPr>
          <w:spacing w:val="-1"/>
        </w:rPr>
        <w:t> </w:t>
      </w:r>
      <w:r>
        <w:rPr/>
        <w:t>buffy</w:t>
      </w:r>
      <w:r>
        <w:rPr>
          <w:spacing w:val="-5"/>
        </w:rPr>
        <w:t> </w:t>
      </w:r>
      <w:r>
        <w:rPr/>
        <w:t>coat and seen between the</w:t>
      </w:r>
      <w:r>
        <w:rPr>
          <w:spacing w:val="-1"/>
        </w:rPr>
        <w:t> </w:t>
      </w:r>
      <w:r>
        <w:rPr/>
        <w:t>sedimented</w:t>
      </w:r>
      <w:r>
        <w:rPr>
          <w:spacing w:val="-1"/>
        </w:rPr>
        <w:t> </w:t>
      </w:r>
      <w:r>
        <w:rPr/>
        <w:t>red blood cells and the blood plasma following centrifugation of whole blood. The buffy coat may sometimes be green if there are large amounts of neutrophils in the sample, due to its haem-containing enzyme (myeloperoxidase) (Handin </w:t>
      </w:r>
      <w:r>
        <w:rPr>
          <w:i/>
        </w:rPr>
        <w:t>et al</w:t>
      </w:r>
      <w:r>
        <w:rPr/>
        <w:t>., 2003).</w:t>
      </w:r>
    </w:p>
    <w:p>
      <w:pPr>
        <w:pStyle w:val="BodyText"/>
      </w:pPr>
    </w:p>
    <w:p>
      <w:pPr>
        <w:pStyle w:val="BodyText"/>
        <w:spacing w:before="1"/>
      </w:pPr>
    </w:p>
    <w:p>
      <w:pPr>
        <w:pStyle w:val="BodyText"/>
        <w:spacing w:line="480" w:lineRule="auto" w:before="1"/>
        <w:ind w:left="747" w:right="847"/>
        <w:jc w:val="both"/>
      </w:pPr>
      <w:r>
        <w:rPr/>
        <w:t>Agranulocytes (mononuclear leucocytes) are leucocytes whose cytoplasm do not</w:t>
      </w:r>
      <w:r>
        <w:rPr>
          <w:spacing w:val="40"/>
        </w:rPr>
        <w:t> </w:t>
      </w:r>
      <w:r>
        <w:rPr/>
        <w:t>contain granules, but have granule-like lysosomes. The three types of agranulocytes are lymphocytes, monocytes and macrophages (Thomas </w:t>
      </w:r>
      <w:r>
        <w:rPr>
          <w:i/>
        </w:rPr>
        <w:t>et al</w:t>
      </w:r>
      <w:r>
        <w:rPr/>
        <w:t>., 2003).</w:t>
      </w:r>
    </w:p>
    <w:p>
      <w:pPr>
        <w:pStyle w:val="BodyText"/>
        <w:spacing w:before="274"/>
      </w:pPr>
    </w:p>
    <w:p>
      <w:pPr>
        <w:pStyle w:val="BodyText"/>
        <w:spacing w:line="480" w:lineRule="auto"/>
        <w:ind w:left="747" w:right="850"/>
        <w:jc w:val="both"/>
      </w:pPr>
      <w:r>
        <w:rPr/>
        <w:t>Neutrophils: usually appear in large numbers at sites of bacterial and fungal infections, and their phagocytic activity and death forms pus. Thus, they are seen in large numbers in</w:t>
      </w:r>
      <w:r>
        <w:rPr>
          <w:spacing w:val="61"/>
        </w:rPr>
        <w:t> </w:t>
      </w:r>
      <w:r>
        <w:rPr/>
        <w:t>the</w:t>
      </w:r>
      <w:r>
        <w:rPr>
          <w:spacing w:val="62"/>
        </w:rPr>
        <w:t> </w:t>
      </w:r>
      <w:r>
        <w:rPr/>
        <w:t>pus</w:t>
      </w:r>
      <w:r>
        <w:rPr>
          <w:spacing w:val="62"/>
        </w:rPr>
        <w:t> </w:t>
      </w:r>
      <w:r>
        <w:rPr/>
        <w:t>of</w:t>
      </w:r>
      <w:r>
        <w:rPr>
          <w:spacing w:val="61"/>
        </w:rPr>
        <w:t> </w:t>
      </w:r>
      <w:r>
        <w:rPr/>
        <w:t>wounds.</w:t>
      </w:r>
      <w:r>
        <w:rPr>
          <w:spacing w:val="64"/>
        </w:rPr>
        <w:t> </w:t>
      </w:r>
      <w:r>
        <w:rPr/>
        <w:t>These</w:t>
      </w:r>
      <w:r>
        <w:rPr>
          <w:spacing w:val="61"/>
        </w:rPr>
        <w:t> </w:t>
      </w:r>
      <w:r>
        <w:rPr/>
        <w:t>cells</w:t>
      </w:r>
      <w:r>
        <w:rPr>
          <w:spacing w:val="62"/>
        </w:rPr>
        <w:t> </w:t>
      </w:r>
      <w:r>
        <w:rPr/>
        <w:t>are</w:t>
      </w:r>
      <w:r>
        <w:rPr>
          <w:spacing w:val="60"/>
        </w:rPr>
        <w:t> </w:t>
      </w:r>
      <w:r>
        <w:rPr/>
        <w:t>not</w:t>
      </w:r>
      <w:r>
        <w:rPr>
          <w:spacing w:val="62"/>
        </w:rPr>
        <w:t> </w:t>
      </w:r>
      <w:r>
        <w:rPr/>
        <w:t>able</w:t>
      </w:r>
      <w:r>
        <w:rPr>
          <w:spacing w:val="61"/>
        </w:rPr>
        <w:t> </w:t>
      </w:r>
      <w:r>
        <w:rPr/>
        <w:t>to</w:t>
      </w:r>
      <w:r>
        <w:rPr>
          <w:spacing w:val="62"/>
        </w:rPr>
        <w:t> </w:t>
      </w:r>
      <w:r>
        <w:rPr/>
        <w:t>renew</w:t>
      </w:r>
      <w:r>
        <w:rPr>
          <w:spacing w:val="61"/>
        </w:rPr>
        <w:t> </w:t>
      </w:r>
      <w:r>
        <w:rPr/>
        <w:t>their</w:t>
      </w:r>
      <w:r>
        <w:rPr>
          <w:spacing w:val="61"/>
        </w:rPr>
        <w:t> </w:t>
      </w:r>
      <w:r>
        <w:rPr/>
        <w:t>lysosomes</w:t>
      </w:r>
      <w:r>
        <w:rPr>
          <w:spacing w:val="61"/>
        </w:rPr>
        <w:t> </w:t>
      </w:r>
      <w:r>
        <w:rPr/>
        <w:t>used</w:t>
      </w:r>
      <w:r>
        <w:rPr>
          <w:spacing w:val="61"/>
        </w:rPr>
        <w:t> </w:t>
      </w:r>
      <w:r>
        <w:rPr>
          <w:spacing w:val="-5"/>
        </w:rPr>
        <w:t>in</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digesting microbes and so they often die after each activity. They make up 60-70% of total leucocytes count in human blood (Thomas </w:t>
      </w:r>
      <w:r>
        <w:rPr>
          <w:i/>
        </w:rPr>
        <w:t>et al</w:t>
      </w:r>
      <w:r>
        <w:rPr/>
        <w:t>., 2003). The life span of a circulating human neutrophil is about 5.4 days. They have multi-lobed nucleus and fine pale lilac granules. In general, a healthy blood contains about 1,500 – 7000 neutrophils per mm</w:t>
      </w:r>
      <w:r>
        <w:rPr>
          <w:vertAlign w:val="superscript"/>
        </w:rPr>
        <w:t>3</w:t>
      </w:r>
      <w:r>
        <w:rPr>
          <w:vertAlign w:val="baseline"/>
        </w:rPr>
        <w:t> (1.5 – 7.0 x 10</w:t>
      </w:r>
      <w:r>
        <w:rPr>
          <w:vertAlign w:val="superscript"/>
        </w:rPr>
        <w:t>9</w:t>
      </w:r>
      <w:r>
        <w:rPr>
          <w:vertAlign w:val="baseline"/>
        </w:rPr>
        <w:t>/L). Reduction in this level of neutrophil (neutropenia) leads to greater risk of susceptibility to microbial infections especially of bacterial (Buttarello and Plebani, 2008).</w:t>
      </w:r>
    </w:p>
    <w:p>
      <w:pPr>
        <w:pStyle w:val="BodyText"/>
      </w:pPr>
    </w:p>
    <w:p>
      <w:pPr>
        <w:pStyle w:val="BodyText"/>
        <w:spacing w:before="2"/>
      </w:pPr>
    </w:p>
    <w:p>
      <w:pPr>
        <w:pStyle w:val="BodyText"/>
        <w:spacing w:line="480" w:lineRule="auto"/>
        <w:ind w:left="747" w:right="847"/>
        <w:jc w:val="both"/>
      </w:pPr>
      <w:r>
        <w:rPr/>
        <w:t>Eosinophil granulocytes: Their granules are pink-orange in colour with eosin stain and their nucleus bi-lobed. They deal primarily with parasitic infections and are the predominant inflammatory cells in allergic reactions (Abbas and Lichtman, 2003).</w:t>
      </w:r>
    </w:p>
    <w:p>
      <w:pPr>
        <w:pStyle w:val="BodyText"/>
      </w:pPr>
    </w:p>
    <w:p>
      <w:pPr>
        <w:pStyle w:val="BodyText"/>
      </w:pPr>
    </w:p>
    <w:p>
      <w:pPr>
        <w:pStyle w:val="BodyText"/>
        <w:spacing w:line="480" w:lineRule="auto"/>
        <w:ind w:left="747" w:right="847"/>
        <w:jc w:val="both"/>
      </w:pPr>
      <w:r>
        <w:rPr/>
        <w:t>Basophil granulocytes:</w:t>
      </w:r>
      <w:r>
        <w:rPr>
          <w:spacing w:val="-2"/>
        </w:rPr>
        <w:t> </w:t>
      </w:r>
      <w:r>
        <w:rPr/>
        <w:t>The</w:t>
      </w:r>
      <w:r>
        <w:rPr>
          <w:spacing w:val="-1"/>
        </w:rPr>
        <w:t> </w:t>
      </w:r>
      <w:r>
        <w:rPr/>
        <w:t>granules</w:t>
      </w:r>
      <w:r>
        <w:rPr>
          <w:spacing w:val="-2"/>
        </w:rPr>
        <w:t> </w:t>
      </w:r>
      <w:r>
        <w:rPr/>
        <w:t>are</w:t>
      </w:r>
      <w:r>
        <w:rPr>
          <w:spacing w:val="-2"/>
        </w:rPr>
        <w:t> </w:t>
      </w:r>
      <w:r>
        <w:rPr/>
        <w:t>coarse,</w:t>
      </w:r>
      <w:r>
        <w:rPr>
          <w:spacing w:val="-2"/>
        </w:rPr>
        <w:t> </w:t>
      </w:r>
      <w:r>
        <w:rPr/>
        <w:t>large</w:t>
      </w:r>
      <w:r>
        <w:rPr>
          <w:spacing w:val="-4"/>
        </w:rPr>
        <w:t> </w:t>
      </w:r>
      <w:r>
        <w:rPr/>
        <w:t>and blue; and</w:t>
      </w:r>
      <w:r>
        <w:rPr>
          <w:spacing w:val="-2"/>
        </w:rPr>
        <w:t> </w:t>
      </w:r>
      <w:r>
        <w:rPr/>
        <w:t>the</w:t>
      </w:r>
      <w:r>
        <w:rPr>
          <w:spacing w:val="-2"/>
        </w:rPr>
        <w:t> </w:t>
      </w:r>
      <w:r>
        <w:rPr/>
        <w:t>nucleus</w:t>
      </w:r>
      <w:r>
        <w:rPr>
          <w:spacing w:val="-2"/>
        </w:rPr>
        <w:t> </w:t>
      </w:r>
      <w:r>
        <w:rPr/>
        <w:t>bi</w:t>
      </w:r>
      <w:r>
        <w:rPr>
          <w:spacing w:val="-2"/>
        </w:rPr>
        <w:t> </w:t>
      </w:r>
      <w:r>
        <w:rPr/>
        <w:t>or</w:t>
      </w:r>
      <w:r>
        <w:rPr>
          <w:spacing w:val="-2"/>
        </w:rPr>
        <w:t> </w:t>
      </w:r>
      <w:r>
        <w:rPr/>
        <w:t>tri- lobed. These are chiefly responsible for allergic and antigen response release of histamine that cause vasodilation (Abbas and Lichtman, 2003).</w:t>
      </w:r>
    </w:p>
    <w:p>
      <w:pPr>
        <w:pStyle w:val="BodyText"/>
        <w:spacing w:line="482" w:lineRule="auto" w:before="1"/>
        <w:ind w:left="747" w:right="847"/>
        <w:jc w:val="both"/>
      </w:pPr>
      <w:r>
        <w:rPr/>
        <w:t>Lymphocytes: are much more common in the lymphatic system than in blood and </w:t>
      </w:r>
      <w:r>
        <w:rPr>
          <w:spacing w:val="-2"/>
        </w:rPr>
        <w:t>include:</w:t>
      </w:r>
    </w:p>
    <w:p>
      <w:pPr>
        <w:pStyle w:val="ListParagraph"/>
        <w:numPr>
          <w:ilvl w:val="0"/>
          <w:numId w:val="16"/>
        </w:numPr>
        <w:tabs>
          <w:tab w:pos="1467" w:val="left" w:leader="none"/>
        </w:tabs>
        <w:spacing w:line="480" w:lineRule="auto" w:before="193" w:after="0"/>
        <w:ind w:left="1467" w:right="851" w:hanging="360"/>
        <w:jc w:val="both"/>
        <w:rPr>
          <w:sz w:val="24"/>
        </w:rPr>
      </w:pPr>
      <w:r>
        <w:rPr>
          <w:sz w:val="24"/>
        </w:rPr>
        <w:t>B-cells:</w:t>
      </w:r>
      <w:r>
        <w:rPr>
          <w:spacing w:val="40"/>
          <w:sz w:val="24"/>
        </w:rPr>
        <w:t> </w:t>
      </w:r>
      <w:r>
        <w:rPr>
          <w:sz w:val="24"/>
        </w:rPr>
        <w:t>which make antibodies that can bind to pathogens, block pathogen invasion, activate the complement system, and enhance pathogen destruction</w:t>
      </w:r>
    </w:p>
    <w:p>
      <w:pPr>
        <w:pStyle w:val="ListParagraph"/>
        <w:numPr>
          <w:ilvl w:val="0"/>
          <w:numId w:val="16"/>
        </w:numPr>
        <w:tabs>
          <w:tab w:pos="1467" w:val="left" w:leader="none"/>
        </w:tabs>
        <w:spacing w:line="240" w:lineRule="auto" w:before="1" w:after="0"/>
        <w:ind w:left="1467" w:right="0" w:hanging="360"/>
        <w:jc w:val="both"/>
        <w:rPr>
          <w:sz w:val="24"/>
        </w:rPr>
      </w:pPr>
      <w:r>
        <w:rPr>
          <w:sz w:val="24"/>
        </w:rPr>
        <w:t>T-cells: They</w:t>
      </w:r>
      <w:r>
        <w:rPr>
          <w:spacing w:val="-5"/>
          <w:sz w:val="24"/>
        </w:rPr>
        <w:t> </w:t>
      </w:r>
      <w:r>
        <w:rPr>
          <w:spacing w:val="-2"/>
          <w:sz w:val="24"/>
        </w:rPr>
        <w:t>include:</w:t>
      </w:r>
    </w:p>
    <w:p>
      <w:pPr>
        <w:pStyle w:val="BodyText"/>
      </w:pPr>
    </w:p>
    <w:p>
      <w:pPr>
        <w:pStyle w:val="ListParagraph"/>
        <w:numPr>
          <w:ilvl w:val="1"/>
          <w:numId w:val="16"/>
        </w:numPr>
        <w:tabs>
          <w:tab w:pos="1465" w:val="left" w:leader="none"/>
          <w:tab w:pos="1827" w:val="left" w:leader="none"/>
        </w:tabs>
        <w:spacing w:line="480" w:lineRule="auto" w:before="0" w:after="0"/>
        <w:ind w:left="1827" w:right="847" w:hanging="720"/>
        <w:jc w:val="both"/>
        <w:rPr>
          <w:sz w:val="24"/>
        </w:rPr>
      </w:pPr>
      <w:r>
        <w:rPr>
          <w:sz w:val="24"/>
        </w:rPr>
        <w:t>CD4+ helper T cells:</w:t>
      </w:r>
      <w:r>
        <w:rPr>
          <w:spacing w:val="80"/>
          <w:sz w:val="24"/>
        </w:rPr>
        <w:t> </w:t>
      </w:r>
      <w:r>
        <w:rPr>
          <w:sz w:val="24"/>
        </w:rPr>
        <w:t>these are T cells that display co-receptor of T-cell receptors and CD4 molecules that in combination bind antigenic peptides. Helper T-cells make cytokines and perform other functions that help coordinate the immune response and they are of αβ-TCR.</w:t>
      </w:r>
    </w:p>
    <w:p>
      <w:pPr>
        <w:spacing w:after="0" w:line="480" w:lineRule="auto"/>
        <w:jc w:val="both"/>
        <w:rPr>
          <w:sz w:val="24"/>
        </w:rPr>
        <w:sectPr>
          <w:pgSz w:w="11910" w:h="16840"/>
          <w:pgMar w:header="0" w:footer="981" w:top="1320" w:bottom="1180" w:left="1240" w:right="560"/>
        </w:sectPr>
      </w:pPr>
    </w:p>
    <w:p>
      <w:pPr>
        <w:pStyle w:val="ListParagraph"/>
        <w:numPr>
          <w:ilvl w:val="1"/>
          <w:numId w:val="16"/>
        </w:numPr>
        <w:tabs>
          <w:tab w:pos="1465" w:val="left" w:leader="none"/>
          <w:tab w:pos="1827" w:val="left" w:leader="none"/>
        </w:tabs>
        <w:spacing w:line="480" w:lineRule="auto" w:before="64" w:after="0"/>
        <w:ind w:left="1827" w:right="845" w:hanging="720"/>
        <w:jc w:val="both"/>
        <w:rPr>
          <w:sz w:val="24"/>
        </w:rPr>
      </w:pPr>
      <w:r>
        <w:rPr>
          <w:sz w:val="24"/>
        </w:rPr>
        <w:t>CD8+ cytotoxic T-cells: these are T-cells that display co-receptor CD8 both of which bind virus-infected or turmour cells and kill them. They are also of</w:t>
      </w:r>
      <w:r>
        <w:rPr>
          <w:spacing w:val="40"/>
          <w:sz w:val="24"/>
        </w:rPr>
        <w:t> </w:t>
      </w:r>
      <w:r>
        <w:rPr>
          <w:spacing w:val="-2"/>
          <w:sz w:val="24"/>
        </w:rPr>
        <w:t>αβ-TCR.</w:t>
      </w:r>
    </w:p>
    <w:p>
      <w:pPr>
        <w:pStyle w:val="ListParagraph"/>
        <w:numPr>
          <w:ilvl w:val="1"/>
          <w:numId w:val="16"/>
        </w:numPr>
        <w:tabs>
          <w:tab w:pos="1465" w:val="left" w:leader="none"/>
          <w:tab w:pos="1827" w:val="left" w:leader="none"/>
        </w:tabs>
        <w:spacing w:line="480" w:lineRule="auto" w:before="1" w:after="0"/>
        <w:ind w:left="1827" w:right="852" w:hanging="720"/>
        <w:jc w:val="both"/>
        <w:rPr>
          <w:sz w:val="24"/>
        </w:rPr>
      </w:pPr>
      <w:r>
        <w:rPr>
          <w:sz w:val="24"/>
        </w:rPr>
        <w:t>γδ T cells are commonly found in tissues than in blood. They have some characteristics of the other T-cells (helper T cells and cytotoxic T cells as well as of natural killer cells).</w:t>
      </w:r>
    </w:p>
    <w:p>
      <w:pPr>
        <w:pStyle w:val="ListParagraph"/>
        <w:numPr>
          <w:ilvl w:val="1"/>
          <w:numId w:val="16"/>
        </w:numPr>
        <w:tabs>
          <w:tab w:pos="1466" w:val="left" w:leader="none"/>
          <w:tab w:pos="1827" w:val="left" w:leader="none"/>
        </w:tabs>
        <w:spacing w:line="480" w:lineRule="auto" w:before="0" w:after="0"/>
        <w:ind w:left="1827" w:right="846" w:hanging="720"/>
        <w:jc w:val="both"/>
        <w:rPr>
          <w:sz w:val="24"/>
        </w:rPr>
      </w:pPr>
      <w:r>
        <w:rPr>
          <w:sz w:val="24"/>
        </w:rPr>
        <w:t>Natural killer cells: are those that kill body cells that do not either display MHC class I molecules or their stress markers like MHC class I polypeptide- related sequence A (MIC-A). Cancerous cells and cells infected by a virus show or express low MHC class I, and high MIC-A (Abbas and Lichtman, </w:t>
      </w:r>
      <w:r>
        <w:rPr>
          <w:spacing w:val="-2"/>
          <w:sz w:val="24"/>
        </w:rPr>
        <w:t>2003).</w:t>
      </w:r>
    </w:p>
    <w:p>
      <w:pPr>
        <w:pStyle w:val="BodyText"/>
      </w:pPr>
    </w:p>
    <w:p>
      <w:pPr>
        <w:pStyle w:val="BodyText"/>
        <w:spacing w:before="1"/>
      </w:pPr>
    </w:p>
    <w:p>
      <w:pPr>
        <w:pStyle w:val="BodyText"/>
        <w:spacing w:line="480" w:lineRule="auto"/>
        <w:ind w:left="747" w:right="844"/>
        <w:jc w:val="both"/>
      </w:pPr>
      <w:r>
        <w:rPr/>
        <w:t>Monocytes: share the phagocytic function of neutrophils and because of its extra role of presenting</w:t>
      </w:r>
      <w:r>
        <w:rPr>
          <w:spacing w:val="-5"/>
        </w:rPr>
        <w:t> </w:t>
      </w:r>
      <w:r>
        <w:rPr/>
        <w:t>pieces</w:t>
      </w:r>
      <w:r>
        <w:rPr>
          <w:spacing w:val="-2"/>
        </w:rPr>
        <w:t> </w:t>
      </w:r>
      <w:r>
        <w:rPr/>
        <w:t>of</w:t>
      </w:r>
      <w:r>
        <w:rPr>
          <w:spacing w:val="-2"/>
        </w:rPr>
        <w:t> </w:t>
      </w:r>
      <w:r>
        <w:rPr/>
        <w:t>pathogens</w:t>
      </w:r>
      <w:r>
        <w:rPr>
          <w:spacing w:val="-2"/>
        </w:rPr>
        <w:t> </w:t>
      </w:r>
      <w:r>
        <w:rPr/>
        <w:t>to</w:t>
      </w:r>
      <w:r>
        <w:rPr>
          <w:spacing w:val="-2"/>
        </w:rPr>
        <w:t> </w:t>
      </w:r>
      <w:r>
        <w:rPr/>
        <w:t>T-</w:t>
      </w:r>
      <w:r>
        <w:rPr>
          <w:spacing w:val="-3"/>
        </w:rPr>
        <w:t> </w:t>
      </w:r>
      <w:r>
        <w:rPr/>
        <w:t>cells</w:t>
      </w:r>
      <w:r>
        <w:rPr>
          <w:spacing w:val="-2"/>
        </w:rPr>
        <w:t> </w:t>
      </w:r>
      <w:r>
        <w:rPr/>
        <w:t>to</w:t>
      </w:r>
      <w:r>
        <w:rPr>
          <w:spacing w:val="-2"/>
        </w:rPr>
        <w:t> </w:t>
      </w:r>
      <w:r>
        <w:rPr/>
        <w:t>be</w:t>
      </w:r>
      <w:r>
        <w:rPr>
          <w:spacing w:val="-3"/>
        </w:rPr>
        <w:t> </w:t>
      </w:r>
      <w:r>
        <w:rPr/>
        <w:t>recognized</w:t>
      </w:r>
      <w:r>
        <w:rPr>
          <w:spacing w:val="-2"/>
        </w:rPr>
        <w:t> </w:t>
      </w:r>
      <w:r>
        <w:rPr/>
        <w:t>again</w:t>
      </w:r>
      <w:r>
        <w:rPr>
          <w:spacing w:val="-2"/>
        </w:rPr>
        <w:t> </w:t>
      </w:r>
      <w:r>
        <w:rPr/>
        <w:t>and</w:t>
      </w:r>
      <w:r>
        <w:rPr>
          <w:spacing w:val="-2"/>
        </w:rPr>
        <w:t> </w:t>
      </w:r>
      <w:r>
        <w:rPr/>
        <w:t>killed by</w:t>
      </w:r>
      <w:r>
        <w:rPr>
          <w:spacing w:val="-7"/>
        </w:rPr>
        <w:t> </w:t>
      </w:r>
      <w:r>
        <w:rPr/>
        <w:t>mounting Ab, it is often regarded as the vacuum cleaner. Unlike neutrophils, monocytes are able</w:t>
      </w:r>
      <w:r>
        <w:rPr>
          <w:spacing w:val="40"/>
        </w:rPr>
        <w:t> </w:t>
      </w:r>
      <w:r>
        <w:rPr/>
        <w:t>to replace their lysosomal contents and are thought to have a much longer active life. Monocytes eventually leave the bloodstream and become tissue macrophages, which remove dead cell debris as well as attacking microorganisms (Thomas </w:t>
      </w:r>
      <w:r>
        <w:rPr>
          <w:i/>
        </w:rPr>
        <w:t>et al</w:t>
      </w:r>
      <w:r>
        <w:rPr/>
        <w:t>., 2003).</w:t>
      </w:r>
    </w:p>
    <w:p>
      <w:pPr>
        <w:pStyle w:val="BodyText"/>
        <w:spacing w:line="480" w:lineRule="auto" w:before="1"/>
        <w:ind w:left="747" w:right="846"/>
        <w:jc w:val="both"/>
      </w:pPr>
      <w:r>
        <w:rPr/>
        <w:t>Macrophages: - Once monocytes move from the bloodstream out into the body tissues, they undergo changes (differentiation) allowing phagocytosis and are then known as macrophages. Very often other leukocytes migrate from blood into the tissues of the body to take up a permanent residence, and these cells most times have specific names depending upon which tissue they settle in; for instance, the fixed macrophages in the liver</w:t>
      </w:r>
      <w:r>
        <w:rPr>
          <w:spacing w:val="29"/>
        </w:rPr>
        <w:t> </w:t>
      </w:r>
      <w:r>
        <w:rPr/>
        <w:t>is</w:t>
      </w:r>
      <w:r>
        <w:rPr>
          <w:spacing w:val="30"/>
        </w:rPr>
        <w:t> </w:t>
      </w:r>
      <w:r>
        <w:rPr/>
        <w:t>known</w:t>
      </w:r>
      <w:r>
        <w:rPr>
          <w:spacing w:val="29"/>
        </w:rPr>
        <w:t> </w:t>
      </w:r>
      <w:r>
        <w:rPr/>
        <w:t>as</w:t>
      </w:r>
      <w:r>
        <w:rPr>
          <w:spacing w:val="30"/>
        </w:rPr>
        <w:t> </w:t>
      </w:r>
      <w:r>
        <w:rPr/>
        <w:t>kupffer</w:t>
      </w:r>
      <w:r>
        <w:rPr>
          <w:spacing w:val="29"/>
        </w:rPr>
        <w:t> </w:t>
      </w:r>
      <w:r>
        <w:rPr/>
        <w:t>cells</w:t>
      </w:r>
      <w:r>
        <w:rPr>
          <w:spacing w:val="31"/>
        </w:rPr>
        <w:t> </w:t>
      </w:r>
      <w:r>
        <w:rPr/>
        <w:t>and</w:t>
      </w:r>
      <w:r>
        <w:rPr>
          <w:spacing w:val="30"/>
        </w:rPr>
        <w:t> </w:t>
      </w:r>
      <w:r>
        <w:rPr/>
        <w:t>other</w:t>
      </w:r>
      <w:r>
        <w:rPr>
          <w:spacing w:val="28"/>
        </w:rPr>
        <w:t> </w:t>
      </w:r>
      <w:r>
        <w:rPr/>
        <w:t>such</w:t>
      </w:r>
      <w:r>
        <w:rPr>
          <w:spacing w:val="30"/>
        </w:rPr>
        <w:t> </w:t>
      </w:r>
      <w:r>
        <w:rPr/>
        <w:t>cells</w:t>
      </w:r>
      <w:r>
        <w:rPr>
          <w:spacing w:val="29"/>
        </w:rPr>
        <w:t> </w:t>
      </w:r>
      <w:r>
        <w:rPr/>
        <w:t>include</w:t>
      </w:r>
      <w:r>
        <w:rPr>
          <w:spacing w:val="29"/>
        </w:rPr>
        <w:t> </w:t>
      </w:r>
      <w:r>
        <w:rPr/>
        <w:t>histocytes,</w:t>
      </w:r>
      <w:r>
        <w:rPr>
          <w:spacing w:val="30"/>
        </w:rPr>
        <w:t> </w:t>
      </w:r>
      <w:r>
        <w:rPr/>
        <w:t>dendritic</w:t>
      </w:r>
      <w:r>
        <w:rPr>
          <w:spacing w:val="29"/>
        </w:rPr>
        <w:t> </w:t>
      </w:r>
      <w:r>
        <w:rPr>
          <w:spacing w:val="-2"/>
        </w:rPr>
        <w:t>cells</w:t>
      </w:r>
    </w:p>
    <w:p>
      <w:pPr>
        <w:spacing w:after="0" w:line="480" w:lineRule="auto"/>
        <w:jc w:val="both"/>
        <w:sectPr>
          <w:pgSz w:w="11910" w:h="16840"/>
          <w:pgMar w:header="0" w:footer="981" w:top="1320" w:bottom="1180" w:left="1240" w:right="560"/>
        </w:sectPr>
      </w:pPr>
    </w:p>
    <w:p>
      <w:pPr>
        <w:pStyle w:val="BodyText"/>
        <w:spacing w:line="480" w:lineRule="auto" w:before="64"/>
        <w:ind w:left="747" w:right="853"/>
        <w:jc w:val="both"/>
      </w:pPr>
      <w:r>
        <w:rPr/>
        <w:t>(that often migrate to local lymph nodes upon ingesting antigen), mast cells, and microglia cells (Thomas </w:t>
      </w:r>
      <w:r>
        <w:rPr>
          <w:i/>
        </w:rPr>
        <w:t>et al</w:t>
      </w:r>
      <w:r>
        <w:rPr/>
        <w:t>., 2003).</w:t>
      </w:r>
    </w:p>
    <w:p>
      <w:pPr>
        <w:pStyle w:val="BodyText"/>
      </w:pPr>
    </w:p>
    <w:p>
      <w:pPr>
        <w:pStyle w:val="BodyText"/>
        <w:spacing w:before="6"/>
      </w:pPr>
    </w:p>
    <w:p>
      <w:pPr>
        <w:pStyle w:val="Heading2"/>
        <w:numPr>
          <w:ilvl w:val="2"/>
          <w:numId w:val="11"/>
        </w:numPr>
        <w:tabs>
          <w:tab w:pos="1466" w:val="left" w:leader="none"/>
        </w:tabs>
        <w:spacing w:line="240" w:lineRule="auto" w:before="0" w:after="0"/>
        <w:ind w:left="1466" w:right="0" w:hanging="719"/>
        <w:jc w:val="both"/>
      </w:pPr>
      <w:r>
        <w:rPr/>
        <w:t>Vascular</w:t>
      </w:r>
      <w:r>
        <w:rPr>
          <w:spacing w:val="-3"/>
        </w:rPr>
        <w:t> </w:t>
      </w:r>
      <w:r>
        <w:rPr/>
        <w:t>tissues</w:t>
      </w:r>
      <w:r>
        <w:rPr>
          <w:spacing w:val="-1"/>
        </w:rPr>
        <w:t> </w:t>
      </w:r>
      <w:r>
        <w:rPr/>
        <w:t>response</w:t>
      </w:r>
      <w:r>
        <w:rPr>
          <w:spacing w:val="-3"/>
        </w:rPr>
        <w:t> </w:t>
      </w:r>
      <w:r>
        <w:rPr/>
        <w:t>in</w:t>
      </w:r>
      <w:r>
        <w:rPr>
          <w:spacing w:val="-1"/>
        </w:rPr>
        <w:t> </w:t>
      </w:r>
      <w:r>
        <w:rPr/>
        <w:t>immune</w:t>
      </w:r>
      <w:r>
        <w:rPr>
          <w:spacing w:val="-3"/>
        </w:rPr>
        <w:t> </w:t>
      </w:r>
      <w:r>
        <w:rPr>
          <w:spacing w:val="-2"/>
        </w:rPr>
        <w:t>regulation</w:t>
      </w:r>
    </w:p>
    <w:p>
      <w:pPr>
        <w:pStyle w:val="BodyText"/>
        <w:spacing w:line="480" w:lineRule="auto" w:before="271"/>
        <w:ind w:left="747" w:right="842"/>
        <w:jc w:val="both"/>
      </w:pPr>
      <w:r>
        <w:rPr/>
        <w:t>Normally, the vascular tissues’ response to remove harmful stimuli or initiate a healing process is via inflammation and such developed inflammatory responses are usually maintained by inflammatory mediators released by Leukocytes. Leukocytes normally reside in blood, but tend to move into the inflamed tissue via extravasations to aid in inflammation (Ferrero-Miliani </w:t>
      </w:r>
      <w:r>
        <w:rPr>
          <w:i/>
        </w:rPr>
        <w:t>et al</w:t>
      </w:r>
      <w:r>
        <w:rPr/>
        <w:t>., 2007). Due to the central role of leukocytes in the development</w:t>
      </w:r>
      <w:r>
        <w:rPr>
          <w:spacing w:val="-3"/>
        </w:rPr>
        <w:t> </w:t>
      </w:r>
      <w:r>
        <w:rPr/>
        <w:t>and</w:t>
      </w:r>
      <w:r>
        <w:rPr>
          <w:spacing w:val="-2"/>
        </w:rPr>
        <w:t> </w:t>
      </w:r>
      <w:r>
        <w:rPr/>
        <w:t>propagation</w:t>
      </w:r>
      <w:r>
        <w:rPr>
          <w:spacing w:val="-1"/>
        </w:rPr>
        <w:t> </w:t>
      </w:r>
      <w:r>
        <w:rPr/>
        <w:t>of</w:t>
      </w:r>
      <w:r>
        <w:rPr>
          <w:spacing w:val="-3"/>
        </w:rPr>
        <w:t> </w:t>
      </w:r>
      <w:r>
        <w:rPr/>
        <w:t>inflammation,</w:t>
      </w:r>
      <w:r>
        <w:rPr>
          <w:spacing w:val="-3"/>
        </w:rPr>
        <w:t> </w:t>
      </w:r>
      <w:r>
        <w:rPr/>
        <w:t>defects</w:t>
      </w:r>
      <w:r>
        <w:rPr>
          <w:spacing w:val="-3"/>
        </w:rPr>
        <w:t> </w:t>
      </w:r>
      <w:r>
        <w:rPr/>
        <w:t>in</w:t>
      </w:r>
      <w:r>
        <w:rPr>
          <w:spacing w:val="-1"/>
        </w:rPr>
        <w:t> </w:t>
      </w:r>
      <w:r>
        <w:rPr/>
        <w:t>leucocyte</w:t>
      </w:r>
      <w:r>
        <w:rPr>
          <w:spacing w:val="-3"/>
        </w:rPr>
        <w:t> </w:t>
      </w:r>
      <w:r>
        <w:rPr/>
        <w:t>function</w:t>
      </w:r>
      <w:r>
        <w:rPr>
          <w:spacing w:val="-3"/>
        </w:rPr>
        <w:t> </w:t>
      </w:r>
      <w:r>
        <w:rPr/>
        <w:t>often</w:t>
      </w:r>
      <w:r>
        <w:rPr>
          <w:spacing w:val="-2"/>
        </w:rPr>
        <w:t> </w:t>
      </w:r>
      <w:r>
        <w:rPr/>
        <w:t>result in a decreased capacity for inflammatory defense with subsequent vulnerability to infections. Dysfunctional leucocytes may be unable to correctly bind to blood vessels due to surface receptor mutations (causing increase in bacterial infection) due to</w:t>
      </w:r>
      <w:r>
        <w:rPr>
          <w:spacing w:val="40"/>
        </w:rPr>
        <w:t> </w:t>
      </w:r>
      <w:r>
        <w:rPr/>
        <w:t>inability to digest bacteria (chediak-Higashi syndrome), or produce microbodies (granulomatous disease). In addition, diseases affecting the bone marrow may result in abnormal or few leucocytes.</w:t>
      </w:r>
      <w:r>
        <w:rPr>
          <w:spacing w:val="40"/>
        </w:rPr>
        <w:t> </w:t>
      </w:r>
      <w:r>
        <w:rPr/>
        <w:t>Infection-triggered inflammation often affects the number of leucocytes present in the body resulting in either increase (Leucocytosis) especially</w:t>
      </w:r>
      <w:r>
        <w:rPr>
          <w:spacing w:val="40"/>
        </w:rPr>
        <w:t> </w:t>
      </w:r>
      <w:r>
        <w:rPr/>
        <w:t>of immature cells or decrease (Leucopenia) depending on the types of infection. Bacterial infection usually results in an increase of neutrophils creating neutrophilia, whereas diseases such as asthma, hay</w:t>
      </w:r>
      <w:r>
        <w:rPr>
          <w:spacing w:val="-3"/>
        </w:rPr>
        <w:t> </w:t>
      </w:r>
      <w:r>
        <w:rPr/>
        <w:t>fever,</w:t>
      </w:r>
      <w:r>
        <w:rPr>
          <w:spacing w:val="-1"/>
        </w:rPr>
        <w:t> </w:t>
      </w:r>
      <w:r>
        <w:rPr/>
        <w:t>and parasite</w:t>
      </w:r>
      <w:r>
        <w:rPr>
          <w:spacing w:val="-1"/>
        </w:rPr>
        <w:t> </w:t>
      </w:r>
      <w:r>
        <w:rPr/>
        <w:t>infestation result in an increase in eosinophils (eosinophilia). Viral infection, rickettsia infection, some protozoa, tuberculosis, and some cancers can induce leucopenia (Ferrero-Miliani </w:t>
      </w:r>
      <w:r>
        <w:rPr>
          <w:i/>
        </w:rPr>
        <w:t>et al</w:t>
      </w:r>
      <w:r>
        <w:rPr/>
        <w:t>., 2007).</w:t>
      </w:r>
    </w:p>
    <w:p>
      <w:pPr>
        <w:pStyle w:val="BodyText"/>
      </w:pPr>
    </w:p>
    <w:p>
      <w:pPr>
        <w:pStyle w:val="BodyText"/>
      </w:pPr>
    </w:p>
    <w:p>
      <w:pPr>
        <w:pStyle w:val="BodyText"/>
        <w:spacing w:line="480" w:lineRule="auto"/>
        <w:ind w:left="747" w:right="848"/>
        <w:jc w:val="both"/>
      </w:pPr>
      <w:r>
        <w:rPr/>
        <w:t>The Qualitative disorders of white blood cells are those, in which the number of white blood</w:t>
      </w:r>
      <w:r>
        <w:rPr>
          <w:spacing w:val="11"/>
        </w:rPr>
        <w:t> </w:t>
      </w:r>
      <w:r>
        <w:rPr/>
        <w:t>cells</w:t>
      </w:r>
      <w:r>
        <w:rPr>
          <w:spacing w:val="14"/>
        </w:rPr>
        <w:t> </w:t>
      </w:r>
      <w:r>
        <w:rPr/>
        <w:t>is</w:t>
      </w:r>
      <w:r>
        <w:rPr>
          <w:spacing w:val="13"/>
        </w:rPr>
        <w:t> </w:t>
      </w:r>
      <w:r>
        <w:rPr/>
        <w:t>normal,</w:t>
      </w:r>
      <w:r>
        <w:rPr>
          <w:spacing w:val="14"/>
        </w:rPr>
        <w:t> </w:t>
      </w:r>
      <w:r>
        <w:rPr/>
        <w:t>but</w:t>
      </w:r>
      <w:r>
        <w:rPr>
          <w:spacing w:val="13"/>
        </w:rPr>
        <w:t> </w:t>
      </w:r>
      <w:r>
        <w:rPr/>
        <w:t>the</w:t>
      </w:r>
      <w:r>
        <w:rPr>
          <w:spacing w:val="13"/>
        </w:rPr>
        <w:t> </w:t>
      </w:r>
      <w:r>
        <w:rPr/>
        <w:t>cells</w:t>
      </w:r>
      <w:r>
        <w:rPr>
          <w:spacing w:val="14"/>
        </w:rPr>
        <w:t> </w:t>
      </w:r>
      <w:r>
        <w:rPr/>
        <w:t>do</w:t>
      </w:r>
      <w:r>
        <w:rPr>
          <w:spacing w:val="13"/>
        </w:rPr>
        <w:t> </w:t>
      </w:r>
      <w:r>
        <w:rPr/>
        <w:t>not</w:t>
      </w:r>
      <w:r>
        <w:rPr>
          <w:spacing w:val="14"/>
        </w:rPr>
        <w:t> </w:t>
      </w:r>
      <w:r>
        <w:rPr/>
        <w:t>function</w:t>
      </w:r>
      <w:r>
        <w:rPr>
          <w:spacing w:val="13"/>
        </w:rPr>
        <w:t> </w:t>
      </w:r>
      <w:r>
        <w:rPr/>
        <w:t>normally,</w:t>
      </w:r>
      <w:r>
        <w:rPr>
          <w:spacing w:val="14"/>
        </w:rPr>
        <w:t> </w:t>
      </w:r>
      <w:r>
        <w:rPr/>
        <w:t>but</w:t>
      </w:r>
      <w:r>
        <w:rPr>
          <w:spacing w:val="13"/>
        </w:rPr>
        <w:t> </w:t>
      </w:r>
      <w:r>
        <w:rPr/>
        <w:t>there</w:t>
      </w:r>
      <w:r>
        <w:rPr>
          <w:spacing w:val="17"/>
        </w:rPr>
        <w:t> </w:t>
      </w:r>
      <w:r>
        <w:rPr/>
        <w:t>are</w:t>
      </w:r>
      <w:r>
        <w:rPr>
          <w:spacing w:val="15"/>
        </w:rPr>
        <w:t> </w:t>
      </w:r>
      <w:r>
        <w:rPr>
          <w:spacing w:val="-2"/>
        </w:rPr>
        <w:t>proliferative</w:t>
      </w:r>
    </w:p>
    <w:p>
      <w:pPr>
        <w:spacing w:after="0" w:line="480" w:lineRule="auto"/>
        <w:jc w:val="both"/>
        <w:sectPr>
          <w:pgSz w:w="11910" w:h="16840"/>
          <w:pgMar w:header="0" w:footer="981" w:top="1320" w:bottom="1180" w:left="1240" w:right="560"/>
        </w:sectPr>
      </w:pPr>
    </w:p>
    <w:p>
      <w:pPr>
        <w:pStyle w:val="BodyText"/>
        <w:spacing w:line="480" w:lineRule="auto" w:before="64"/>
        <w:ind w:left="747" w:right="843"/>
        <w:jc w:val="both"/>
      </w:pPr>
      <w:r>
        <w:rPr/>
        <w:t>conditions and leucopenia which are quantitative. In the proliferative disorders, there is an increase in the number (leucocytosis) of white blood cells in circulation,</w:t>
      </w:r>
      <w:r>
        <w:rPr>
          <w:spacing w:val="40"/>
        </w:rPr>
        <w:t> </w:t>
      </w:r>
      <w:r>
        <w:rPr/>
        <w:t>which is commonly of reactive especially to infection (due to infection); but may also be of cancerous, while in leucopenia, there is a decrease in the number of white blood cells ( Carol, 2007). Neutropenia is an immunodeficiency condition of abnormally reduced number of neutrophils. Leucocytosis is most commonly caused by inflammation as a result of increased production in bone marrow, increased release from storage,</w:t>
      </w:r>
      <w:r>
        <w:rPr>
          <w:spacing w:val="40"/>
        </w:rPr>
        <w:t> </w:t>
      </w:r>
      <w:r>
        <w:rPr/>
        <w:t>decreased attachment to veins and arteries or decreased uptake by tissues. Leucocytosis may affect one or more cell lines and can be neutrophilic, eosinophilic, basophilic, monocytosis or lymphocytosis (Handin </w:t>
      </w:r>
      <w:r>
        <w:rPr>
          <w:i/>
        </w:rPr>
        <w:t>et al</w:t>
      </w:r>
      <w:r>
        <w:rPr/>
        <w:t>., 2003).</w:t>
      </w:r>
    </w:p>
    <w:p>
      <w:pPr>
        <w:pStyle w:val="BodyText"/>
      </w:pPr>
    </w:p>
    <w:p>
      <w:pPr>
        <w:pStyle w:val="BodyText"/>
        <w:spacing w:before="2"/>
      </w:pPr>
    </w:p>
    <w:p>
      <w:pPr>
        <w:pStyle w:val="BodyText"/>
        <w:spacing w:line="480" w:lineRule="auto"/>
        <w:ind w:left="747" w:right="846"/>
        <w:jc w:val="both"/>
      </w:pPr>
      <w:r>
        <w:rPr/>
        <w:t>Neutrophilia is an increase in the absolute neutrophil count in the peripheral circulation and may result from bacterial infection. Normal blood values vary by age. Neutrophilia can be caused by a direct problem with blood cells (primary disease) or as a consequence of an underlying disease (secondary). Most cases of neutrophilia are secondary to inflammation and neutrophils are the most common cell types seen in the early stages of acute inflammation (Handin </w:t>
      </w:r>
      <w:r>
        <w:rPr>
          <w:i/>
        </w:rPr>
        <w:t>et al</w:t>
      </w:r>
      <w:r>
        <w:rPr/>
        <w:t>., 2003).</w:t>
      </w:r>
    </w:p>
    <w:p>
      <w:pPr>
        <w:pStyle w:val="BodyText"/>
      </w:pPr>
    </w:p>
    <w:p>
      <w:pPr>
        <w:pStyle w:val="BodyText"/>
      </w:pPr>
    </w:p>
    <w:p>
      <w:pPr>
        <w:pStyle w:val="BodyText"/>
        <w:spacing w:line="480" w:lineRule="auto" w:before="1"/>
        <w:ind w:left="747" w:right="846"/>
        <w:jc w:val="both"/>
      </w:pPr>
      <w:r>
        <w:rPr/>
        <w:t>Eosinophilia: - A normal eosinophil count is considered to be less than 0.65 – 10</w:t>
      </w:r>
      <w:r>
        <w:rPr>
          <w:vertAlign w:val="superscript"/>
        </w:rPr>
        <w:t>9</w:t>
      </w:r>
      <w:r>
        <w:rPr>
          <w:vertAlign w:val="baseline"/>
        </w:rPr>
        <w:t>/L. Eosinophils are higher in newborns and vary with age, time (lower in the morning and higher at night), exercise, environment, and exposure to allergens. Eosinophilia is never a common laboratory finding, but the most important causes of eosinophilia include allergens such as asthma, hay fever, and hives of parasitic infections (Handin </w:t>
      </w:r>
      <w:r>
        <w:rPr>
          <w:i/>
          <w:vertAlign w:val="baseline"/>
        </w:rPr>
        <w:t>et al</w:t>
      </w:r>
      <w:r>
        <w:rPr>
          <w:vertAlign w:val="baseline"/>
        </w:rPr>
        <w:t>., </w:t>
      </w:r>
      <w:r>
        <w:rPr>
          <w:spacing w:val="-2"/>
          <w:vertAlign w:val="baseline"/>
        </w:rPr>
        <w:t>2003).</w:t>
      </w:r>
    </w:p>
    <w:p>
      <w:pPr>
        <w:spacing w:after="0" w:line="480" w:lineRule="auto"/>
        <w:jc w:val="both"/>
        <w:sectPr>
          <w:pgSz w:w="11910" w:h="16840"/>
          <w:pgMar w:header="0" w:footer="981" w:top="1320" w:bottom="1180" w:left="1240" w:right="560"/>
        </w:sectPr>
      </w:pPr>
    </w:p>
    <w:p>
      <w:pPr>
        <w:pStyle w:val="Heading2"/>
        <w:numPr>
          <w:ilvl w:val="2"/>
          <w:numId w:val="11"/>
        </w:numPr>
        <w:tabs>
          <w:tab w:pos="1466" w:val="left" w:leader="none"/>
        </w:tabs>
        <w:spacing w:line="240" w:lineRule="auto" w:before="69" w:after="0"/>
        <w:ind w:left="1466" w:right="0" w:hanging="719"/>
        <w:jc w:val="both"/>
      </w:pPr>
      <w:bookmarkStart w:name="_TOC_250002" w:id="21"/>
      <w:bookmarkEnd w:id="21"/>
      <w:r>
        <w:rPr>
          <w:spacing w:val="-2"/>
        </w:rPr>
        <w:t>Leucopenia</w:t>
      </w:r>
    </w:p>
    <w:p>
      <w:pPr>
        <w:pStyle w:val="BodyText"/>
        <w:spacing w:line="480" w:lineRule="auto" w:before="272"/>
        <w:ind w:left="747" w:right="844"/>
        <w:jc w:val="both"/>
      </w:pPr>
      <w:r>
        <w:rPr/>
        <w:t>A range of disorders can cause decrease in the WBCs usually of the neutrophil. In this case, the decrease may be called neutropenia or granulocytopenia (decrease in the absolute neutrophil count - ANC). Less commonly, a decrease in lymphocytes (called lymphocytopenia or lymphopenia) may be seen.</w:t>
      </w:r>
      <w:r>
        <w:rPr>
          <w:spacing w:val="40"/>
        </w:rPr>
        <w:t> </w:t>
      </w:r>
      <w:r>
        <w:rPr/>
        <w:t>Neutropenia is an immunodeficiency condition often resulting in susceptibility to bacterial infections and / or sepsis. Neutropenia occurs if neutrophil count falls below 1,000 cells per µL of blood and it</w:t>
      </w:r>
      <w:r>
        <w:rPr>
          <w:spacing w:val="80"/>
        </w:rPr>
        <w:t> </w:t>
      </w:r>
      <w:r>
        <w:rPr/>
        <w:t>can be acquired or intrinsic. A decreased level of neutrophils is often due to either decreased production by the bone marrow or increased removal from the blood and which may be as a result of medication (chemotherapy with certain drugs), toxins (like alcohol, benzenes), immune dysfunction (like disorders of collagen, AIDS, rheumatoid arthritis), blood cell dysfunction (marrow failure, acute leukemia, megaloblastic anaemia), any major infection, starvation or hypersplenism. The ANC varies widely in healthy individuals according to exercise, emotional state, and time of day, but it is normally</w:t>
      </w:r>
      <w:r>
        <w:rPr>
          <w:spacing w:val="-1"/>
        </w:rPr>
        <w:t> </w:t>
      </w:r>
      <w:r>
        <w:rPr/>
        <w:t>greater than 1.5 × 10</w:t>
      </w:r>
      <w:r>
        <w:rPr>
          <w:vertAlign w:val="superscript"/>
        </w:rPr>
        <w:t>9</w:t>
      </w:r>
      <w:r>
        <w:rPr>
          <w:vertAlign w:val="baseline"/>
        </w:rPr>
        <w:t>/L.</w:t>
      </w:r>
      <w:r>
        <w:rPr>
          <w:spacing w:val="40"/>
          <w:vertAlign w:val="baseline"/>
        </w:rPr>
        <w:t> </w:t>
      </w:r>
      <w:r>
        <w:rPr>
          <w:vertAlign w:val="baseline"/>
        </w:rPr>
        <w:t>The absolute neutrophil count (ANC) determines the stage or severity of neutropenia. ANC count ranges from 1.0 to 1.5 × 10</w:t>
      </w:r>
      <w:r>
        <w:rPr>
          <w:vertAlign w:val="superscript"/>
        </w:rPr>
        <w:t>9</w:t>
      </w:r>
      <w:r>
        <w:rPr>
          <w:vertAlign w:val="baseline"/>
        </w:rPr>
        <w:t>/L</w:t>
      </w:r>
      <w:r>
        <w:rPr>
          <w:spacing w:val="40"/>
          <w:vertAlign w:val="baseline"/>
        </w:rPr>
        <w:t> </w:t>
      </w:r>
      <w:r>
        <w:rPr>
          <w:vertAlign w:val="baseline"/>
        </w:rPr>
        <w:t>in mild neutropenia; 0.5 to 1.0 × 10</w:t>
      </w:r>
      <w:r>
        <w:rPr>
          <w:vertAlign w:val="superscript"/>
        </w:rPr>
        <w:t>9</w:t>
      </w:r>
      <w:r>
        <w:rPr>
          <w:vertAlign w:val="baseline"/>
        </w:rPr>
        <w:t>/L in moderate neutropenia and is 0.5 × 10</w:t>
      </w:r>
      <w:r>
        <w:rPr>
          <w:vertAlign w:val="superscript"/>
        </w:rPr>
        <w:t>9</w:t>
      </w:r>
      <w:r>
        <w:rPr>
          <w:vertAlign w:val="baseline"/>
        </w:rPr>
        <w:t>/L in severe neutropenia (Algwaiz and Babay, 2007). Mean neutrophil levels are the same for</w:t>
      </w:r>
      <w:r>
        <w:rPr>
          <w:spacing w:val="40"/>
          <w:vertAlign w:val="baseline"/>
        </w:rPr>
        <w:t> </w:t>
      </w:r>
      <w:r>
        <w:rPr>
          <w:vertAlign w:val="baseline"/>
        </w:rPr>
        <w:t>healthy children and adults, but an increased count of neutrophils (neutrophilia) greater than 10 × 10</w:t>
      </w:r>
      <w:r>
        <w:rPr>
          <w:vertAlign w:val="superscript"/>
        </w:rPr>
        <w:t>9</w:t>
      </w:r>
      <w:r>
        <w:rPr>
          <w:vertAlign w:val="baseline"/>
        </w:rPr>
        <w:t>/L is frequent at birth, and decreases in the first few days of life to the range</w:t>
      </w:r>
      <w:r>
        <w:rPr>
          <w:spacing w:val="-1"/>
          <w:vertAlign w:val="baseline"/>
        </w:rPr>
        <w:t> </w:t>
      </w:r>
      <w:r>
        <w:rPr>
          <w:vertAlign w:val="baseline"/>
        </w:rPr>
        <w:t>of</w:t>
      </w:r>
      <w:r>
        <w:rPr>
          <w:spacing w:val="-1"/>
          <w:vertAlign w:val="baseline"/>
        </w:rPr>
        <w:t> </w:t>
      </w:r>
      <w:r>
        <w:rPr>
          <w:vertAlign w:val="baseline"/>
        </w:rPr>
        <w:t>2.0 to 7.0 × 10</w:t>
      </w:r>
      <w:r>
        <w:rPr>
          <w:vertAlign w:val="superscript"/>
        </w:rPr>
        <w:t>9</w:t>
      </w:r>
      <w:r>
        <w:rPr>
          <w:vertAlign w:val="baseline"/>
        </w:rPr>
        <w:t>/L</w:t>
      </w:r>
      <w:r>
        <w:rPr>
          <w:spacing w:val="-3"/>
          <w:vertAlign w:val="baseline"/>
        </w:rPr>
        <w:t> </w:t>
      </w:r>
      <w:r>
        <w:rPr>
          <w:vertAlign w:val="baseline"/>
        </w:rPr>
        <w:t>to become normal by</w:t>
      </w:r>
      <w:r>
        <w:rPr>
          <w:spacing w:val="-5"/>
          <w:vertAlign w:val="baseline"/>
        </w:rPr>
        <w:t> </w:t>
      </w:r>
      <w:r>
        <w:rPr>
          <w:vertAlign w:val="baseline"/>
        </w:rPr>
        <w:t>5 years</w:t>
      </w:r>
      <w:r>
        <w:rPr>
          <w:spacing w:val="-1"/>
          <w:vertAlign w:val="baseline"/>
        </w:rPr>
        <w:t> </w:t>
      </w:r>
      <w:r>
        <w:rPr>
          <w:vertAlign w:val="baseline"/>
        </w:rPr>
        <w:t>of</w:t>
      </w:r>
      <w:r>
        <w:rPr>
          <w:spacing w:val="-1"/>
          <w:vertAlign w:val="baseline"/>
        </w:rPr>
        <w:t> </w:t>
      </w:r>
      <w:r>
        <w:rPr>
          <w:vertAlign w:val="baseline"/>
        </w:rPr>
        <w:t>age. Neutropenia</w:t>
      </w:r>
      <w:r>
        <w:rPr>
          <w:spacing w:val="-1"/>
          <w:vertAlign w:val="baseline"/>
        </w:rPr>
        <w:t> </w:t>
      </w:r>
      <w:r>
        <w:rPr>
          <w:vertAlign w:val="baseline"/>
        </w:rPr>
        <w:t>can also be classified into acute and chronic depending on the duration of illness, but prompt medical attention most times reverses the acute (less than 3 months) type, but if left unattended, the chronic condition of neutropenic sepsis sets in.</w:t>
      </w:r>
      <w:r>
        <w:rPr>
          <w:spacing w:val="40"/>
          <w:vertAlign w:val="baseline"/>
        </w:rPr>
        <w:t> </w:t>
      </w:r>
      <w:r>
        <w:rPr>
          <w:vertAlign w:val="baseline"/>
        </w:rPr>
        <w:t>Neutrophils play an important</w:t>
      </w:r>
      <w:r>
        <w:rPr>
          <w:spacing w:val="52"/>
          <w:vertAlign w:val="baseline"/>
        </w:rPr>
        <w:t> </w:t>
      </w:r>
      <w:r>
        <w:rPr>
          <w:vertAlign w:val="baseline"/>
        </w:rPr>
        <w:t>role</w:t>
      </w:r>
      <w:r>
        <w:rPr>
          <w:spacing w:val="50"/>
          <w:vertAlign w:val="baseline"/>
        </w:rPr>
        <w:t> </w:t>
      </w:r>
      <w:r>
        <w:rPr>
          <w:vertAlign w:val="baseline"/>
        </w:rPr>
        <w:t>in</w:t>
      </w:r>
      <w:r>
        <w:rPr>
          <w:spacing w:val="52"/>
          <w:vertAlign w:val="baseline"/>
        </w:rPr>
        <w:t> </w:t>
      </w:r>
      <w:r>
        <w:rPr>
          <w:vertAlign w:val="baseline"/>
        </w:rPr>
        <w:t>protecting</w:t>
      </w:r>
      <w:r>
        <w:rPr>
          <w:spacing w:val="49"/>
          <w:vertAlign w:val="baseline"/>
        </w:rPr>
        <w:t> </w:t>
      </w:r>
      <w:r>
        <w:rPr>
          <w:vertAlign w:val="baseline"/>
        </w:rPr>
        <w:t>the</w:t>
      </w:r>
      <w:r>
        <w:rPr>
          <w:spacing w:val="51"/>
          <w:vertAlign w:val="baseline"/>
        </w:rPr>
        <w:t> </w:t>
      </w:r>
      <w:r>
        <w:rPr>
          <w:vertAlign w:val="baseline"/>
        </w:rPr>
        <w:t>oral</w:t>
      </w:r>
      <w:r>
        <w:rPr>
          <w:spacing w:val="55"/>
          <w:vertAlign w:val="baseline"/>
        </w:rPr>
        <w:t> </w:t>
      </w:r>
      <w:r>
        <w:rPr>
          <w:vertAlign w:val="baseline"/>
        </w:rPr>
        <w:t>mucosa</w:t>
      </w:r>
      <w:r>
        <w:rPr>
          <w:spacing w:val="52"/>
          <w:vertAlign w:val="baseline"/>
        </w:rPr>
        <w:t> </w:t>
      </w:r>
      <w:r>
        <w:rPr>
          <w:vertAlign w:val="baseline"/>
        </w:rPr>
        <w:t>from</w:t>
      </w:r>
      <w:r>
        <w:rPr>
          <w:spacing w:val="52"/>
          <w:vertAlign w:val="baseline"/>
        </w:rPr>
        <w:t> </w:t>
      </w:r>
      <w:r>
        <w:rPr>
          <w:vertAlign w:val="baseline"/>
        </w:rPr>
        <w:t>bacterial</w:t>
      </w:r>
      <w:r>
        <w:rPr>
          <w:spacing w:val="51"/>
          <w:vertAlign w:val="baseline"/>
        </w:rPr>
        <w:t> </w:t>
      </w:r>
      <w:r>
        <w:rPr>
          <w:vertAlign w:val="baseline"/>
        </w:rPr>
        <w:t>infections,</w:t>
      </w:r>
      <w:r>
        <w:rPr>
          <w:spacing w:val="51"/>
          <w:vertAlign w:val="baseline"/>
        </w:rPr>
        <w:t> </w:t>
      </w:r>
      <w:r>
        <w:rPr>
          <w:vertAlign w:val="baseline"/>
        </w:rPr>
        <w:t>and</w:t>
      </w:r>
      <w:r>
        <w:rPr>
          <w:spacing w:val="51"/>
          <w:vertAlign w:val="baseline"/>
        </w:rPr>
        <w:t> </w:t>
      </w:r>
      <w:r>
        <w:rPr>
          <w:vertAlign w:val="baseline"/>
        </w:rPr>
        <w:t>thus,</w:t>
      </w:r>
      <w:r>
        <w:rPr>
          <w:spacing w:val="53"/>
          <w:vertAlign w:val="baseline"/>
        </w:rPr>
        <w:t> </w:t>
      </w:r>
      <w:r>
        <w:rPr>
          <w:spacing w:val="-5"/>
          <w:vertAlign w:val="baseline"/>
        </w:rPr>
        <w:t>in</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chronic neutropenia, gingivitis and mouth ulcerations are common problems of substantial risk of bacterial infections. Usually the bacterial organisms of infection are those of endogenous flora, the resident bacteria of the mouth, oropharynx, gastrointestinal tract and skin. Thus, in neutropenic conditions, symptoms like otitis media, tonsillitis, sore throat, mouth ulcers, gum infections and skin abscesses are common presentations and indeed most feverish conditions of body temperature above 38.5</w:t>
      </w:r>
      <w:r>
        <w:rPr>
          <w:rFonts w:ascii="Calibri" w:hAnsi="Calibri"/>
        </w:rPr>
        <w:t>⁰</w:t>
      </w:r>
      <w:r>
        <w:rPr/>
        <w:t>C/101.3</w:t>
      </w:r>
      <w:r>
        <w:rPr>
          <w:rFonts w:ascii="Calibri" w:hAnsi="Calibri"/>
        </w:rPr>
        <w:t>⁰</w:t>
      </w:r>
      <w:r>
        <w:rPr/>
        <w:t>F are often related to low neutrophil count. The common bacteremia organisms are </w:t>
      </w:r>
      <w:r>
        <w:rPr>
          <w:i/>
        </w:rPr>
        <w:t>Escherichia. coli</w:t>
      </w:r>
      <w:r>
        <w:rPr/>
        <w:t>, </w:t>
      </w:r>
      <w:r>
        <w:rPr>
          <w:i/>
        </w:rPr>
        <w:t>Klebsiella pneumoniae</w:t>
      </w:r>
      <w:r>
        <w:rPr/>
        <w:t>, and </w:t>
      </w:r>
      <w:r>
        <w:rPr>
          <w:i/>
        </w:rPr>
        <w:t>Staphylococcus. aureus </w:t>
      </w:r>
      <w:r>
        <w:rPr/>
        <w:t>(Bert </w:t>
      </w:r>
      <w:r>
        <w:rPr>
          <w:i/>
        </w:rPr>
        <w:t>et al</w:t>
      </w:r>
      <w:r>
        <w:rPr/>
        <w:t>., 2005).</w:t>
      </w:r>
    </w:p>
    <w:p>
      <w:pPr>
        <w:pStyle w:val="BodyText"/>
      </w:pPr>
    </w:p>
    <w:p>
      <w:pPr>
        <w:pStyle w:val="BodyText"/>
        <w:spacing w:before="1"/>
      </w:pPr>
    </w:p>
    <w:p>
      <w:pPr>
        <w:pStyle w:val="BodyText"/>
        <w:spacing w:line="480" w:lineRule="auto" w:before="1"/>
        <w:ind w:left="747" w:right="846"/>
        <w:jc w:val="both"/>
      </w:pPr>
      <w:r>
        <w:rPr/>
        <w:t>Chemotherapy-induced neutropenia is the most common cause of acquired neutropenia resulting from symptoms of medication overdose or toxicity. Chemotherapy-induced febrile neutropenia especially of cytotoxic drugs is of common occurrence. One severe consequence of neutropenia is that it can increase the risk of infection. Over the years, the incidence of idiosyncratic drug-induced agranulocytosis or acute neutropenia has remained stable at 2.4 – 15.4 cases per million (Andres </w:t>
      </w:r>
      <w:r>
        <w:rPr>
          <w:i/>
        </w:rPr>
        <w:t>et al</w:t>
      </w:r>
      <w:r>
        <w:rPr/>
        <w:t>., 2006). Drug-induced agranulocytosis remains a serious adverse event due to the occurrence of severe sepsis with severe deep infections such as pneumonia, septicemia and septic shock (Bruce </w:t>
      </w:r>
      <w:r>
        <w:rPr>
          <w:i/>
        </w:rPr>
        <w:t>et al</w:t>
      </w:r>
      <w:r>
        <w:rPr/>
        <w:t>., 2002).</w:t>
      </w:r>
    </w:p>
    <w:p>
      <w:pPr>
        <w:pStyle w:val="BodyText"/>
      </w:pPr>
    </w:p>
    <w:p>
      <w:pPr>
        <w:pStyle w:val="BodyText"/>
        <w:spacing w:before="6"/>
      </w:pPr>
    </w:p>
    <w:p>
      <w:pPr>
        <w:pStyle w:val="Heading2"/>
        <w:numPr>
          <w:ilvl w:val="1"/>
          <w:numId w:val="11"/>
        </w:numPr>
        <w:tabs>
          <w:tab w:pos="4348" w:val="left" w:leader="none"/>
        </w:tabs>
        <w:spacing w:line="240" w:lineRule="auto" w:before="0" w:after="0"/>
        <w:ind w:left="4348" w:right="0" w:hanging="720"/>
        <w:jc w:val="both"/>
      </w:pPr>
      <w:bookmarkStart w:name="_TOC_250001" w:id="22"/>
      <w:bookmarkEnd w:id="22"/>
      <w:r>
        <w:rPr>
          <w:spacing w:val="-2"/>
        </w:rPr>
        <w:t>Inflammation</w:t>
      </w:r>
    </w:p>
    <w:p>
      <w:pPr>
        <w:pStyle w:val="BodyText"/>
        <w:spacing w:line="480" w:lineRule="auto" w:before="271"/>
        <w:ind w:left="747" w:right="846"/>
        <w:jc w:val="both"/>
      </w:pPr>
      <w:r>
        <w:rPr/>
        <w:t>Inflammation is part of the complex biological response of the vascular tissues to harmful stimuli (pathogens, damaged cells, irritants and foreign bodies) (Ferrero- Miliani </w:t>
      </w:r>
      <w:r>
        <w:rPr>
          <w:i/>
        </w:rPr>
        <w:t>et al</w:t>
      </w:r>
      <w:r>
        <w:rPr/>
        <w:t>., 2007). It is a normal body response in attempt to protect against or</w:t>
      </w:r>
      <w:r>
        <w:rPr>
          <w:spacing w:val="40"/>
        </w:rPr>
        <w:t> </w:t>
      </w:r>
      <w:r>
        <w:rPr/>
        <w:t>remove</w:t>
      </w:r>
      <w:r>
        <w:rPr>
          <w:spacing w:val="10"/>
        </w:rPr>
        <w:t> </w:t>
      </w:r>
      <w:r>
        <w:rPr/>
        <w:t>injurious</w:t>
      </w:r>
      <w:r>
        <w:rPr>
          <w:spacing w:val="12"/>
        </w:rPr>
        <w:t> </w:t>
      </w:r>
      <w:r>
        <w:rPr/>
        <w:t>stimuli</w:t>
      </w:r>
      <w:r>
        <w:rPr>
          <w:spacing w:val="11"/>
        </w:rPr>
        <w:t> </w:t>
      </w:r>
      <w:r>
        <w:rPr/>
        <w:t>or</w:t>
      </w:r>
      <w:r>
        <w:rPr>
          <w:spacing w:val="11"/>
        </w:rPr>
        <w:t> </w:t>
      </w:r>
      <w:r>
        <w:rPr/>
        <w:t>more</w:t>
      </w:r>
      <w:r>
        <w:rPr>
          <w:spacing w:val="10"/>
        </w:rPr>
        <w:t> </w:t>
      </w:r>
      <w:r>
        <w:rPr/>
        <w:t>commonly</w:t>
      </w:r>
      <w:r>
        <w:rPr>
          <w:spacing w:val="6"/>
        </w:rPr>
        <w:t> </w:t>
      </w:r>
      <w:r>
        <w:rPr/>
        <w:t>to</w:t>
      </w:r>
      <w:r>
        <w:rPr>
          <w:spacing w:val="11"/>
        </w:rPr>
        <w:t> </w:t>
      </w:r>
      <w:r>
        <w:rPr/>
        <w:t>initiate</w:t>
      </w:r>
      <w:r>
        <w:rPr>
          <w:spacing w:val="11"/>
        </w:rPr>
        <w:t> </w:t>
      </w:r>
      <w:r>
        <w:rPr/>
        <w:t>a</w:t>
      </w:r>
      <w:r>
        <w:rPr>
          <w:spacing w:val="10"/>
        </w:rPr>
        <w:t> </w:t>
      </w:r>
      <w:r>
        <w:rPr/>
        <w:t>healing</w:t>
      </w:r>
      <w:r>
        <w:rPr>
          <w:spacing w:val="9"/>
        </w:rPr>
        <w:t> </w:t>
      </w:r>
      <w:r>
        <w:rPr/>
        <w:t>process</w:t>
      </w:r>
      <w:r>
        <w:rPr>
          <w:spacing w:val="12"/>
        </w:rPr>
        <w:t> </w:t>
      </w:r>
      <w:r>
        <w:rPr/>
        <w:t>as</w:t>
      </w:r>
      <w:r>
        <w:rPr>
          <w:spacing w:val="14"/>
        </w:rPr>
        <w:t> </w:t>
      </w:r>
      <w:r>
        <w:rPr/>
        <w:t>to</w:t>
      </w:r>
      <w:r>
        <w:rPr>
          <w:spacing w:val="12"/>
        </w:rPr>
        <w:t> </w:t>
      </w:r>
      <w:r>
        <w:rPr>
          <w:spacing w:val="-2"/>
        </w:rPr>
        <w:t>maintain</w:t>
      </w:r>
    </w:p>
    <w:p>
      <w:pPr>
        <w:spacing w:after="0" w:line="480" w:lineRule="auto"/>
        <w:jc w:val="both"/>
        <w:sectPr>
          <w:pgSz w:w="11910" w:h="16840"/>
          <w:pgMar w:header="0" w:footer="981" w:top="1320" w:bottom="1180" w:left="1240" w:right="560"/>
        </w:sectPr>
      </w:pPr>
    </w:p>
    <w:p>
      <w:pPr>
        <w:pStyle w:val="BodyText"/>
        <w:spacing w:line="480" w:lineRule="auto" w:before="64"/>
        <w:ind w:left="747" w:right="841"/>
        <w:jc w:val="both"/>
      </w:pPr>
      <w:r>
        <w:rPr/>
        <w:t>the well-being of body cells. Thus, inflammation is a key biochemical process and a mechanism of innate immunity (inborn protective process) of the immune system. Indeed, we live in such an inflammatory environment (from pollution, germs, diet and other</w:t>
      </w:r>
      <w:r>
        <w:rPr>
          <w:spacing w:val="-4"/>
        </w:rPr>
        <w:t> </w:t>
      </w:r>
      <w:r>
        <w:rPr/>
        <w:t>sources)</w:t>
      </w:r>
      <w:r>
        <w:rPr>
          <w:spacing w:val="-3"/>
        </w:rPr>
        <w:t> </w:t>
      </w:r>
      <w:r>
        <w:rPr/>
        <w:t>that</w:t>
      </w:r>
      <w:r>
        <w:rPr>
          <w:spacing w:val="-3"/>
        </w:rPr>
        <w:t> </w:t>
      </w:r>
      <w:r>
        <w:rPr/>
        <w:t>it</w:t>
      </w:r>
      <w:r>
        <w:rPr>
          <w:spacing w:val="-3"/>
        </w:rPr>
        <w:t> </w:t>
      </w:r>
      <w:r>
        <w:rPr/>
        <w:t>is</w:t>
      </w:r>
      <w:r>
        <w:rPr>
          <w:spacing w:val="-3"/>
        </w:rPr>
        <w:t> </w:t>
      </w:r>
      <w:r>
        <w:rPr/>
        <w:t>tough</w:t>
      </w:r>
      <w:r>
        <w:rPr>
          <w:spacing w:val="-3"/>
        </w:rPr>
        <w:t> </w:t>
      </w:r>
      <w:r>
        <w:rPr/>
        <w:t>to</w:t>
      </w:r>
      <w:r>
        <w:rPr>
          <w:spacing w:val="-3"/>
        </w:rPr>
        <w:t> </w:t>
      </w:r>
      <w:r>
        <w:rPr/>
        <w:t>keep</w:t>
      </w:r>
      <w:r>
        <w:rPr>
          <w:spacing w:val="-3"/>
        </w:rPr>
        <w:t> </w:t>
      </w:r>
      <w:r>
        <w:rPr/>
        <w:t>the</w:t>
      </w:r>
      <w:r>
        <w:rPr>
          <w:spacing w:val="-3"/>
        </w:rPr>
        <w:t> </w:t>
      </w:r>
      <w:r>
        <w:rPr/>
        <w:t>inflammation</w:t>
      </w:r>
      <w:r>
        <w:rPr>
          <w:spacing w:val="-3"/>
        </w:rPr>
        <w:t> </w:t>
      </w:r>
      <w:r>
        <w:rPr/>
        <w:t>process</w:t>
      </w:r>
      <w:r>
        <w:rPr>
          <w:spacing w:val="-3"/>
        </w:rPr>
        <w:t> </w:t>
      </w:r>
      <w:r>
        <w:rPr/>
        <w:t>in</w:t>
      </w:r>
      <w:r>
        <w:rPr>
          <w:spacing w:val="-3"/>
        </w:rPr>
        <w:t> </w:t>
      </w:r>
      <w:r>
        <w:rPr/>
        <w:t>balance. Inflammation that are not well controlled and which overwhelm the immune system often becomes chronic resulting in deadly or fatal conditions and this is often the underlying cause of many human diseases (Carol, 2007). However, abnormality in the inflammatory processes devoid of immune system involvement also occurs and these mediate some peculiar types of disease conditions such as cancer, atherosclerosis, ischaemic heart disease and so forth, and are often regarded as non-immune or maladaptive responses (Allison </w:t>
      </w:r>
      <w:r>
        <w:rPr>
          <w:i/>
        </w:rPr>
        <w:t>et al</w:t>
      </w:r>
      <w:r>
        <w:rPr/>
        <w:t>., 2013).</w:t>
      </w:r>
    </w:p>
    <w:p>
      <w:pPr>
        <w:pStyle w:val="BodyText"/>
      </w:pPr>
    </w:p>
    <w:p>
      <w:pPr>
        <w:pStyle w:val="BodyText"/>
        <w:spacing w:before="2"/>
      </w:pPr>
    </w:p>
    <w:p>
      <w:pPr>
        <w:pStyle w:val="BodyText"/>
        <w:spacing w:line="480" w:lineRule="auto"/>
        <w:ind w:left="747" w:right="845"/>
        <w:jc w:val="both"/>
      </w:pPr>
      <w:r>
        <w:rPr/>
        <w:t>Some immune system disorders also result in inflammatory disorders, for instance allergic reactions like hay fever, results from an inappropriate immune response- triggering inflammation. Hay fever is a hypersensitive response by nose mast cells to allergens in which pre-sensitized mast cells respond by degranulating and releasing vasoactive chemicals such as histamine which propagate excessive inflammatory response that may mature into a systemic response known as anaphylaxis.</w:t>
      </w:r>
      <w:r>
        <w:rPr>
          <w:spacing w:val="40"/>
        </w:rPr>
        <w:t> </w:t>
      </w:r>
      <w:r>
        <w:rPr/>
        <w:t>The other types of hypersensitivity reactions (Types II and III) are mediated by</w:t>
      </w:r>
      <w:r>
        <w:rPr>
          <w:spacing w:val="-1"/>
        </w:rPr>
        <w:t> </w:t>
      </w:r>
      <w:r>
        <w:rPr/>
        <w:t>antibody</w:t>
      </w:r>
      <w:r>
        <w:rPr>
          <w:spacing w:val="-1"/>
        </w:rPr>
        <w:t> </w:t>
      </w:r>
      <w:r>
        <w:rPr/>
        <w:t>reactions and induce inflammation by attracting leukocytes that damage surrounding tissues. Again inflammatory myopathies are caused by the immune system inappropriately attacking components of muscle and leading to signs of muscle inflammation and this may occur in conjunction with other immune disorders like systemic sclerosis (Ariza </w:t>
      </w:r>
      <w:r>
        <w:rPr>
          <w:i/>
        </w:rPr>
        <w:t>et al</w:t>
      </w:r>
      <w:r>
        <w:rPr/>
        <w:t>., 2014).</w:t>
      </w:r>
    </w:p>
    <w:p>
      <w:pPr>
        <w:spacing w:after="0" w:line="480" w:lineRule="auto"/>
        <w:jc w:val="both"/>
        <w:sectPr>
          <w:pgSz w:w="11910" w:h="16840"/>
          <w:pgMar w:header="0" w:footer="981" w:top="1320" w:bottom="1180" w:left="1240" w:right="560"/>
        </w:sectPr>
      </w:pPr>
    </w:p>
    <w:p>
      <w:pPr>
        <w:pStyle w:val="Heading2"/>
        <w:numPr>
          <w:ilvl w:val="2"/>
          <w:numId w:val="11"/>
        </w:numPr>
        <w:tabs>
          <w:tab w:pos="1466" w:val="left" w:leader="none"/>
        </w:tabs>
        <w:spacing w:line="240" w:lineRule="auto" w:before="69" w:after="0"/>
        <w:ind w:left="1466" w:right="0" w:hanging="719"/>
        <w:jc w:val="both"/>
      </w:pPr>
      <w:r>
        <w:rPr/>
        <w:t>Acute</w:t>
      </w:r>
      <w:r>
        <w:rPr>
          <w:spacing w:val="-4"/>
        </w:rPr>
        <w:t> </w:t>
      </w:r>
      <w:r>
        <w:rPr/>
        <w:t>and</w:t>
      </w:r>
      <w:r>
        <w:rPr>
          <w:spacing w:val="-1"/>
        </w:rPr>
        <w:t> </w:t>
      </w:r>
      <w:r>
        <w:rPr/>
        <w:t>chronic</w:t>
      </w:r>
      <w:r>
        <w:rPr>
          <w:spacing w:val="-1"/>
        </w:rPr>
        <w:t> </w:t>
      </w:r>
      <w:r>
        <w:rPr>
          <w:spacing w:val="-2"/>
        </w:rPr>
        <w:t>inflammations</w:t>
      </w:r>
    </w:p>
    <w:p>
      <w:pPr>
        <w:pStyle w:val="BodyText"/>
        <w:spacing w:line="480" w:lineRule="auto" w:before="272"/>
        <w:ind w:left="747" w:right="849"/>
        <w:jc w:val="both"/>
      </w:pPr>
      <w:r>
        <w:rPr/>
        <w:t>Inflammation can be classified as either acute or chronic. In its acute form, certain body tissues are</w:t>
      </w:r>
      <w:r>
        <w:rPr>
          <w:spacing w:val="-1"/>
        </w:rPr>
        <w:t> </w:t>
      </w:r>
      <w:r>
        <w:rPr/>
        <w:t>momentarily destroyed with offending agents, but which gets back to normal after a while. However, progressive inflammation that gets chronic can lead to a host of diseases. In general, acute inflammation is mediated by granulocytes, where as chronic inflammation is mediated by mononuclear cells such as monocytes and lymphocytes (Eming </w:t>
      </w:r>
      <w:r>
        <w:rPr>
          <w:i/>
        </w:rPr>
        <w:t>et al</w:t>
      </w:r>
      <w:r>
        <w:rPr/>
        <w:t>., 2007).</w:t>
      </w:r>
    </w:p>
    <w:p>
      <w:pPr>
        <w:pStyle w:val="BodyText"/>
      </w:pPr>
    </w:p>
    <w:p>
      <w:pPr>
        <w:pStyle w:val="BodyText"/>
        <w:spacing w:before="5"/>
      </w:pPr>
    </w:p>
    <w:p>
      <w:pPr>
        <w:pStyle w:val="Heading2"/>
        <w:numPr>
          <w:ilvl w:val="2"/>
          <w:numId w:val="11"/>
        </w:numPr>
        <w:tabs>
          <w:tab w:pos="1466" w:val="left" w:leader="none"/>
        </w:tabs>
        <w:spacing w:line="240" w:lineRule="auto" w:before="1" w:after="0"/>
        <w:ind w:left="1466" w:right="0" w:hanging="719"/>
        <w:jc w:val="both"/>
      </w:pPr>
      <w:bookmarkStart w:name="_TOC_250000" w:id="23"/>
      <w:r>
        <w:rPr/>
        <w:t>Acute</w:t>
      </w:r>
      <w:r>
        <w:rPr>
          <w:spacing w:val="-4"/>
        </w:rPr>
        <w:t> </w:t>
      </w:r>
      <w:bookmarkEnd w:id="23"/>
      <w:r>
        <w:rPr>
          <w:spacing w:val="-2"/>
        </w:rPr>
        <w:t>inflammation</w:t>
      </w:r>
    </w:p>
    <w:p>
      <w:pPr>
        <w:pStyle w:val="BodyText"/>
        <w:spacing w:line="480" w:lineRule="auto" w:before="271"/>
        <w:ind w:left="747" w:right="846"/>
        <w:jc w:val="both"/>
      </w:pPr>
      <w:r>
        <w:rPr/>
        <w:t>Acute</w:t>
      </w:r>
      <w:r>
        <w:rPr>
          <w:spacing w:val="-2"/>
        </w:rPr>
        <w:t> </w:t>
      </w:r>
      <w:r>
        <w:rPr/>
        <w:t>inflammation</w:t>
      </w:r>
      <w:r>
        <w:rPr>
          <w:spacing w:val="-2"/>
        </w:rPr>
        <w:t> </w:t>
      </w:r>
      <w:r>
        <w:rPr/>
        <w:t>is</w:t>
      </w:r>
      <w:r>
        <w:rPr>
          <w:spacing w:val="-2"/>
        </w:rPr>
        <w:t> </w:t>
      </w:r>
      <w:r>
        <w:rPr/>
        <w:t>the</w:t>
      </w:r>
      <w:r>
        <w:rPr>
          <w:spacing w:val="-2"/>
        </w:rPr>
        <w:t> </w:t>
      </w:r>
      <w:r>
        <w:rPr/>
        <w:t>initial</w:t>
      </w:r>
      <w:r>
        <w:rPr>
          <w:spacing w:val="-2"/>
        </w:rPr>
        <w:t> </w:t>
      </w:r>
      <w:r>
        <w:rPr/>
        <w:t>response</w:t>
      </w:r>
      <w:r>
        <w:rPr>
          <w:spacing w:val="-2"/>
        </w:rPr>
        <w:t> </w:t>
      </w:r>
      <w:r>
        <w:rPr/>
        <w:t>of</w:t>
      </w:r>
      <w:r>
        <w:rPr>
          <w:spacing w:val="-1"/>
        </w:rPr>
        <w:t> </w:t>
      </w:r>
      <w:r>
        <w:rPr/>
        <w:t>the</w:t>
      </w:r>
      <w:r>
        <w:rPr>
          <w:spacing w:val="-3"/>
        </w:rPr>
        <w:t> </w:t>
      </w:r>
      <w:r>
        <w:rPr/>
        <w:t>body</w:t>
      </w:r>
      <w:r>
        <w:rPr>
          <w:spacing w:val="-7"/>
        </w:rPr>
        <w:t> </w:t>
      </w:r>
      <w:r>
        <w:rPr/>
        <w:t>to</w:t>
      </w:r>
      <w:r>
        <w:rPr>
          <w:spacing w:val="-2"/>
        </w:rPr>
        <w:t> </w:t>
      </w:r>
      <w:r>
        <w:rPr/>
        <w:t>harmful</w:t>
      </w:r>
      <w:r>
        <w:rPr>
          <w:spacing w:val="-2"/>
        </w:rPr>
        <w:t> </w:t>
      </w:r>
      <w:r>
        <w:rPr/>
        <w:t>stimuli</w:t>
      </w:r>
      <w:r>
        <w:rPr>
          <w:spacing w:val="-2"/>
        </w:rPr>
        <w:t> </w:t>
      </w:r>
      <w:r>
        <w:rPr/>
        <w:t>and</w:t>
      </w:r>
      <w:r>
        <w:rPr>
          <w:spacing w:val="-2"/>
        </w:rPr>
        <w:t> </w:t>
      </w:r>
      <w:r>
        <w:rPr/>
        <w:t>is</w:t>
      </w:r>
      <w:r>
        <w:rPr>
          <w:spacing w:val="-2"/>
        </w:rPr>
        <w:t> </w:t>
      </w:r>
      <w:r>
        <w:rPr/>
        <w:t>achieved by</w:t>
      </w:r>
      <w:r>
        <w:rPr>
          <w:spacing w:val="-5"/>
        </w:rPr>
        <w:t> </w:t>
      </w:r>
      <w:r>
        <w:rPr/>
        <w:t>the</w:t>
      </w:r>
      <w:r>
        <w:rPr>
          <w:spacing w:val="-1"/>
        </w:rPr>
        <w:t> </w:t>
      </w:r>
      <w:r>
        <w:rPr/>
        <w:t>increased movement of</w:t>
      </w:r>
      <w:r>
        <w:rPr>
          <w:spacing w:val="-1"/>
        </w:rPr>
        <w:t> </w:t>
      </w:r>
      <w:r>
        <w:rPr/>
        <w:t>plasma and leukocytes (especially</w:t>
      </w:r>
      <w:r>
        <w:rPr>
          <w:spacing w:val="-1"/>
        </w:rPr>
        <w:t> </w:t>
      </w:r>
      <w:r>
        <w:rPr/>
        <w:t>granulocytes) from the blood into the injured tissues. The causative agents include bacterial and other pathogens, injured tissues and so forth. The major cells involved in acute inflammation are neutrophilis (primarily), basophils and eosinophils (in response to helminth worms and parasites). The primary mediators are mostly the vasoactive amines and</w:t>
      </w:r>
      <w:r>
        <w:rPr>
          <w:spacing w:val="40"/>
        </w:rPr>
        <w:t> </w:t>
      </w:r>
      <w:r>
        <w:rPr/>
        <w:t>eicosanoids; and the onset is immediate with few days of effect. Acute inflammation</w:t>
      </w:r>
      <w:r>
        <w:rPr>
          <w:spacing w:val="40"/>
        </w:rPr>
        <w:t> </w:t>
      </w:r>
      <w:r>
        <w:rPr/>
        <w:t>that does not result in the resolution of the injurious harm may result in abscess formation and/or chronic inflammation. Since the acute inflammation requires constant stimulation to be sustained; and its mediators have short half lives that quickly get degraded in the tissue, the process ceases as soon as the stimulus is removed (Serhan, </w:t>
      </w:r>
      <w:r>
        <w:rPr>
          <w:spacing w:val="-2"/>
        </w:rPr>
        <w:t>2008).</w:t>
      </w:r>
    </w:p>
    <w:p>
      <w:pPr>
        <w:pStyle w:val="BodyText"/>
      </w:pPr>
    </w:p>
    <w:p>
      <w:pPr>
        <w:pStyle w:val="BodyText"/>
        <w:spacing w:before="4"/>
      </w:pPr>
    </w:p>
    <w:p>
      <w:pPr>
        <w:pStyle w:val="Heading2"/>
        <w:numPr>
          <w:ilvl w:val="2"/>
          <w:numId w:val="11"/>
        </w:numPr>
        <w:tabs>
          <w:tab w:pos="1466" w:val="left" w:leader="none"/>
        </w:tabs>
        <w:spacing w:line="240" w:lineRule="auto" w:before="0" w:after="0"/>
        <w:ind w:left="1466" w:right="0" w:hanging="719"/>
        <w:jc w:val="both"/>
      </w:pPr>
      <w:r>
        <w:rPr/>
        <w:t>Symptoms</w:t>
      </w:r>
      <w:r>
        <w:rPr>
          <w:spacing w:val="-3"/>
        </w:rPr>
        <w:t> </w:t>
      </w:r>
      <w:r>
        <w:rPr/>
        <w:t>of</w:t>
      </w:r>
      <w:r>
        <w:rPr>
          <w:spacing w:val="-2"/>
        </w:rPr>
        <w:t> </w:t>
      </w:r>
      <w:r>
        <w:rPr/>
        <w:t>acute</w:t>
      </w:r>
      <w:r>
        <w:rPr>
          <w:spacing w:val="-4"/>
        </w:rPr>
        <w:t> </w:t>
      </w:r>
      <w:r>
        <w:rPr>
          <w:spacing w:val="-2"/>
        </w:rPr>
        <w:t>inflammation</w:t>
      </w:r>
    </w:p>
    <w:p>
      <w:pPr>
        <w:pStyle w:val="BodyText"/>
        <w:spacing w:line="480" w:lineRule="auto" w:before="271"/>
        <w:ind w:left="747" w:right="846"/>
        <w:jc w:val="both"/>
      </w:pPr>
      <w:r>
        <w:rPr/>
        <w:t>Acute inflammation is a short term process, usually appearing within a few minutes or hours</w:t>
      </w:r>
      <w:r>
        <w:rPr>
          <w:spacing w:val="12"/>
        </w:rPr>
        <w:t> </w:t>
      </w:r>
      <w:r>
        <w:rPr/>
        <w:t>and</w:t>
      </w:r>
      <w:r>
        <w:rPr>
          <w:spacing w:val="16"/>
        </w:rPr>
        <w:t> </w:t>
      </w:r>
      <w:r>
        <w:rPr/>
        <w:t>ceasing</w:t>
      </w:r>
      <w:r>
        <w:rPr>
          <w:spacing w:val="11"/>
        </w:rPr>
        <w:t> </w:t>
      </w:r>
      <w:r>
        <w:rPr/>
        <w:t>upon</w:t>
      </w:r>
      <w:r>
        <w:rPr>
          <w:spacing w:val="16"/>
        </w:rPr>
        <w:t> </w:t>
      </w:r>
      <w:r>
        <w:rPr/>
        <w:t>the</w:t>
      </w:r>
      <w:r>
        <w:rPr>
          <w:spacing w:val="12"/>
        </w:rPr>
        <w:t> </w:t>
      </w:r>
      <w:r>
        <w:rPr/>
        <w:t>removal</w:t>
      </w:r>
      <w:r>
        <w:rPr>
          <w:spacing w:val="14"/>
        </w:rPr>
        <w:t> </w:t>
      </w:r>
      <w:r>
        <w:rPr/>
        <w:t>of</w:t>
      </w:r>
      <w:r>
        <w:rPr>
          <w:spacing w:val="13"/>
        </w:rPr>
        <w:t> </w:t>
      </w:r>
      <w:r>
        <w:rPr/>
        <w:t>the</w:t>
      </w:r>
      <w:r>
        <w:rPr>
          <w:spacing w:val="15"/>
        </w:rPr>
        <w:t> </w:t>
      </w:r>
      <w:r>
        <w:rPr/>
        <w:t>injurious</w:t>
      </w:r>
      <w:r>
        <w:rPr>
          <w:spacing w:val="14"/>
        </w:rPr>
        <w:t> </w:t>
      </w:r>
      <w:r>
        <w:rPr/>
        <w:t>stimuli.</w:t>
      </w:r>
      <w:r>
        <w:rPr>
          <w:spacing w:val="13"/>
        </w:rPr>
        <w:t> </w:t>
      </w:r>
      <w:r>
        <w:rPr/>
        <w:t>The</w:t>
      </w:r>
      <w:r>
        <w:rPr>
          <w:spacing w:val="12"/>
        </w:rPr>
        <w:t> </w:t>
      </w:r>
      <w:r>
        <w:rPr/>
        <w:t>five</w:t>
      </w:r>
      <w:r>
        <w:rPr>
          <w:spacing w:val="17"/>
        </w:rPr>
        <w:t> </w:t>
      </w:r>
      <w:r>
        <w:rPr/>
        <w:t>classic</w:t>
      </w:r>
      <w:r>
        <w:rPr>
          <w:spacing w:val="13"/>
        </w:rPr>
        <w:t> </w:t>
      </w:r>
      <w:r>
        <w:rPr/>
        <w:t>signs</w:t>
      </w:r>
      <w:r>
        <w:rPr>
          <w:spacing w:val="16"/>
        </w:rPr>
        <w:t> </w:t>
      </w:r>
      <w:r>
        <w:rPr>
          <w:spacing w:val="-5"/>
        </w:rPr>
        <w:t>and</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symptoms of acute inflammation are redness, swelling, heat, pain and loss of function. The first and second signs are due to increased blood flow to the inflamed site, swelling is caused by accumulation of fluid; pain is due to release of chemicals that stimulate nerve endings, and happens only where the appropriate sensory nerve endings exist in the inflamed area; if there is no pain-sensitive nerve endings, pain would not occur as seen with the acute inflammation of the lung (pneumonia) which cause pain only when the parietal pleura is involved. Loss of function is not unique to inflammation and has multiple causes (Kawai and Akira, 2006).</w:t>
      </w:r>
    </w:p>
    <w:p>
      <w:pPr>
        <w:pStyle w:val="BodyText"/>
      </w:pPr>
    </w:p>
    <w:p>
      <w:pPr>
        <w:pStyle w:val="BodyText"/>
        <w:spacing w:before="6"/>
      </w:pPr>
    </w:p>
    <w:p>
      <w:pPr>
        <w:pStyle w:val="Heading2"/>
        <w:numPr>
          <w:ilvl w:val="2"/>
          <w:numId w:val="11"/>
        </w:numPr>
        <w:tabs>
          <w:tab w:pos="1466" w:val="left" w:leader="none"/>
        </w:tabs>
        <w:spacing w:line="240" w:lineRule="auto" w:before="1" w:after="0"/>
        <w:ind w:left="1466" w:right="0" w:hanging="719"/>
        <w:jc w:val="both"/>
      </w:pPr>
      <w:r>
        <w:rPr/>
        <w:t>Process</w:t>
      </w:r>
      <w:r>
        <w:rPr>
          <w:spacing w:val="-2"/>
        </w:rPr>
        <w:t> </w:t>
      </w:r>
      <w:r>
        <w:rPr/>
        <w:t>of</w:t>
      </w:r>
      <w:r>
        <w:rPr>
          <w:spacing w:val="-1"/>
        </w:rPr>
        <w:t> </w:t>
      </w:r>
      <w:r>
        <w:rPr/>
        <w:t>acute</w:t>
      </w:r>
      <w:r>
        <w:rPr>
          <w:spacing w:val="-4"/>
        </w:rPr>
        <w:t> </w:t>
      </w:r>
      <w:r>
        <w:rPr/>
        <w:t>inflammation/cell-derived</w:t>
      </w:r>
      <w:r>
        <w:rPr>
          <w:spacing w:val="1"/>
        </w:rPr>
        <w:t> </w:t>
      </w:r>
      <w:r>
        <w:rPr>
          <w:spacing w:val="-2"/>
        </w:rPr>
        <w:t>mediators</w:t>
      </w:r>
    </w:p>
    <w:p>
      <w:pPr>
        <w:pStyle w:val="BodyText"/>
        <w:spacing w:line="480" w:lineRule="auto" w:before="271"/>
        <w:ind w:left="747" w:right="845"/>
        <w:jc w:val="both"/>
      </w:pPr>
      <w:r>
        <w:rPr/>
        <w:t>The cells in tissues (resident macrophages, dendritic cells, hepatocytes, kupffer cells, mastocytes) initiates the process of acute inflammation because they bear certain receptors (pattern recognition receptors PRRs) on their surfaces which recognize Ag/pathogen molecules and which are not of the host (referred to as pathogen- associated molecular patterns</w:t>
      </w:r>
      <w:r>
        <w:rPr>
          <w:spacing w:val="80"/>
        </w:rPr>
        <w:t> </w:t>
      </w:r>
      <w:r>
        <w:rPr/>
        <w:t>- PAMPs). In the event of infection, burn or other injuries, these cells are activated to release inflammatory mediators which bring up</w:t>
      </w:r>
      <w:r>
        <w:rPr>
          <w:spacing w:val="40"/>
        </w:rPr>
        <w:t> </w:t>
      </w:r>
      <w:r>
        <w:rPr/>
        <w:t>these clinical signs of inflammation. Vasodilation with its increased blood flow causes the redness and heat; increased permeability of the blood vessels with</w:t>
      </w:r>
      <w:r>
        <w:rPr>
          <w:spacing w:val="80"/>
        </w:rPr>
        <w:t> </w:t>
      </w:r>
      <w:r>
        <w:rPr/>
        <w:t>exudation/passage of plasma proteins and fluid into the site (edema or swelling); some released mediators like bradykinin increase the sensitivity to pain (hyperalgesia). The leukocytes especially neutrophils also migrate from blood vessels into the site (extravasation). In addition to cell-derived mediators, several acellular biochemical events occur to propagate the inflammatory response. In case of bacterial infection, the complement system is activated, while if it is burns or trauma, necrosis activate the coagulation and fibrinolysis systems (Daniel and Russian, 2012).</w:t>
      </w:r>
    </w:p>
    <w:p>
      <w:pPr>
        <w:spacing w:after="0" w:line="480" w:lineRule="auto"/>
        <w:jc w:val="both"/>
        <w:sectPr>
          <w:pgSz w:w="11910" w:h="16840"/>
          <w:pgMar w:header="0" w:footer="981" w:top="1320" w:bottom="1180" w:left="1240" w:right="560"/>
        </w:sectPr>
      </w:pPr>
    </w:p>
    <w:p>
      <w:pPr>
        <w:pStyle w:val="Heading2"/>
        <w:numPr>
          <w:ilvl w:val="2"/>
          <w:numId w:val="11"/>
        </w:numPr>
        <w:tabs>
          <w:tab w:pos="1466" w:val="left" w:leader="none"/>
        </w:tabs>
        <w:spacing w:line="240" w:lineRule="auto" w:before="62" w:after="0"/>
        <w:ind w:left="1466" w:right="0" w:hanging="719"/>
        <w:jc w:val="both"/>
      </w:pPr>
      <w:r>
        <w:rPr/>
        <w:t>Chronic</w:t>
      </w:r>
      <w:r>
        <w:rPr>
          <w:spacing w:val="-1"/>
        </w:rPr>
        <w:t> </w:t>
      </w:r>
      <w:r>
        <w:rPr>
          <w:spacing w:val="-2"/>
        </w:rPr>
        <w:t>inflammation</w:t>
      </w:r>
    </w:p>
    <w:p>
      <w:pPr>
        <w:pStyle w:val="BodyText"/>
        <w:spacing w:line="480" w:lineRule="auto" w:before="271"/>
        <w:ind w:left="747" w:right="845"/>
        <w:jc w:val="both"/>
      </w:pPr>
      <w:r>
        <w:rPr/>
        <w:t>This results when acute inflammation is prolonged and it is due to a progressive shift in the cell types that infiltrate the site of inflammation and which in addition to healing attempts</w:t>
      </w:r>
      <w:r>
        <w:rPr>
          <w:spacing w:val="-2"/>
        </w:rPr>
        <w:t> </w:t>
      </w:r>
      <w:r>
        <w:rPr/>
        <w:t>also</w:t>
      </w:r>
      <w:r>
        <w:rPr>
          <w:spacing w:val="-2"/>
        </w:rPr>
        <w:t> </w:t>
      </w:r>
      <w:r>
        <w:rPr/>
        <w:t>destroy</w:t>
      </w:r>
      <w:r>
        <w:rPr>
          <w:spacing w:val="-6"/>
        </w:rPr>
        <w:t> </w:t>
      </w:r>
      <w:r>
        <w:rPr/>
        <w:t>tissues.</w:t>
      </w:r>
      <w:r>
        <w:rPr>
          <w:spacing w:val="-3"/>
        </w:rPr>
        <w:t> </w:t>
      </w:r>
      <w:r>
        <w:rPr/>
        <w:t>Thus,</w:t>
      </w:r>
      <w:r>
        <w:rPr>
          <w:spacing w:val="-2"/>
        </w:rPr>
        <w:t> </w:t>
      </w:r>
      <w:r>
        <w:rPr/>
        <w:t>persistent</w:t>
      </w:r>
      <w:r>
        <w:rPr>
          <w:spacing w:val="-2"/>
        </w:rPr>
        <w:t> </w:t>
      </w:r>
      <w:r>
        <w:rPr/>
        <w:t>acute</w:t>
      </w:r>
      <w:r>
        <w:rPr>
          <w:spacing w:val="-3"/>
        </w:rPr>
        <w:t> </w:t>
      </w:r>
      <w:r>
        <w:rPr/>
        <w:t>inflammation due</w:t>
      </w:r>
      <w:r>
        <w:rPr>
          <w:spacing w:val="-3"/>
        </w:rPr>
        <w:t> </w:t>
      </w:r>
      <w:r>
        <w:rPr/>
        <w:t>to</w:t>
      </w:r>
      <w:r>
        <w:rPr>
          <w:spacing w:val="-2"/>
        </w:rPr>
        <w:t> </w:t>
      </w:r>
      <w:r>
        <w:rPr/>
        <w:t>non-degradable pathogens, viral infections, persistent foreign bodies or autoimmune reactions causes chronic inflammation (Ferrero-Miliani </w:t>
      </w:r>
      <w:r>
        <w:rPr>
          <w:i/>
        </w:rPr>
        <w:t>et al</w:t>
      </w:r>
      <w:r>
        <w:rPr/>
        <w:t>., 2007). The</w:t>
      </w:r>
      <w:r>
        <w:rPr>
          <w:spacing w:val="-1"/>
        </w:rPr>
        <w:t> </w:t>
      </w:r>
      <w:r>
        <w:rPr/>
        <w:t>major</w:t>
      </w:r>
      <w:r>
        <w:rPr>
          <w:spacing w:val="-1"/>
        </w:rPr>
        <w:t> </w:t>
      </w:r>
      <w:r>
        <w:rPr/>
        <w:t>cells involved in chronic inflammation are mononuclear cells (monocytes, macrophages, lymphocytes, plasma cells and fibroblasts). The primary mediators of the chronic inflammation are the Interferon gamma (IFN-γ) and other cytokines, growth factors, reactive oxygen species and hydrolytic enzymes and the onset is delayed with effect from days, months or years and often results in tissue destruction, fibrosis and necrosis. When inflammation overwhelms the host, systemic inflammatory response syndrome is diagnosed (Tsiotou </w:t>
      </w:r>
      <w:r>
        <w:rPr>
          <w:i/>
        </w:rPr>
        <w:t>et al</w:t>
      </w:r>
      <w:r>
        <w:rPr/>
        <w:t>., 2005).</w:t>
      </w: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2"/>
          <w:numId w:val="11"/>
        </w:numPr>
        <w:tabs>
          <w:tab w:pos="1466" w:val="left" w:leader="none"/>
        </w:tabs>
        <w:spacing w:line="240" w:lineRule="auto" w:before="0" w:after="0"/>
        <w:ind w:left="1466" w:right="0" w:hanging="719"/>
        <w:jc w:val="both"/>
      </w:pPr>
      <w:r>
        <w:rPr/>
        <w:t>Systemic</w:t>
      </w:r>
      <w:r>
        <w:rPr>
          <w:spacing w:val="-3"/>
        </w:rPr>
        <w:t> </w:t>
      </w:r>
      <w:r>
        <w:rPr/>
        <w:t>inflammatory</w:t>
      </w:r>
      <w:r>
        <w:rPr>
          <w:spacing w:val="-1"/>
        </w:rPr>
        <w:t> </w:t>
      </w:r>
      <w:r>
        <w:rPr/>
        <w:t>Immune</w:t>
      </w:r>
      <w:r>
        <w:rPr>
          <w:spacing w:val="-2"/>
        </w:rPr>
        <w:t> </w:t>
      </w:r>
      <w:r>
        <w:rPr/>
        <w:t>response</w:t>
      </w:r>
      <w:r>
        <w:rPr>
          <w:spacing w:val="-2"/>
        </w:rPr>
        <w:t> syndromes</w:t>
      </w:r>
    </w:p>
    <w:p>
      <w:pPr>
        <w:pStyle w:val="BodyText"/>
        <w:spacing w:line="480" w:lineRule="auto" w:before="272"/>
        <w:ind w:left="747" w:right="844"/>
        <w:jc w:val="both"/>
      </w:pPr>
      <w:r>
        <w:rPr/>
        <w:t>In addition to the quantitative changes in the number of leucocytes, septic bacterial infections, peritonitis, hypersensitivity reactions especially of the delayed type etc. are all systemic inflammatory immune response syndromes resulting from chronic inflammation. The increase in the number of white blood cells (leucocytosis) in circulation is commonly of reactive especially to infection; and in most cases is secondary to inflammation. However, neutropenia which is an immunodeficiency condition</w:t>
      </w:r>
      <w:r>
        <w:rPr>
          <w:spacing w:val="53"/>
        </w:rPr>
        <w:t> </w:t>
      </w:r>
      <w:r>
        <w:rPr/>
        <w:t>often</w:t>
      </w:r>
      <w:r>
        <w:rPr>
          <w:spacing w:val="53"/>
        </w:rPr>
        <w:t> </w:t>
      </w:r>
      <w:r>
        <w:rPr/>
        <w:t>seen</w:t>
      </w:r>
      <w:r>
        <w:rPr>
          <w:spacing w:val="53"/>
        </w:rPr>
        <w:t> </w:t>
      </w:r>
      <w:r>
        <w:rPr/>
        <w:t>in</w:t>
      </w:r>
      <w:r>
        <w:rPr>
          <w:spacing w:val="54"/>
        </w:rPr>
        <w:t> </w:t>
      </w:r>
      <w:r>
        <w:rPr/>
        <w:t>septic</w:t>
      </w:r>
      <w:r>
        <w:rPr>
          <w:spacing w:val="53"/>
        </w:rPr>
        <w:t> </w:t>
      </w:r>
      <w:r>
        <w:rPr/>
        <w:t>bacterial</w:t>
      </w:r>
      <w:r>
        <w:rPr>
          <w:spacing w:val="54"/>
        </w:rPr>
        <w:t> </w:t>
      </w:r>
      <w:r>
        <w:rPr/>
        <w:t>infections</w:t>
      </w:r>
      <w:r>
        <w:rPr>
          <w:spacing w:val="58"/>
        </w:rPr>
        <w:t> </w:t>
      </w:r>
      <w:r>
        <w:rPr/>
        <w:t>could</w:t>
      </w:r>
      <w:r>
        <w:rPr>
          <w:spacing w:val="54"/>
        </w:rPr>
        <w:t> </w:t>
      </w:r>
      <w:r>
        <w:rPr/>
        <w:t>be</w:t>
      </w:r>
      <w:r>
        <w:rPr>
          <w:spacing w:val="54"/>
        </w:rPr>
        <w:t> </w:t>
      </w:r>
      <w:r>
        <w:rPr/>
        <w:t>due</w:t>
      </w:r>
      <w:r>
        <w:rPr>
          <w:spacing w:val="53"/>
        </w:rPr>
        <w:t> </w:t>
      </w:r>
      <w:r>
        <w:rPr/>
        <w:t>either</w:t>
      </w:r>
      <w:r>
        <w:rPr>
          <w:spacing w:val="56"/>
        </w:rPr>
        <w:t> </w:t>
      </w:r>
      <w:r>
        <w:rPr/>
        <w:t>to</w:t>
      </w:r>
      <w:r>
        <w:rPr>
          <w:spacing w:val="55"/>
        </w:rPr>
        <w:t> </w:t>
      </w:r>
      <w:r>
        <w:rPr>
          <w:spacing w:val="-2"/>
        </w:rPr>
        <w:t>decreased</w:t>
      </w:r>
    </w:p>
    <w:p>
      <w:pPr>
        <w:spacing w:after="0" w:line="480" w:lineRule="auto"/>
        <w:jc w:val="both"/>
        <w:sectPr>
          <w:pgSz w:w="11910" w:h="16840"/>
          <w:pgMar w:header="0" w:footer="981" w:top="1880" w:bottom="1180" w:left="1240" w:right="560"/>
        </w:sectPr>
      </w:pPr>
    </w:p>
    <w:p>
      <w:pPr>
        <w:pStyle w:val="BodyText"/>
        <w:spacing w:line="480" w:lineRule="auto" w:before="64"/>
        <w:ind w:left="747" w:right="845"/>
        <w:jc w:val="both"/>
      </w:pPr>
      <w:r>
        <w:rPr/>
        <w:t>production</w:t>
      </w:r>
      <w:r>
        <w:rPr>
          <w:spacing w:val="-1"/>
        </w:rPr>
        <w:t> </w:t>
      </w:r>
      <w:r>
        <w:rPr/>
        <w:t>by</w:t>
      </w:r>
      <w:r>
        <w:rPr>
          <w:spacing w:val="-8"/>
        </w:rPr>
        <w:t> </w:t>
      </w:r>
      <w:r>
        <w:rPr/>
        <w:t>the</w:t>
      </w:r>
      <w:r>
        <w:rPr>
          <w:spacing w:val="-2"/>
        </w:rPr>
        <w:t> </w:t>
      </w:r>
      <w:r>
        <w:rPr/>
        <w:t>bone</w:t>
      </w:r>
      <w:r>
        <w:rPr>
          <w:spacing w:val="-2"/>
        </w:rPr>
        <w:t> </w:t>
      </w:r>
      <w:r>
        <w:rPr/>
        <w:t>marrow</w:t>
      </w:r>
      <w:r>
        <w:rPr>
          <w:spacing w:val="-3"/>
        </w:rPr>
        <w:t> </w:t>
      </w:r>
      <w:r>
        <w:rPr/>
        <w:t>or</w:t>
      </w:r>
      <w:r>
        <w:rPr>
          <w:spacing w:val="-2"/>
        </w:rPr>
        <w:t> </w:t>
      </w:r>
      <w:r>
        <w:rPr/>
        <w:t>increased</w:t>
      </w:r>
      <w:r>
        <w:rPr>
          <w:spacing w:val="-1"/>
        </w:rPr>
        <w:t> </w:t>
      </w:r>
      <w:r>
        <w:rPr/>
        <w:t>removal,</w:t>
      </w:r>
      <w:r>
        <w:rPr>
          <w:spacing w:val="-1"/>
        </w:rPr>
        <w:t> </w:t>
      </w:r>
      <w:r>
        <w:rPr/>
        <w:t>being that</w:t>
      </w:r>
      <w:r>
        <w:rPr>
          <w:spacing w:val="-1"/>
        </w:rPr>
        <w:t> </w:t>
      </w:r>
      <w:r>
        <w:rPr/>
        <w:t>neutrophils are</w:t>
      </w:r>
      <w:r>
        <w:rPr>
          <w:spacing w:val="-3"/>
        </w:rPr>
        <w:t> </w:t>
      </w:r>
      <w:r>
        <w:rPr/>
        <w:t>not</w:t>
      </w:r>
      <w:r>
        <w:rPr>
          <w:spacing w:val="-1"/>
        </w:rPr>
        <w:t> </w:t>
      </w:r>
      <w:r>
        <w:rPr/>
        <w:t>able to renew their lysosomes used in digesting microbes and so often die after each activity (Carol, 2007).</w:t>
      </w:r>
    </w:p>
    <w:p>
      <w:pPr>
        <w:pStyle w:val="BodyText"/>
      </w:pPr>
    </w:p>
    <w:p>
      <w:pPr>
        <w:pStyle w:val="BodyText"/>
        <w:spacing w:before="3"/>
      </w:pPr>
    </w:p>
    <w:p>
      <w:pPr>
        <w:pStyle w:val="ListParagraph"/>
        <w:numPr>
          <w:ilvl w:val="3"/>
          <w:numId w:val="11"/>
        </w:numPr>
        <w:tabs>
          <w:tab w:pos="1647" w:val="left" w:leader="none"/>
        </w:tabs>
        <w:spacing w:line="240" w:lineRule="auto" w:before="0" w:after="0"/>
        <w:ind w:left="1647" w:right="0" w:hanging="900"/>
        <w:jc w:val="left"/>
        <w:rPr>
          <w:i/>
          <w:sz w:val="24"/>
        </w:rPr>
      </w:pPr>
      <w:r>
        <w:rPr>
          <w:i/>
          <w:spacing w:val="-2"/>
          <w:sz w:val="24"/>
        </w:rPr>
        <w:t>Sepsis</w:t>
      </w:r>
    </w:p>
    <w:p>
      <w:pPr>
        <w:pStyle w:val="BodyText"/>
        <w:spacing w:before="197"/>
        <w:rPr>
          <w:i/>
        </w:rPr>
      </w:pPr>
    </w:p>
    <w:p>
      <w:pPr>
        <w:pStyle w:val="BodyText"/>
        <w:spacing w:line="482" w:lineRule="auto"/>
        <w:ind w:left="747" w:right="845"/>
        <w:jc w:val="both"/>
      </w:pPr>
      <w:r>
        <w:rPr/>
        <w:t>Most times, septic conditions are variously described as bacteremia or septicaemia (blood poisoning). Severe sepsis denotes organ dysfunction distant from the site of infection (renal, cardiac, respiratory or brain) or hypotension (systolic &lt; 90 mmHg or mean BP &lt; 70) and is characterized by elevated heart rate (tachycardia greater than 90 beats/ min at rest), abnormal body</w:t>
      </w:r>
      <w:r>
        <w:rPr>
          <w:spacing w:val="-5"/>
        </w:rPr>
        <w:t> </w:t>
      </w:r>
      <w:r>
        <w:rPr/>
        <w:t>temperature of either high (&gt;100.4</w:t>
      </w:r>
      <w:r>
        <w:rPr>
          <w:rFonts w:ascii="Calibri" w:hAnsi="Calibri"/>
        </w:rPr>
        <w:t>⁰</w:t>
      </w:r>
      <w:r>
        <w:rPr/>
        <w:t>F or 38</w:t>
      </w:r>
      <w:r>
        <w:rPr>
          <w:rFonts w:ascii="Calibri" w:hAnsi="Calibri"/>
        </w:rPr>
        <w:t>⁰</w:t>
      </w:r>
      <w:r>
        <w:rPr/>
        <w:t>C) or low (&lt;</w:t>
      </w:r>
      <w:r>
        <w:rPr>
          <w:spacing w:val="38"/>
        </w:rPr>
        <w:t> </w:t>
      </w:r>
      <w:r>
        <w:rPr/>
        <w:t>96.8</w:t>
      </w:r>
      <w:r>
        <w:rPr>
          <w:rFonts w:ascii="Calibri" w:hAnsi="Calibri"/>
        </w:rPr>
        <w:t>⁰</w:t>
      </w:r>
      <w:r>
        <w:rPr/>
        <w:t>F</w:t>
      </w:r>
      <w:r>
        <w:rPr>
          <w:spacing w:val="39"/>
        </w:rPr>
        <w:t> </w:t>
      </w:r>
      <w:r>
        <w:rPr/>
        <w:t>or</w:t>
      </w:r>
      <w:r>
        <w:rPr>
          <w:spacing w:val="40"/>
        </w:rPr>
        <w:t> </w:t>
      </w:r>
      <w:r>
        <w:rPr/>
        <w:t>36</w:t>
      </w:r>
      <w:r>
        <w:rPr>
          <w:rFonts w:ascii="Calibri" w:hAnsi="Calibri"/>
        </w:rPr>
        <w:t>⁰</w:t>
      </w:r>
      <w:r>
        <w:rPr/>
        <w:t>C),</w:t>
      </w:r>
      <w:r>
        <w:rPr>
          <w:spacing w:val="42"/>
        </w:rPr>
        <w:t> </w:t>
      </w:r>
      <w:r>
        <w:rPr/>
        <w:t>abnormal</w:t>
      </w:r>
      <w:r>
        <w:rPr>
          <w:spacing w:val="40"/>
        </w:rPr>
        <w:t> </w:t>
      </w:r>
      <w:r>
        <w:rPr/>
        <w:t>white</w:t>
      </w:r>
      <w:r>
        <w:rPr>
          <w:spacing w:val="41"/>
        </w:rPr>
        <w:t> </w:t>
      </w:r>
      <w:r>
        <w:rPr/>
        <w:t>blood</w:t>
      </w:r>
      <w:r>
        <w:rPr>
          <w:spacing w:val="41"/>
        </w:rPr>
        <w:t> </w:t>
      </w:r>
      <w:r>
        <w:rPr/>
        <w:t>cells</w:t>
      </w:r>
      <w:r>
        <w:rPr>
          <w:spacing w:val="42"/>
        </w:rPr>
        <w:t> </w:t>
      </w:r>
      <w:r>
        <w:rPr/>
        <w:t>count</w:t>
      </w:r>
      <w:r>
        <w:rPr>
          <w:spacing w:val="42"/>
        </w:rPr>
        <w:t> </w:t>
      </w:r>
      <w:r>
        <w:rPr/>
        <w:t>of</w:t>
      </w:r>
      <w:r>
        <w:rPr>
          <w:spacing w:val="39"/>
        </w:rPr>
        <w:t> </w:t>
      </w:r>
      <w:r>
        <w:rPr/>
        <w:t>&gt;12000</w:t>
      </w:r>
      <w:r>
        <w:rPr>
          <w:spacing w:val="43"/>
        </w:rPr>
        <w:t> </w:t>
      </w:r>
      <w:r>
        <w:rPr/>
        <w:t>cells/µL</w:t>
      </w:r>
      <w:r>
        <w:rPr>
          <w:spacing w:val="35"/>
        </w:rPr>
        <w:t> </w:t>
      </w:r>
      <w:r>
        <w:rPr/>
        <w:t>(mm</w:t>
      </w:r>
      <w:r>
        <w:rPr>
          <w:vertAlign w:val="superscript"/>
        </w:rPr>
        <w:t>3</w:t>
      </w:r>
      <w:r>
        <w:rPr>
          <w:vertAlign w:val="baseline"/>
        </w:rPr>
        <w:t>)</w:t>
      </w:r>
      <w:r>
        <w:rPr>
          <w:spacing w:val="39"/>
          <w:vertAlign w:val="baseline"/>
        </w:rPr>
        <w:t> </w:t>
      </w:r>
      <w:r>
        <w:rPr>
          <w:spacing w:val="-5"/>
          <w:vertAlign w:val="baseline"/>
        </w:rPr>
        <w:t>or</w:t>
      </w:r>
    </w:p>
    <w:p>
      <w:pPr>
        <w:pStyle w:val="BodyText"/>
        <w:spacing w:line="259" w:lineRule="exact"/>
        <w:ind w:left="747"/>
        <w:jc w:val="both"/>
      </w:pPr>
      <w:r>
        <w:rPr/>
        <w:t>&lt;4000</w:t>
      </w:r>
      <w:r>
        <w:rPr>
          <w:spacing w:val="14"/>
        </w:rPr>
        <w:t> </w:t>
      </w:r>
      <w:r>
        <w:rPr/>
        <w:t>cells/µL</w:t>
      </w:r>
      <w:r>
        <w:rPr>
          <w:spacing w:val="15"/>
        </w:rPr>
        <w:t> </w:t>
      </w:r>
      <w:r>
        <w:rPr/>
        <w:t>or</w:t>
      </w:r>
      <w:r>
        <w:rPr>
          <w:spacing w:val="15"/>
        </w:rPr>
        <w:t> </w:t>
      </w:r>
      <w:r>
        <w:rPr/>
        <w:t>&lt;10%</w:t>
      </w:r>
      <w:r>
        <w:rPr>
          <w:spacing w:val="19"/>
        </w:rPr>
        <w:t> </w:t>
      </w:r>
      <w:r>
        <w:rPr/>
        <w:t>immature</w:t>
      </w:r>
      <w:r>
        <w:rPr>
          <w:spacing w:val="15"/>
        </w:rPr>
        <w:t> </w:t>
      </w:r>
      <w:r>
        <w:rPr/>
        <w:t>(band)</w:t>
      </w:r>
      <w:r>
        <w:rPr>
          <w:spacing w:val="15"/>
        </w:rPr>
        <w:t> </w:t>
      </w:r>
      <w:r>
        <w:rPr/>
        <w:t>forms;</w:t>
      </w:r>
      <w:r>
        <w:rPr>
          <w:spacing w:val="19"/>
        </w:rPr>
        <w:t> </w:t>
      </w:r>
      <w:r>
        <w:rPr/>
        <w:t>and</w:t>
      </w:r>
      <w:r>
        <w:rPr>
          <w:spacing w:val="17"/>
        </w:rPr>
        <w:t> </w:t>
      </w:r>
      <w:r>
        <w:rPr/>
        <w:t>increased</w:t>
      </w:r>
      <w:r>
        <w:rPr>
          <w:spacing w:val="18"/>
        </w:rPr>
        <w:t> </w:t>
      </w:r>
      <w:r>
        <w:rPr/>
        <w:t>respiratory</w:t>
      </w:r>
      <w:r>
        <w:rPr>
          <w:spacing w:val="14"/>
        </w:rPr>
        <w:t> </w:t>
      </w:r>
      <w:r>
        <w:rPr/>
        <w:t>rate</w:t>
      </w:r>
      <w:r>
        <w:rPr>
          <w:spacing w:val="16"/>
        </w:rPr>
        <w:t> </w:t>
      </w:r>
      <w:r>
        <w:rPr/>
        <w:t>of</w:t>
      </w:r>
      <w:r>
        <w:rPr>
          <w:spacing w:val="16"/>
        </w:rPr>
        <w:t> </w:t>
      </w:r>
      <w:r>
        <w:rPr>
          <w:spacing w:val="-5"/>
        </w:rPr>
        <w:t>&gt;20</w:t>
      </w:r>
    </w:p>
    <w:p>
      <w:pPr>
        <w:pStyle w:val="BodyText"/>
        <w:spacing w:before="1"/>
      </w:pPr>
    </w:p>
    <w:p>
      <w:pPr>
        <w:pStyle w:val="BodyText"/>
        <w:spacing w:line="480" w:lineRule="auto"/>
        <w:ind w:left="747" w:right="846"/>
        <w:jc w:val="both"/>
      </w:pPr>
      <w:r>
        <w:rPr/>
        <w:t>breath/min (Pavlidis, 2003). Complications of sepsis include – disturbed blood clotting, injury</w:t>
      </w:r>
      <w:r>
        <w:rPr>
          <w:spacing w:val="-5"/>
        </w:rPr>
        <w:t> </w:t>
      </w:r>
      <w:r>
        <w:rPr/>
        <w:t>to the</w:t>
      </w:r>
      <w:r>
        <w:rPr>
          <w:spacing w:val="-1"/>
        </w:rPr>
        <w:t> </w:t>
      </w:r>
      <w:r>
        <w:rPr/>
        <w:t>walls of</w:t>
      </w:r>
      <w:r>
        <w:rPr>
          <w:spacing w:val="-1"/>
        </w:rPr>
        <w:t> </w:t>
      </w:r>
      <w:r>
        <w:rPr/>
        <w:t>blood vessels or</w:t>
      </w:r>
      <w:r>
        <w:rPr>
          <w:spacing w:val="-1"/>
        </w:rPr>
        <w:t> </w:t>
      </w:r>
      <w:r>
        <w:rPr/>
        <w:t>endothelial system, excessive</w:t>
      </w:r>
      <w:r>
        <w:rPr>
          <w:spacing w:val="-1"/>
        </w:rPr>
        <w:t> </w:t>
      </w:r>
      <w:r>
        <w:rPr/>
        <w:t>factors of</w:t>
      </w:r>
      <w:r>
        <w:rPr>
          <w:spacing w:val="-1"/>
        </w:rPr>
        <w:t> </w:t>
      </w:r>
      <w:r>
        <w:rPr/>
        <w:t>infections such as tumour necrositic factor in blood, excessive cell death (apoptosis) that also contributes to low count of lymphocytes and endothelial cells, excessive activity of neutrophils, lack of blood sugar control and low levels of steroid hormones (Forceville </w:t>
      </w:r>
      <w:r>
        <w:rPr>
          <w:i/>
        </w:rPr>
        <w:t>et al</w:t>
      </w:r>
      <w:r>
        <w:rPr/>
        <w:t>., 2014). Usually it is the chemicals released into the blood to fight the septic infection</w:t>
      </w:r>
      <w:r>
        <w:rPr>
          <w:spacing w:val="-3"/>
        </w:rPr>
        <w:t> </w:t>
      </w:r>
      <w:r>
        <w:rPr/>
        <w:t>that</w:t>
      </w:r>
      <w:r>
        <w:rPr>
          <w:spacing w:val="-3"/>
        </w:rPr>
        <w:t> </w:t>
      </w:r>
      <w:r>
        <w:rPr/>
        <w:t>cause</w:t>
      </w:r>
      <w:r>
        <w:rPr>
          <w:spacing w:val="-4"/>
        </w:rPr>
        <w:t> </w:t>
      </w:r>
      <w:r>
        <w:rPr/>
        <w:t>inflammation</w:t>
      </w:r>
      <w:r>
        <w:rPr>
          <w:spacing w:val="-3"/>
        </w:rPr>
        <w:t> </w:t>
      </w:r>
      <w:r>
        <w:rPr/>
        <w:t>over</w:t>
      </w:r>
      <w:r>
        <w:rPr>
          <w:spacing w:val="-4"/>
        </w:rPr>
        <w:t> </w:t>
      </w:r>
      <w:r>
        <w:rPr/>
        <w:t>the</w:t>
      </w:r>
      <w:r>
        <w:rPr>
          <w:spacing w:val="-4"/>
        </w:rPr>
        <w:t> </w:t>
      </w:r>
      <w:r>
        <w:rPr/>
        <w:t>entire</w:t>
      </w:r>
      <w:r>
        <w:rPr>
          <w:spacing w:val="-3"/>
        </w:rPr>
        <w:t> </w:t>
      </w:r>
      <w:r>
        <w:rPr/>
        <w:t>body. Infection-triggered</w:t>
      </w:r>
      <w:r>
        <w:rPr>
          <w:spacing w:val="-1"/>
        </w:rPr>
        <w:t> </w:t>
      </w:r>
      <w:r>
        <w:rPr/>
        <w:t>inflammation is termed sepsis, with the terms bacteremia being applied specifically for bacterial sepsis, septicaemia, if it is of blood and viremia specifically to viral sepsis. Such inflammatory conditions cause formation of tiny blood clots and which block oxygen from vital organs (Bruce </w:t>
      </w:r>
      <w:r>
        <w:rPr>
          <w:i/>
        </w:rPr>
        <w:t>et al</w:t>
      </w:r>
      <w:r>
        <w:rPr/>
        <w:t>., 2002; Tsiotou </w:t>
      </w:r>
      <w:r>
        <w:rPr>
          <w:i/>
        </w:rPr>
        <w:t>et al</w:t>
      </w:r>
      <w:r>
        <w:rPr/>
        <w:t>., 2005). Vasodilatation, organ dysfunction and tissue damages are serious problems associated with widespread infection-triggered</w:t>
      </w:r>
      <w:r>
        <w:rPr>
          <w:spacing w:val="54"/>
        </w:rPr>
        <w:t> </w:t>
      </w:r>
      <w:r>
        <w:rPr/>
        <w:t>chronic</w:t>
      </w:r>
      <w:r>
        <w:rPr>
          <w:spacing w:val="55"/>
        </w:rPr>
        <w:t> </w:t>
      </w:r>
      <w:r>
        <w:rPr/>
        <w:t>inflammations</w:t>
      </w:r>
      <w:r>
        <w:rPr>
          <w:spacing w:val="57"/>
        </w:rPr>
        <w:t> </w:t>
      </w:r>
      <w:r>
        <w:rPr/>
        <w:t>that</w:t>
      </w:r>
      <w:r>
        <w:rPr>
          <w:spacing w:val="56"/>
        </w:rPr>
        <w:t> </w:t>
      </w:r>
      <w:r>
        <w:rPr/>
        <w:t>often</w:t>
      </w:r>
      <w:r>
        <w:rPr>
          <w:spacing w:val="56"/>
        </w:rPr>
        <w:t> </w:t>
      </w:r>
      <w:r>
        <w:rPr/>
        <w:t>lead</w:t>
      </w:r>
      <w:r>
        <w:rPr>
          <w:spacing w:val="56"/>
        </w:rPr>
        <w:t> </w:t>
      </w:r>
      <w:r>
        <w:rPr/>
        <w:t>to</w:t>
      </w:r>
      <w:r>
        <w:rPr>
          <w:spacing w:val="56"/>
        </w:rPr>
        <w:t> </w:t>
      </w:r>
      <w:r>
        <w:rPr/>
        <w:t>septic</w:t>
      </w:r>
      <w:r>
        <w:rPr>
          <w:spacing w:val="58"/>
        </w:rPr>
        <w:t> </w:t>
      </w:r>
      <w:r>
        <w:rPr/>
        <w:t>shock</w:t>
      </w:r>
      <w:r>
        <w:rPr>
          <w:spacing w:val="55"/>
        </w:rPr>
        <w:t> </w:t>
      </w:r>
      <w:r>
        <w:rPr/>
        <w:t>and</w:t>
      </w:r>
      <w:r>
        <w:rPr>
          <w:spacing w:val="57"/>
        </w:rPr>
        <w:t> </w:t>
      </w:r>
      <w:r>
        <w:rPr>
          <w:spacing w:val="-2"/>
        </w:rPr>
        <w:t>death</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rPr>
          <w:b/>
        </w:rPr>
      </w:pPr>
      <w:r>
        <w:rPr/>
        <w:t>(Habashy </w:t>
      </w:r>
      <w:r>
        <w:rPr>
          <w:i/>
        </w:rPr>
        <w:t>et al</w:t>
      </w:r>
      <w:r>
        <w:rPr/>
        <w:t>., 2005). The risk of sepsis is more in conditions of weakened immune system. Inflammation-associated sepsis affect millions of people around the world and kill more than 1 in 4 people who contract it; thus it is a leading cause of death in the developing countries of the world because of its high mortality rate which accounts for 60-70% death per year (Dellinger, 2003)</w:t>
      </w:r>
      <w:r>
        <w:rPr>
          <w:b/>
        </w:rPr>
        <w:t>.</w:t>
      </w:r>
    </w:p>
    <w:p>
      <w:pPr>
        <w:pStyle w:val="BodyText"/>
        <w:rPr>
          <w:b/>
        </w:rPr>
      </w:pPr>
    </w:p>
    <w:p>
      <w:pPr>
        <w:pStyle w:val="BodyText"/>
        <w:spacing w:before="3"/>
        <w:rPr>
          <w:b/>
        </w:rPr>
      </w:pPr>
    </w:p>
    <w:p>
      <w:pPr>
        <w:pStyle w:val="ListParagraph"/>
        <w:numPr>
          <w:ilvl w:val="3"/>
          <w:numId w:val="11"/>
        </w:numPr>
        <w:tabs>
          <w:tab w:pos="1586" w:val="left" w:leader="none"/>
        </w:tabs>
        <w:spacing w:line="240" w:lineRule="auto" w:before="1" w:after="0"/>
        <w:ind w:left="1586" w:right="0" w:hanging="839"/>
        <w:jc w:val="left"/>
        <w:rPr>
          <w:i/>
          <w:sz w:val="24"/>
        </w:rPr>
      </w:pPr>
      <w:r>
        <w:rPr>
          <w:i/>
          <w:spacing w:val="-2"/>
          <w:sz w:val="24"/>
        </w:rPr>
        <w:t>Peritonitis</w:t>
      </w:r>
    </w:p>
    <w:p>
      <w:pPr>
        <w:pStyle w:val="BodyText"/>
        <w:spacing w:before="197"/>
        <w:rPr>
          <w:i/>
        </w:rPr>
      </w:pPr>
    </w:p>
    <w:p>
      <w:pPr>
        <w:pStyle w:val="BodyText"/>
        <w:spacing w:line="480" w:lineRule="auto"/>
        <w:ind w:left="747" w:right="842"/>
      </w:pPr>
      <w:r>
        <w:rPr/>
        <w:t>Peritonitis</w:t>
      </w:r>
      <w:r>
        <w:rPr>
          <w:spacing w:val="40"/>
        </w:rPr>
        <w:t> </w:t>
      </w:r>
      <w:r>
        <w:rPr/>
        <w:t>is</w:t>
      </w:r>
      <w:r>
        <w:rPr>
          <w:spacing w:val="40"/>
        </w:rPr>
        <w:t> </w:t>
      </w:r>
      <w:r>
        <w:rPr/>
        <w:t>an</w:t>
      </w:r>
      <w:r>
        <w:rPr>
          <w:spacing w:val="40"/>
        </w:rPr>
        <w:t> </w:t>
      </w:r>
      <w:r>
        <w:rPr/>
        <w:t>inflammatory</w:t>
      </w:r>
      <w:r>
        <w:rPr>
          <w:spacing w:val="40"/>
        </w:rPr>
        <w:t> </w:t>
      </w:r>
      <w:r>
        <w:rPr/>
        <w:t>response</w:t>
      </w:r>
      <w:r>
        <w:rPr>
          <w:spacing w:val="40"/>
        </w:rPr>
        <w:t> </w:t>
      </w:r>
      <w:r>
        <w:rPr/>
        <w:t>to</w:t>
      </w:r>
      <w:r>
        <w:rPr>
          <w:spacing w:val="40"/>
        </w:rPr>
        <w:t> </w:t>
      </w:r>
      <w:r>
        <w:rPr/>
        <w:t>peritoneal</w:t>
      </w:r>
      <w:r>
        <w:rPr>
          <w:spacing w:val="40"/>
        </w:rPr>
        <w:t> </w:t>
      </w:r>
      <w:r>
        <w:rPr/>
        <w:t>injury,</w:t>
      </w:r>
      <w:r>
        <w:rPr>
          <w:spacing w:val="40"/>
        </w:rPr>
        <w:t> </w:t>
      </w:r>
      <w:r>
        <w:rPr/>
        <w:t>most</w:t>
      </w:r>
      <w:r>
        <w:rPr>
          <w:spacing w:val="40"/>
        </w:rPr>
        <w:t> </w:t>
      </w:r>
      <w:r>
        <w:rPr/>
        <w:t>often</w:t>
      </w:r>
      <w:r>
        <w:rPr>
          <w:spacing w:val="40"/>
        </w:rPr>
        <w:t> </w:t>
      </w:r>
      <w:r>
        <w:rPr/>
        <w:t>caused</w:t>
      </w:r>
      <w:r>
        <w:rPr>
          <w:spacing w:val="40"/>
        </w:rPr>
        <w:t> </w:t>
      </w:r>
      <w:r>
        <w:rPr/>
        <w:t>by</w:t>
      </w:r>
      <w:r>
        <w:rPr>
          <w:spacing w:val="40"/>
        </w:rPr>
        <w:t> </w:t>
      </w:r>
      <w:r>
        <w:rPr/>
        <w:t>introduction of an infection by foreign bodies like irritants or bacterial organisms into</w:t>
      </w:r>
      <w:r>
        <w:rPr>
          <w:spacing w:val="80"/>
        </w:rPr>
        <w:t> </w:t>
      </w:r>
      <w:r>
        <w:rPr/>
        <w:t>an otherwise sterile peritoneal environment or by a pathological process in the visceral, such as an organ perforation of a hollow viscus or other abdominal pathology; and most times,</w:t>
      </w:r>
      <w:r>
        <w:rPr>
          <w:spacing w:val="40"/>
        </w:rPr>
        <w:t> </w:t>
      </w:r>
      <w:r>
        <w:rPr/>
        <w:t>it</w:t>
      </w:r>
      <w:r>
        <w:rPr>
          <w:spacing w:val="40"/>
        </w:rPr>
        <w:t> </w:t>
      </w:r>
      <w:r>
        <w:rPr/>
        <w:t>is</w:t>
      </w:r>
      <w:r>
        <w:rPr>
          <w:spacing w:val="40"/>
        </w:rPr>
        <w:t> </w:t>
      </w:r>
      <w:r>
        <w:rPr/>
        <w:t>associated</w:t>
      </w:r>
      <w:r>
        <w:rPr>
          <w:spacing w:val="40"/>
        </w:rPr>
        <w:t> </w:t>
      </w:r>
      <w:r>
        <w:rPr/>
        <w:t>with</w:t>
      </w:r>
      <w:r>
        <w:rPr>
          <w:spacing w:val="40"/>
        </w:rPr>
        <w:t> </w:t>
      </w:r>
      <w:r>
        <w:rPr/>
        <w:t>severe</w:t>
      </w:r>
      <w:r>
        <w:rPr>
          <w:spacing w:val="40"/>
        </w:rPr>
        <w:t> </w:t>
      </w:r>
      <w:r>
        <w:rPr/>
        <w:t>septic</w:t>
      </w:r>
      <w:r>
        <w:rPr>
          <w:spacing w:val="40"/>
        </w:rPr>
        <w:t> </w:t>
      </w:r>
      <w:r>
        <w:rPr/>
        <w:t>shock</w:t>
      </w:r>
      <w:r>
        <w:rPr>
          <w:spacing w:val="40"/>
        </w:rPr>
        <w:t> </w:t>
      </w:r>
      <w:r>
        <w:rPr/>
        <w:t>(Bruce</w:t>
      </w:r>
      <w:r>
        <w:rPr>
          <w:spacing w:val="40"/>
        </w:rPr>
        <w:t> </w:t>
      </w:r>
      <w:r>
        <w:rPr>
          <w:i/>
        </w:rPr>
        <w:t>et</w:t>
      </w:r>
      <w:r>
        <w:rPr>
          <w:i/>
          <w:spacing w:val="40"/>
        </w:rPr>
        <w:t> </w:t>
      </w:r>
      <w:r>
        <w:rPr>
          <w:i/>
        </w:rPr>
        <w:t>al</w:t>
      </w:r>
      <w:r>
        <w:rPr/>
        <w:t>.,</w:t>
      </w:r>
      <w:r>
        <w:rPr>
          <w:spacing w:val="40"/>
        </w:rPr>
        <w:t> </w:t>
      </w:r>
      <w:r>
        <w:rPr/>
        <w:t>2002).</w:t>
      </w:r>
      <w:r>
        <w:rPr>
          <w:spacing w:val="40"/>
        </w:rPr>
        <w:t> </w:t>
      </w:r>
      <w:r>
        <w:rPr/>
        <w:t>Injury</w:t>
      </w:r>
      <w:r>
        <w:rPr>
          <w:spacing w:val="40"/>
        </w:rPr>
        <w:t> </w:t>
      </w:r>
      <w:r>
        <w:rPr/>
        <w:t>to</w:t>
      </w:r>
      <w:r>
        <w:rPr>
          <w:spacing w:val="40"/>
        </w:rPr>
        <w:t> </w:t>
      </w:r>
      <w:r>
        <w:rPr/>
        <w:t>the</w:t>
      </w:r>
      <w:r>
        <w:rPr>
          <w:spacing w:val="40"/>
        </w:rPr>
        <w:t> </w:t>
      </w:r>
      <w:r>
        <w:rPr/>
        <w:t>peritoneum</w:t>
      </w:r>
      <w:r>
        <w:rPr>
          <w:spacing w:val="80"/>
        </w:rPr>
        <w:t> </w:t>
      </w:r>
      <w:r>
        <w:rPr/>
        <w:t>could</w:t>
      </w:r>
      <w:r>
        <w:rPr>
          <w:spacing w:val="80"/>
        </w:rPr>
        <w:t> </w:t>
      </w:r>
      <w:r>
        <w:rPr/>
        <w:t>result</w:t>
      </w:r>
      <w:r>
        <w:rPr>
          <w:spacing w:val="80"/>
        </w:rPr>
        <w:t> </w:t>
      </w:r>
      <w:r>
        <w:rPr/>
        <w:t>from</w:t>
      </w:r>
      <w:r>
        <w:rPr>
          <w:spacing w:val="80"/>
        </w:rPr>
        <w:t> </w:t>
      </w:r>
      <w:r>
        <w:rPr/>
        <w:t>an</w:t>
      </w:r>
      <w:r>
        <w:rPr>
          <w:spacing w:val="80"/>
        </w:rPr>
        <w:t> </w:t>
      </w:r>
      <w:r>
        <w:rPr/>
        <w:t>influx</w:t>
      </w:r>
      <w:r>
        <w:rPr>
          <w:spacing w:val="80"/>
        </w:rPr>
        <w:t> </w:t>
      </w:r>
      <w:r>
        <w:rPr/>
        <w:t>of</w:t>
      </w:r>
      <w:r>
        <w:rPr>
          <w:spacing w:val="80"/>
        </w:rPr>
        <w:t> </w:t>
      </w:r>
      <w:r>
        <w:rPr/>
        <w:t>protein</w:t>
      </w:r>
      <w:r>
        <w:rPr>
          <w:spacing w:val="80"/>
        </w:rPr>
        <w:t> </w:t>
      </w:r>
      <w:r>
        <w:rPr/>
        <w:t>rich</w:t>
      </w:r>
      <w:r>
        <w:rPr>
          <w:spacing w:val="80"/>
        </w:rPr>
        <w:t> </w:t>
      </w:r>
      <w:r>
        <w:rPr/>
        <w:t>fluid,</w:t>
      </w:r>
      <w:r>
        <w:rPr>
          <w:spacing w:val="80"/>
        </w:rPr>
        <w:t> </w:t>
      </w:r>
      <w:r>
        <w:rPr/>
        <w:t>activation</w:t>
      </w:r>
      <w:r>
        <w:rPr>
          <w:spacing w:val="80"/>
        </w:rPr>
        <w:t> </w:t>
      </w:r>
      <w:r>
        <w:rPr/>
        <w:t>of</w:t>
      </w:r>
      <w:r>
        <w:rPr>
          <w:spacing w:val="80"/>
        </w:rPr>
        <w:t> </w:t>
      </w:r>
      <w:r>
        <w:rPr/>
        <w:t>the complement</w:t>
      </w:r>
      <w:r>
        <w:rPr>
          <w:spacing w:val="80"/>
        </w:rPr>
        <w:t> </w:t>
      </w:r>
      <w:r>
        <w:rPr/>
        <w:t>cascade,</w:t>
      </w:r>
      <w:r>
        <w:rPr>
          <w:spacing w:val="80"/>
        </w:rPr>
        <w:t> </w:t>
      </w:r>
      <w:r>
        <w:rPr/>
        <w:t>up-regulation</w:t>
      </w:r>
      <w:r>
        <w:rPr>
          <w:spacing w:val="80"/>
        </w:rPr>
        <w:t> </w:t>
      </w:r>
      <w:r>
        <w:rPr/>
        <w:t>of</w:t>
      </w:r>
      <w:r>
        <w:rPr>
          <w:spacing w:val="80"/>
        </w:rPr>
        <w:t> </w:t>
      </w:r>
      <w:r>
        <w:rPr/>
        <w:t>peritoneal</w:t>
      </w:r>
      <w:r>
        <w:rPr>
          <w:spacing w:val="80"/>
        </w:rPr>
        <w:t> </w:t>
      </w:r>
      <w:r>
        <w:rPr/>
        <w:t>mesothelial</w:t>
      </w:r>
      <w:r>
        <w:rPr>
          <w:spacing w:val="80"/>
        </w:rPr>
        <w:t> </w:t>
      </w:r>
      <w:r>
        <w:rPr/>
        <w:t>cell</w:t>
      </w:r>
      <w:r>
        <w:rPr>
          <w:spacing w:val="80"/>
        </w:rPr>
        <w:t> </w:t>
      </w:r>
      <w:r>
        <w:rPr/>
        <w:t>activity</w:t>
      </w:r>
      <w:r>
        <w:rPr>
          <w:spacing w:val="80"/>
        </w:rPr>
        <w:t> </w:t>
      </w:r>
      <w:r>
        <w:rPr/>
        <w:t>and/or invasion of the peritoneum with polymorphonuclear neutrophils and macrophages in an attempt</w:t>
      </w:r>
      <w:r>
        <w:rPr>
          <w:spacing w:val="33"/>
        </w:rPr>
        <w:t> </w:t>
      </w:r>
      <w:r>
        <w:rPr/>
        <w:t>to</w:t>
      </w:r>
      <w:r>
        <w:rPr>
          <w:spacing w:val="33"/>
        </w:rPr>
        <w:t> </w:t>
      </w:r>
      <w:r>
        <w:rPr/>
        <w:t>stimulate</w:t>
      </w:r>
      <w:r>
        <w:rPr>
          <w:spacing w:val="32"/>
        </w:rPr>
        <w:t> </w:t>
      </w:r>
      <w:r>
        <w:rPr/>
        <w:t>cytokine</w:t>
      </w:r>
      <w:r>
        <w:rPr>
          <w:spacing w:val="32"/>
        </w:rPr>
        <w:t> </w:t>
      </w:r>
      <w:r>
        <w:rPr/>
        <w:t>and</w:t>
      </w:r>
      <w:r>
        <w:rPr>
          <w:spacing w:val="32"/>
        </w:rPr>
        <w:t> </w:t>
      </w:r>
      <w:r>
        <w:rPr/>
        <w:t>chemokine</w:t>
      </w:r>
      <w:r>
        <w:rPr>
          <w:spacing w:val="31"/>
        </w:rPr>
        <w:t> </w:t>
      </w:r>
      <w:r>
        <w:rPr/>
        <w:t>production</w:t>
      </w:r>
      <w:r>
        <w:rPr>
          <w:spacing w:val="39"/>
        </w:rPr>
        <w:t> </w:t>
      </w:r>
      <w:r>
        <w:rPr/>
        <w:t>(Gupta</w:t>
      </w:r>
      <w:r>
        <w:rPr>
          <w:spacing w:val="32"/>
        </w:rPr>
        <w:t> </w:t>
      </w:r>
      <w:r>
        <w:rPr/>
        <w:t>and</w:t>
      </w:r>
      <w:r>
        <w:rPr>
          <w:spacing w:val="34"/>
        </w:rPr>
        <w:t> </w:t>
      </w:r>
      <w:r>
        <w:rPr/>
        <w:t>Kaushik,</w:t>
      </w:r>
      <w:r>
        <w:rPr>
          <w:spacing w:val="32"/>
        </w:rPr>
        <w:t> </w:t>
      </w:r>
      <w:r>
        <w:rPr/>
        <w:t>2006). Peritonitis</w:t>
      </w:r>
      <w:r>
        <w:rPr>
          <w:spacing w:val="80"/>
        </w:rPr>
        <w:t> </w:t>
      </w:r>
      <w:r>
        <w:rPr/>
        <w:t>is</w:t>
      </w:r>
      <w:r>
        <w:rPr>
          <w:spacing w:val="80"/>
        </w:rPr>
        <w:t> </w:t>
      </w:r>
      <w:r>
        <w:rPr/>
        <w:t>traditionally</w:t>
      </w:r>
      <w:r>
        <w:rPr>
          <w:spacing w:val="80"/>
        </w:rPr>
        <w:t> </w:t>
      </w:r>
      <w:r>
        <w:rPr/>
        <w:t>classified</w:t>
      </w:r>
      <w:r>
        <w:rPr>
          <w:spacing w:val="80"/>
        </w:rPr>
        <w:t> </w:t>
      </w:r>
      <w:r>
        <w:rPr/>
        <w:t>as</w:t>
      </w:r>
      <w:r>
        <w:rPr>
          <w:spacing w:val="80"/>
        </w:rPr>
        <w:t> </w:t>
      </w:r>
      <w:r>
        <w:rPr/>
        <w:t>primary,</w:t>
      </w:r>
      <w:r>
        <w:rPr>
          <w:spacing w:val="80"/>
        </w:rPr>
        <w:t> </w:t>
      </w:r>
      <w:r>
        <w:rPr/>
        <w:t>secondary</w:t>
      </w:r>
      <w:r>
        <w:rPr>
          <w:spacing w:val="80"/>
        </w:rPr>
        <w:t> </w:t>
      </w:r>
      <w:r>
        <w:rPr/>
        <w:t>and</w:t>
      </w:r>
      <w:r>
        <w:rPr>
          <w:spacing w:val="80"/>
        </w:rPr>
        <w:t> </w:t>
      </w:r>
      <w:r>
        <w:rPr/>
        <w:t>tertiary.</w:t>
      </w:r>
      <w:r>
        <w:rPr>
          <w:spacing w:val="80"/>
        </w:rPr>
        <w:t> </w:t>
      </w:r>
      <w:r>
        <w:rPr/>
        <w:t>Primary peritonitis</w:t>
      </w:r>
      <w:r>
        <w:rPr>
          <w:spacing w:val="80"/>
        </w:rPr>
        <w:t> </w:t>
      </w:r>
      <w:r>
        <w:rPr/>
        <w:t>results</w:t>
      </w:r>
      <w:r>
        <w:rPr>
          <w:spacing w:val="80"/>
        </w:rPr>
        <w:t> </w:t>
      </w:r>
      <w:r>
        <w:rPr/>
        <w:t>from</w:t>
      </w:r>
      <w:r>
        <w:rPr>
          <w:spacing w:val="80"/>
        </w:rPr>
        <w:t> </w:t>
      </w:r>
      <w:r>
        <w:rPr/>
        <w:t>spontaneous</w:t>
      </w:r>
      <w:r>
        <w:rPr>
          <w:spacing w:val="80"/>
        </w:rPr>
        <w:t> </w:t>
      </w:r>
      <w:r>
        <w:rPr/>
        <w:t>bacterial</w:t>
      </w:r>
      <w:r>
        <w:rPr>
          <w:spacing w:val="80"/>
        </w:rPr>
        <w:t> </w:t>
      </w:r>
      <w:r>
        <w:rPr/>
        <w:t>infection</w:t>
      </w:r>
      <w:r>
        <w:rPr>
          <w:spacing w:val="80"/>
        </w:rPr>
        <w:t> </w:t>
      </w:r>
      <w:r>
        <w:rPr/>
        <w:t>of</w:t>
      </w:r>
      <w:r>
        <w:rPr>
          <w:spacing w:val="80"/>
        </w:rPr>
        <w:t> </w:t>
      </w:r>
      <w:r>
        <w:rPr/>
        <w:t>the</w:t>
      </w:r>
      <w:r>
        <w:rPr>
          <w:spacing w:val="80"/>
        </w:rPr>
        <w:t> </w:t>
      </w:r>
      <w:r>
        <w:rPr/>
        <w:t>peritoneum,</w:t>
      </w:r>
      <w:r>
        <w:rPr>
          <w:spacing w:val="80"/>
        </w:rPr>
        <w:t> </w:t>
      </w:r>
      <w:r>
        <w:rPr/>
        <w:t>while secondary</w:t>
      </w:r>
      <w:r>
        <w:rPr>
          <w:spacing w:val="69"/>
        </w:rPr>
        <w:t> </w:t>
      </w:r>
      <w:r>
        <w:rPr/>
        <w:t>peritonitis</w:t>
      </w:r>
      <w:r>
        <w:rPr>
          <w:spacing w:val="74"/>
        </w:rPr>
        <w:t> </w:t>
      </w:r>
      <w:r>
        <w:rPr/>
        <w:t>relates</w:t>
      </w:r>
      <w:r>
        <w:rPr>
          <w:spacing w:val="72"/>
        </w:rPr>
        <w:t> </w:t>
      </w:r>
      <w:r>
        <w:rPr/>
        <w:t>to</w:t>
      </w:r>
      <w:r>
        <w:rPr>
          <w:spacing w:val="72"/>
        </w:rPr>
        <w:t> </w:t>
      </w:r>
      <w:r>
        <w:rPr/>
        <w:t>a</w:t>
      </w:r>
      <w:r>
        <w:rPr>
          <w:spacing w:val="73"/>
        </w:rPr>
        <w:t> </w:t>
      </w:r>
      <w:r>
        <w:rPr/>
        <w:t>pathologic</w:t>
      </w:r>
      <w:r>
        <w:rPr>
          <w:spacing w:val="71"/>
        </w:rPr>
        <w:t> </w:t>
      </w:r>
      <w:r>
        <w:rPr/>
        <w:t>process</w:t>
      </w:r>
      <w:r>
        <w:rPr>
          <w:spacing w:val="72"/>
        </w:rPr>
        <w:t> </w:t>
      </w:r>
      <w:r>
        <w:rPr/>
        <w:t>in</w:t>
      </w:r>
      <w:r>
        <w:rPr>
          <w:spacing w:val="74"/>
        </w:rPr>
        <w:t> </w:t>
      </w:r>
      <w:r>
        <w:rPr/>
        <w:t>a</w:t>
      </w:r>
      <w:r>
        <w:rPr>
          <w:spacing w:val="71"/>
        </w:rPr>
        <w:t> </w:t>
      </w:r>
      <w:r>
        <w:rPr/>
        <w:t>visceral</w:t>
      </w:r>
      <w:r>
        <w:rPr>
          <w:spacing w:val="72"/>
        </w:rPr>
        <w:t> </w:t>
      </w:r>
      <w:r>
        <w:rPr/>
        <w:t>organ,</w:t>
      </w:r>
      <w:r>
        <w:rPr>
          <w:spacing w:val="74"/>
        </w:rPr>
        <w:t> </w:t>
      </w:r>
      <w:r>
        <w:rPr/>
        <w:t>such</w:t>
      </w:r>
      <w:r>
        <w:rPr>
          <w:spacing w:val="73"/>
        </w:rPr>
        <w:t> </w:t>
      </w:r>
      <w:r>
        <w:rPr/>
        <w:t>as perforated</w:t>
      </w:r>
      <w:r>
        <w:rPr>
          <w:spacing w:val="80"/>
        </w:rPr>
        <w:t> </w:t>
      </w:r>
      <w:r>
        <w:rPr/>
        <w:t>appendicitis,</w:t>
      </w:r>
      <w:r>
        <w:rPr>
          <w:spacing w:val="80"/>
        </w:rPr>
        <w:t> </w:t>
      </w:r>
      <w:r>
        <w:rPr/>
        <w:t>gastric</w:t>
      </w:r>
      <w:r>
        <w:rPr>
          <w:spacing w:val="80"/>
        </w:rPr>
        <w:t> </w:t>
      </w:r>
      <w:r>
        <w:rPr/>
        <w:t>or</w:t>
      </w:r>
      <w:r>
        <w:rPr>
          <w:spacing w:val="80"/>
        </w:rPr>
        <w:t> </w:t>
      </w:r>
      <w:r>
        <w:rPr/>
        <w:t>duodenal</w:t>
      </w:r>
      <w:r>
        <w:rPr>
          <w:spacing w:val="80"/>
        </w:rPr>
        <w:t> </w:t>
      </w:r>
      <w:r>
        <w:rPr/>
        <w:t>ulcer</w:t>
      </w:r>
      <w:r>
        <w:rPr>
          <w:spacing w:val="80"/>
        </w:rPr>
        <w:t> </w:t>
      </w:r>
      <w:r>
        <w:rPr/>
        <w:t>and</w:t>
      </w:r>
      <w:r>
        <w:rPr>
          <w:spacing w:val="80"/>
        </w:rPr>
        <w:t> </w:t>
      </w:r>
      <w:r>
        <w:rPr/>
        <w:t>so</w:t>
      </w:r>
      <w:r>
        <w:rPr>
          <w:spacing w:val="80"/>
        </w:rPr>
        <w:t> </w:t>
      </w:r>
      <w:r>
        <w:rPr/>
        <w:t>forth</w:t>
      </w:r>
      <w:r>
        <w:rPr>
          <w:spacing w:val="80"/>
        </w:rPr>
        <w:t> </w:t>
      </w:r>
      <w:r>
        <w:rPr/>
        <w:t>whereas</w:t>
      </w:r>
      <w:r>
        <w:rPr>
          <w:spacing w:val="80"/>
        </w:rPr>
        <w:t> </w:t>
      </w:r>
      <w:r>
        <w:rPr/>
        <w:t>tertiary peritonitis</w:t>
      </w:r>
      <w:r>
        <w:rPr>
          <w:spacing w:val="40"/>
        </w:rPr>
        <w:t> </w:t>
      </w:r>
      <w:r>
        <w:rPr/>
        <w:t>is</w:t>
      </w:r>
      <w:r>
        <w:rPr>
          <w:spacing w:val="40"/>
        </w:rPr>
        <w:t> </w:t>
      </w:r>
      <w:r>
        <w:rPr/>
        <w:t>a</w:t>
      </w:r>
      <w:r>
        <w:rPr>
          <w:spacing w:val="40"/>
        </w:rPr>
        <w:t> </w:t>
      </w:r>
      <w:r>
        <w:rPr/>
        <w:t>secondary</w:t>
      </w:r>
      <w:r>
        <w:rPr>
          <w:spacing w:val="40"/>
        </w:rPr>
        <w:t> </w:t>
      </w:r>
      <w:r>
        <w:rPr/>
        <w:t>peritonitis</w:t>
      </w:r>
      <w:r>
        <w:rPr>
          <w:spacing w:val="40"/>
        </w:rPr>
        <w:t> </w:t>
      </w:r>
      <w:r>
        <w:rPr/>
        <w:t>that</w:t>
      </w:r>
      <w:r>
        <w:rPr>
          <w:spacing w:val="40"/>
        </w:rPr>
        <w:t> </w:t>
      </w:r>
      <w:r>
        <w:rPr/>
        <w:t>fails</w:t>
      </w:r>
      <w:r>
        <w:rPr>
          <w:spacing w:val="40"/>
        </w:rPr>
        <w:t> </w:t>
      </w:r>
      <w:r>
        <w:rPr/>
        <w:t>to</w:t>
      </w:r>
      <w:r>
        <w:rPr>
          <w:spacing w:val="40"/>
        </w:rPr>
        <w:t> </w:t>
      </w:r>
      <w:r>
        <w:rPr/>
        <w:t>resolve</w:t>
      </w:r>
      <w:r>
        <w:rPr>
          <w:spacing w:val="40"/>
        </w:rPr>
        <w:t> </w:t>
      </w:r>
      <w:r>
        <w:rPr/>
        <w:t>despite</w:t>
      </w:r>
      <w:r>
        <w:rPr>
          <w:spacing w:val="40"/>
        </w:rPr>
        <w:t> </w:t>
      </w:r>
      <w:r>
        <w:rPr/>
        <w:t>what</w:t>
      </w:r>
      <w:r>
        <w:rPr>
          <w:spacing w:val="40"/>
        </w:rPr>
        <w:t> </w:t>
      </w:r>
      <w:r>
        <w:rPr/>
        <w:t>appears</w:t>
      </w:r>
      <w:r>
        <w:rPr>
          <w:spacing w:val="40"/>
        </w:rPr>
        <w:t> </w:t>
      </w:r>
      <w:r>
        <w:rPr/>
        <w:t>to</w:t>
      </w:r>
      <w:r>
        <w:rPr>
          <w:spacing w:val="40"/>
        </w:rPr>
        <w:t> </w:t>
      </w:r>
      <w:r>
        <w:rPr/>
        <w:t>be appropriate measures and it often results to multi-organ failure (Forceville </w:t>
      </w:r>
      <w:r>
        <w:rPr>
          <w:i/>
        </w:rPr>
        <w:t>et al</w:t>
      </w:r>
      <w:r>
        <w:rPr/>
        <w:t>., 2014). The</w:t>
      </w:r>
      <w:r>
        <w:rPr>
          <w:spacing w:val="40"/>
        </w:rPr>
        <w:t> </w:t>
      </w:r>
      <w:r>
        <w:rPr/>
        <w:t>form</w:t>
      </w:r>
      <w:r>
        <w:rPr>
          <w:spacing w:val="40"/>
        </w:rPr>
        <w:t> </w:t>
      </w:r>
      <w:r>
        <w:rPr/>
        <w:t>most</w:t>
      </w:r>
      <w:r>
        <w:rPr>
          <w:spacing w:val="40"/>
        </w:rPr>
        <w:t> </w:t>
      </w:r>
      <w:r>
        <w:rPr/>
        <w:t>commonly</w:t>
      </w:r>
      <w:r>
        <w:rPr>
          <w:spacing w:val="40"/>
        </w:rPr>
        <w:t> </w:t>
      </w:r>
      <w:r>
        <w:rPr/>
        <w:t>encountered</w:t>
      </w:r>
      <w:r>
        <w:rPr>
          <w:spacing w:val="40"/>
        </w:rPr>
        <w:t> </w:t>
      </w:r>
      <w:r>
        <w:rPr/>
        <w:t>is</w:t>
      </w:r>
      <w:r>
        <w:rPr>
          <w:spacing w:val="40"/>
        </w:rPr>
        <w:t> </w:t>
      </w:r>
      <w:r>
        <w:rPr/>
        <w:t>the</w:t>
      </w:r>
      <w:r>
        <w:rPr>
          <w:spacing w:val="40"/>
        </w:rPr>
        <w:t> </w:t>
      </w:r>
      <w:r>
        <w:rPr/>
        <w:t>secondary</w:t>
      </w:r>
      <w:r>
        <w:rPr>
          <w:spacing w:val="40"/>
        </w:rPr>
        <w:t> </w:t>
      </w:r>
      <w:r>
        <w:rPr/>
        <w:t>peritonitis</w:t>
      </w:r>
      <w:r>
        <w:rPr>
          <w:spacing w:val="40"/>
        </w:rPr>
        <w:t> </w:t>
      </w:r>
      <w:r>
        <w:rPr/>
        <w:t>resulting</w:t>
      </w:r>
      <w:r>
        <w:rPr>
          <w:spacing w:val="40"/>
        </w:rPr>
        <w:t> </w:t>
      </w:r>
      <w:r>
        <w:rPr/>
        <w:t>from</w:t>
      </w:r>
      <w:r>
        <w:rPr>
          <w:spacing w:val="40"/>
        </w:rPr>
        <w:t> </w:t>
      </w:r>
      <w:r>
        <w:rPr/>
        <w:t>a pathological</w:t>
      </w:r>
      <w:r>
        <w:rPr>
          <w:spacing w:val="36"/>
        </w:rPr>
        <w:t> </w:t>
      </w:r>
      <w:r>
        <w:rPr/>
        <w:t>process</w:t>
      </w:r>
      <w:r>
        <w:rPr>
          <w:spacing w:val="36"/>
        </w:rPr>
        <w:t> </w:t>
      </w:r>
      <w:r>
        <w:rPr/>
        <w:t>in</w:t>
      </w:r>
      <w:r>
        <w:rPr>
          <w:spacing w:val="39"/>
        </w:rPr>
        <w:t> </w:t>
      </w:r>
      <w:r>
        <w:rPr/>
        <w:t>the</w:t>
      </w:r>
      <w:r>
        <w:rPr>
          <w:spacing w:val="35"/>
        </w:rPr>
        <w:t> </w:t>
      </w:r>
      <w:r>
        <w:rPr/>
        <w:t>visceral,</w:t>
      </w:r>
      <w:r>
        <w:rPr>
          <w:spacing w:val="36"/>
        </w:rPr>
        <w:t> </w:t>
      </w:r>
      <w:r>
        <w:rPr/>
        <w:t>such</w:t>
      </w:r>
      <w:r>
        <w:rPr>
          <w:spacing w:val="37"/>
        </w:rPr>
        <w:t> </w:t>
      </w:r>
      <w:r>
        <w:rPr/>
        <w:t>as</w:t>
      </w:r>
      <w:r>
        <w:rPr>
          <w:spacing w:val="36"/>
        </w:rPr>
        <w:t> </w:t>
      </w:r>
      <w:r>
        <w:rPr/>
        <w:t>organ</w:t>
      </w:r>
      <w:r>
        <w:rPr>
          <w:spacing w:val="38"/>
        </w:rPr>
        <w:t> </w:t>
      </w:r>
      <w:r>
        <w:rPr/>
        <w:t>perforation</w:t>
      </w:r>
      <w:r>
        <w:rPr>
          <w:spacing w:val="36"/>
        </w:rPr>
        <w:t> </w:t>
      </w:r>
      <w:r>
        <w:rPr/>
        <w:t>of</w:t>
      </w:r>
      <w:r>
        <w:rPr>
          <w:spacing w:val="37"/>
        </w:rPr>
        <w:t> </w:t>
      </w:r>
      <w:r>
        <w:rPr/>
        <w:t>a</w:t>
      </w:r>
      <w:r>
        <w:rPr>
          <w:spacing w:val="35"/>
        </w:rPr>
        <w:t> </w:t>
      </w:r>
      <w:r>
        <w:rPr/>
        <w:t>hollow</w:t>
      </w:r>
      <w:r>
        <w:rPr>
          <w:spacing w:val="36"/>
        </w:rPr>
        <w:t> </w:t>
      </w:r>
      <w:r>
        <w:rPr/>
        <w:t>viscus</w:t>
      </w:r>
      <w:r>
        <w:rPr>
          <w:spacing w:val="36"/>
        </w:rPr>
        <w:t> </w:t>
      </w:r>
      <w:r>
        <w:rPr/>
        <w:t>or other</w:t>
      </w:r>
      <w:r>
        <w:rPr>
          <w:spacing w:val="11"/>
        </w:rPr>
        <w:t> </w:t>
      </w:r>
      <w:r>
        <w:rPr/>
        <w:t>abdominal</w:t>
      </w:r>
      <w:r>
        <w:rPr>
          <w:spacing w:val="14"/>
        </w:rPr>
        <w:t> </w:t>
      </w:r>
      <w:r>
        <w:rPr/>
        <w:t>pathology.</w:t>
      </w:r>
      <w:r>
        <w:rPr>
          <w:spacing w:val="14"/>
        </w:rPr>
        <w:t> </w:t>
      </w:r>
      <w:r>
        <w:rPr/>
        <w:t>The</w:t>
      </w:r>
      <w:r>
        <w:rPr>
          <w:spacing w:val="13"/>
        </w:rPr>
        <w:t> </w:t>
      </w:r>
      <w:r>
        <w:rPr/>
        <w:t>pathogenesis</w:t>
      </w:r>
      <w:r>
        <w:rPr>
          <w:spacing w:val="14"/>
        </w:rPr>
        <w:t> </w:t>
      </w:r>
      <w:r>
        <w:rPr/>
        <w:t>of</w:t>
      </w:r>
      <w:r>
        <w:rPr>
          <w:spacing w:val="15"/>
        </w:rPr>
        <w:t> </w:t>
      </w:r>
      <w:r>
        <w:rPr/>
        <w:t>intra-abdominal</w:t>
      </w:r>
      <w:r>
        <w:rPr>
          <w:spacing w:val="14"/>
        </w:rPr>
        <w:t> </w:t>
      </w:r>
      <w:r>
        <w:rPr/>
        <w:t>infections</w:t>
      </w:r>
      <w:r>
        <w:rPr>
          <w:spacing w:val="14"/>
        </w:rPr>
        <w:t> </w:t>
      </w:r>
      <w:r>
        <w:rPr/>
        <w:t>stems</w:t>
      </w:r>
      <w:r>
        <w:rPr>
          <w:spacing w:val="14"/>
        </w:rPr>
        <w:t> </w:t>
      </w:r>
      <w:r>
        <w:rPr>
          <w:spacing w:val="-4"/>
        </w:rPr>
        <w:t>from</w:t>
      </w:r>
    </w:p>
    <w:p>
      <w:pPr>
        <w:spacing w:after="0" w:line="480" w:lineRule="auto"/>
        <w:sectPr>
          <w:pgSz w:w="11910" w:h="16840"/>
          <w:pgMar w:header="0" w:footer="981" w:top="1320" w:bottom="1180" w:left="1240" w:right="560"/>
        </w:sectPr>
      </w:pPr>
    </w:p>
    <w:p>
      <w:pPr>
        <w:pStyle w:val="BodyText"/>
        <w:spacing w:line="480" w:lineRule="auto" w:before="64"/>
        <w:ind w:left="747" w:right="847"/>
        <w:jc w:val="both"/>
      </w:pPr>
      <w:r>
        <w:rPr/>
        <w:t>bacterial contamination, the stimulus of which leads to an activation response that triggers the mesothelial cells to react and intersperse among peritoneal macrophages, endothelial cells and extra- and intra- vascular leukocytes (Pavlidis, 2003). The local consequences of this activation are the transmigration of granulocytes from peritoneal capillaries to the mesothelial surface to cause dilatation of peritoneal blood vessels for enhanced permeability, peritoneal edema and formation of protein-rich peritoneal exudates. The acute inflammatory process within the abdomen results in sympathetic activation, and suppression of intestinal peristalsis, or ileus, impaired fluid absorption through the walls of the bowel, and sequestration of tissue fluid within the gut lumen associated with hypovolemia. Reduced intestinal peristalsis promotes microbial overgrowth, translocation of bacteria and their products from the gut lumen into</w:t>
      </w:r>
      <w:r>
        <w:rPr>
          <w:spacing w:val="40"/>
        </w:rPr>
        <w:t> </w:t>
      </w:r>
      <w:r>
        <w:rPr/>
        <w:t>regional nodes, the peritoneal cavity, and portal circulation (Marshall, 2004). Such inflammatory conditions cause formation of tiny blood clots and which block oxygen from vital organs and lead to septic shock, organ failure and threatening drop in blood pressure. Septic shock is sepsis with hypotension unresponsive to fluid administration and requiring pressor agents (Bruce </w:t>
      </w:r>
      <w:r>
        <w:rPr>
          <w:i/>
        </w:rPr>
        <w:t>et al</w:t>
      </w:r>
      <w:r>
        <w:rPr/>
        <w:t>., 2002).</w:t>
      </w:r>
    </w:p>
    <w:p>
      <w:pPr>
        <w:pStyle w:val="BodyText"/>
      </w:pPr>
    </w:p>
    <w:p>
      <w:pPr>
        <w:pStyle w:val="BodyText"/>
        <w:spacing w:before="7"/>
      </w:pPr>
    </w:p>
    <w:p>
      <w:pPr>
        <w:pStyle w:val="Heading2"/>
        <w:numPr>
          <w:ilvl w:val="2"/>
          <w:numId w:val="17"/>
        </w:numPr>
        <w:tabs>
          <w:tab w:pos="1466" w:val="left" w:leader="none"/>
        </w:tabs>
        <w:spacing w:line="240" w:lineRule="auto" w:before="0" w:after="0"/>
        <w:ind w:left="1466" w:right="0" w:hanging="719"/>
        <w:jc w:val="both"/>
      </w:pPr>
      <w:r>
        <w:rPr/>
        <w:t>Hypersensitivity</w:t>
      </w:r>
      <w:r>
        <w:rPr>
          <w:spacing w:val="-2"/>
        </w:rPr>
        <w:t> reactions</w:t>
      </w:r>
    </w:p>
    <w:p>
      <w:pPr>
        <w:pStyle w:val="BodyText"/>
        <w:spacing w:line="480" w:lineRule="auto" w:before="272"/>
        <w:ind w:left="747" w:right="849" w:firstLine="59"/>
        <w:jc w:val="both"/>
      </w:pPr>
      <w:r>
        <w:rPr/>
        <w:t>There are instances in which the power of the immune response, although directed against innocuous foreign substances (some medications, inhaled pollen particles, or substances of insect bites) produces a response that may result in severe pathologic consequences and even death. These responses are known collectively as hypersensitivity reactions (Rajan, 2003).</w:t>
      </w:r>
    </w:p>
    <w:p>
      <w:pPr>
        <w:spacing w:after="0" w:line="480" w:lineRule="auto"/>
        <w:jc w:val="both"/>
        <w:sectPr>
          <w:pgSz w:w="11910" w:h="16840"/>
          <w:pgMar w:header="0" w:footer="981" w:top="1320" w:bottom="1180" w:left="1240" w:right="560"/>
        </w:sectPr>
      </w:pPr>
    </w:p>
    <w:p>
      <w:pPr>
        <w:pStyle w:val="BodyText"/>
        <w:spacing w:line="480" w:lineRule="auto" w:before="64"/>
        <w:ind w:left="747" w:right="844"/>
        <w:jc w:val="both"/>
      </w:pPr>
      <w:r>
        <w:rPr/>
        <w:t>Hypersensitivity reactions are categorized in accordance with the effectors involved. One category is antibody-mediated and may be passively transferred to another individual by the appropriate numbers and type of antibody in serum.</w:t>
      </w:r>
      <w:r>
        <w:rPr>
          <w:spacing w:val="40"/>
        </w:rPr>
        <w:t> </w:t>
      </w:r>
      <w:r>
        <w:rPr/>
        <w:t>This group is in turn divided into three classes depending on the specific underlying mechanisms involved that could be: mast cells, complement or neutrophils. These reactions have in common</w:t>
      </w:r>
      <w:r>
        <w:rPr>
          <w:spacing w:val="-1"/>
        </w:rPr>
        <w:t> </w:t>
      </w:r>
      <w:r>
        <w:rPr/>
        <w:t>a</w:t>
      </w:r>
      <w:r>
        <w:rPr>
          <w:spacing w:val="-2"/>
        </w:rPr>
        <w:t> </w:t>
      </w:r>
      <w:r>
        <w:rPr/>
        <w:t>rapidity</w:t>
      </w:r>
      <w:r>
        <w:rPr>
          <w:spacing w:val="-6"/>
        </w:rPr>
        <w:t> </w:t>
      </w:r>
      <w:r>
        <w:rPr/>
        <w:t>of</w:t>
      </w:r>
      <w:r>
        <w:rPr>
          <w:spacing w:val="-1"/>
        </w:rPr>
        <w:t> </w:t>
      </w:r>
      <w:r>
        <w:rPr/>
        <w:t>response</w:t>
      </w:r>
      <w:r>
        <w:rPr>
          <w:spacing w:val="-2"/>
        </w:rPr>
        <w:t> </w:t>
      </w:r>
      <w:r>
        <w:rPr/>
        <w:t>that</w:t>
      </w:r>
      <w:r>
        <w:rPr>
          <w:spacing w:val="-1"/>
        </w:rPr>
        <w:t> </w:t>
      </w:r>
      <w:r>
        <w:rPr/>
        <w:t>can</w:t>
      </w:r>
      <w:r>
        <w:rPr>
          <w:spacing w:val="-1"/>
        </w:rPr>
        <w:t> </w:t>
      </w:r>
      <w:r>
        <w:rPr/>
        <w:t>range from</w:t>
      </w:r>
      <w:r>
        <w:rPr>
          <w:spacing w:val="-1"/>
        </w:rPr>
        <w:t> </w:t>
      </w:r>
      <w:r>
        <w:rPr/>
        <w:t>minutes</w:t>
      </w:r>
      <w:r>
        <w:rPr>
          <w:spacing w:val="-1"/>
        </w:rPr>
        <w:t> </w:t>
      </w:r>
      <w:r>
        <w:rPr/>
        <w:t>to</w:t>
      </w:r>
      <w:r>
        <w:rPr>
          <w:spacing w:val="-1"/>
        </w:rPr>
        <w:t> </w:t>
      </w:r>
      <w:r>
        <w:rPr/>
        <w:t>a</w:t>
      </w:r>
      <w:r>
        <w:rPr>
          <w:spacing w:val="-1"/>
        </w:rPr>
        <w:t> </w:t>
      </w:r>
      <w:r>
        <w:rPr/>
        <w:t>few</w:t>
      </w:r>
      <w:r>
        <w:rPr>
          <w:spacing w:val="-1"/>
        </w:rPr>
        <w:t> </w:t>
      </w:r>
      <w:r>
        <w:rPr/>
        <w:t>hours following</w:t>
      </w:r>
      <w:r>
        <w:rPr>
          <w:spacing w:val="-1"/>
        </w:rPr>
        <w:t> </w:t>
      </w:r>
      <w:r>
        <w:rPr/>
        <w:t>the exposure to antigen and are therefore generally called the immediate type hypersensitivity reactions (Kindt </w:t>
      </w:r>
      <w:r>
        <w:rPr>
          <w:i/>
        </w:rPr>
        <w:t>et al</w:t>
      </w:r>
      <w:r>
        <w:rPr/>
        <w:t>., 2006).</w:t>
      </w:r>
    </w:p>
    <w:p>
      <w:pPr>
        <w:pStyle w:val="BodyText"/>
      </w:pPr>
    </w:p>
    <w:p>
      <w:pPr>
        <w:pStyle w:val="BodyText"/>
        <w:spacing w:before="2"/>
      </w:pPr>
    </w:p>
    <w:p>
      <w:pPr>
        <w:pStyle w:val="BodyText"/>
        <w:spacing w:line="480" w:lineRule="auto"/>
        <w:ind w:left="747" w:right="847"/>
        <w:jc w:val="both"/>
      </w:pPr>
      <w:r>
        <w:rPr/>
        <w:t>The second major category of hypersensitivity reactions is mediated largely by T-cells with consequent involvement of monocytes and is appropriately</w:t>
      </w:r>
      <w:r>
        <w:rPr>
          <w:spacing w:val="-1"/>
        </w:rPr>
        <w:t> </w:t>
      </w:r>
      <w:r>
        <w:rPr/>
        <w:t>termed T-cell mediated immunity, but because the responses from this are much more delayed in appearance, generally taking 18-24 hours to reach their full expression, they have been traditionally referred to as delayed type hypersensitivity (DTH). Unlike antibody-mediated hypersensitivity, which can be transferred from a sensitive individual to a nonsensitive individual via serum, DTH may only be transferred by T- cells (Kindt </w:t>
      </w:r>
      <w:r>
        <w:rPr>
          <w:i/>
        </w:rPr>
        <w:t>et al</w:t>
      </w:r>
      <w:r>
        <w:rPr/>
        <w:t>., 2006).</w:t>
      </w:r>
    </w:p>
    <w:p>
      <w:pPr>
        <w:pStyle w:val="BodyText"/>
      </w:pPr>
    </w:p>
    <w:p>
      <w:pPr>
        <w:pStyle w:val="BodyText"/>
      </w:pPr>
    </w:p>
    <w:p>
      <w:pPr>
        <w:pStyle w:val="Heading2"/>
        <w:numPr>
          <w:ilvl w:val="2"/>
          <w:numId w:val="17"/>
        </w:numPr>
        <w:tabs>
          <w:tab w:pos="1466" w:val="left" w:leader="none"/>
        </w:tabs>
        <w:spacing w:line="240" w:lineRule="auto" w:before="1" w:after="0"/>
        <w:ind w:left="1466" w:right="0" w:hanging="719"/>
        <w:jc w:val="left"/>
        <w:rPr>
          <w:b w:val="0"/>
        </w:rPr>
      </w:pPr>
      <w:r>
        <w:rPr/>
        <w:t>Forms</w:t>
      </w:r>
      <w:r>
        <w:rPr>
          <w:spacing w:val="-2"/>
        </w:rPr>
        <w:t> </w:t>
      </w:r>
      <w:r>
        <w:rPr/>
        <w:t>of</w:t>
      </w:r>
      <w:r>
        <w:rPr>
          <w:spacing w:val="-1"/>
        </w:rPr>
        <w:t> </w:t>
      </w:r>
      <w:r>
        <w:rPr/>
        <w:t>hypersensitivity</w:t>
      </w:r>
      <w:r>
        <w:rPr>
          <w:spacing w:val="-1"/>
        </w:rPr>
        <w:t> </w:t>
      </w:r>
      <w:r>
        <w:rPr>
          <w:spacing w:val="-2"/>
        </w:rPr>
        <w:t>reactions</w:t>
      </w:r>
    </w:p>
    <w:p>
      <w:pPr>
        <w:pStyle w:val="ListParagraph"/>
        <w:numPr>
          <w:ilvl w:val="3"/>
          <w:numId w:val="17"/>
        </w:numPr>
        <w:tabs>
          <w:tab w:pos="1467" w:val="left" w:leader="none"/>
          <w:tab w:pos="2188" w:val="left" w:leader="none"/>
        </w:tabs>
        <w:spacing w:line="480" w:lineRule="auto" w:before="276" w:after="0"/>
        <w:ind w:left="1467" w:right="848" w:hanging="720"/>
        <w:jc w:val="both"/>
        <w:rPr>
          <w:i/>
          <w:sz w:val="24"/>
        </w:rPr>
      </w:pPr>
      <w:r>
        <w:rPr>
          <w:i/>
          <w:sz w:val="24"/>
        </w:rPr>
        <w:t>Type 1 hypersensitivity reactions (immediate, allergy)</w:t>
      </w:r>
      <w:r>
        <w:rPr>
          <w:sz w:val="24"/>
        </w:rPr>
        <w:t>: Mediated by IgE and</w:t>
      </w:r>
      <w:r>
        <w:rPr>
          <w:spacing w:val="40"/>
          <w:sz w:val="24"/>
        </w:rPr>
        <w:t> </w:t>
      </w:r>
      <w:r>
        <w:rPr>
          <w:sz w:val="24"/>
        </w:rPr>
        <w:t>IgG. This is characterized by fast responses which occur in minutes when</w:t>
      </w:r>
      <w:r>
        <w:rPr>
          <w:spacing w:val="-3"/>
          <w:sz w:val="24"/>
        </w:rPr>
        <w:t> </w:t>
      </w:r>
      <w:r>
        <w:rPr>
          <w:sz w:val="24"/>
        </w:rPr>
        <w:t>Ags cross-links the IgE on mast cells and basophils such as hives, eczema, red and itching eyes, rhinitis, asthma, anaphylaxis, atopy. Skin test for specific IgE detects type I hypersensitivity reaction.</w:t>
      </w:r>
    </w:p>
    <w:p>
      <w:pPr>
        <w:pStyle w:val="ListParagraph"/>
        <w:numPr>
          <w:ilvl w:val="3"/>
          <w:numId w:val="17"/>
        </w:numPr>
        <w:tabs>
          <w:tab w:pos="1467" w:val="left" w:leader="none"/>
          <w:tab w:pos="2188" w:val="left" w:leader="none"/>
        </w:tabs>
        <w:spacing w:line="480" w:lineRule="auto" w:before="0" w:after="0"/>
        <w:ind w:left="1467" w:right="843" w:hanging="720"/>
        <w:jc w:val="both"/>
        <w:rPr>
          <w:i/>
          <w:sz w:val="24"/>
        </w:rPr>
      </w:pPr>
      <w:r>
        <w:rPr>
          <w:i/>
          <w:sz w:val="24"/>
        </w:rPr>
        <w:t>Type</w:t>
      </w:r>
      <w:r>
        <w:rPr>
          <w:i/>
          <w:spacing w:val="80"/>
          <w:sz w:val="24"/>
        </w:rPr>
        <w:t> </w:t>
      </w:r>
      <w:r>
        <w:rPr>
          <w:i/>
          <w:sz w:val="24"/>
        </w:rPr>
        <w:t>II</w:t>
      </w:r>
      <w:r>
        <w:rPr>
          <w:i/>
          <w:spacing w:val="80"/>
          <w:sz w:val="24"/>
        </w:rPr>
        <w:t> </w:t>
      </w:r>
      <w:r>
        <w:rPr>
          <w:i/>
          <w:sz w:val="24"/>
        </w:rPr>
        <w:t>(cytotoxic,</w:t>
      </w:r>
      <w:r>
        <w:rPr>
          <w:i/>
          <w:spacing w:val="80"/>
          <w:sz w:val="24"/>
        </w:rPr>
        <w:t> </w:t>
      </w:r>
      <w:r>
        <w:rPr>
          <w:i/>
          <w:sz w:val="24"/>
        </w:rPr>
        <w:t>antibody</w:t>
      </w:r>
      <w:r>
        <w:rPr>
          <w:i/>
          <w:spacing w:val="80"/>
          <w:sz w:val="24"/>
        </w:rPr>
        <w:t> </w:t>
      </w:r>
      <w:r>
        <w:rPr>
          <w:i/>
          <w:sz w:val="24"/>
        </w:rPr>
        <w:t>dependent)</w:t>
      </w:r>
      <w:r>
        <w:rPr>
          <w:i/>
          <w:spacing w:val="80"/>
          <w:sz w:val="24"/>
        </w:rPr>
        <w:t> </w:t>
      </w:r>
      <w:r>
        <w:rPr>
          <w:i/>
          <w:sz w:val="24"/>
        </w:rPr>
        <w:t>hypersensitivity</w:t>
      </w:r>
      <w:r>
        <w:rPr>
          <w:sz w:val="24"/>
        </w:rPr>
        <w:t>:</w:t>
      </w:r>
      <w:r>
        <w:rPr>
          <w:spacing w:val="80"/>
          <w:sz w:val="24"/>
        </w:rPr>
        <w:t> </w:t>
      </w:r>
      <w:r>
        <w:rPr>
          <w:sz w:val="24"/>
        </w:rPr>
        <w:t>Mediated</w:t>
      </w:r>
      <w:r>
        <w:rPr>
          <w:spacing w:val="80"/>
          <w:sz w:val="24"/>
        </w:rPr>
        <w:t> </w:t>
      </w:r>
      <w:r>
        <w:rPr>
          <w:sz w:val="24"/>
        </w:rPr>
        <w:t>by IgM or IgG, Complement proteins and Membrane attack complex (MAC). This</w:t>
      </w:r>
    </w:p>
    <w:p>
      <w:pPr>
        <w:spacing w:after="0" w:line="480" w:lineRule="auto"/>
        <w:jc w:val="both"/>
        <w:rPr>
          <w:sz w:val="24"/>
        </w:rPr>
        <w:sectPr>
          <w:pgSz w:w="11910" w:h="16840"/>
          <w:pgMar w:header="0" w:footer="981" w:top="1320" w:bottom="1180" w:left="1240" w:right="560"/>
        </w:sectPr>
      </w:pPr>
    </w:p>
    <w:p>
      <w:pPr>
        <w:pStyle w:val="BodyText"/>
        <w:spacing w:line="480" w:lineRule="auto" w:before="64"/>
        <w:ind w:left="1467" w:right="845"/>
        <w:jc w:val="both"/>
      </w:pPr>
      <w:r>
        <w:rPr/>
        <w:t>occurs when IgM or IgG binds on a host cell that is perceived by the immune system as foreign (Ag) leading to cellular destruction via the MAC activation. Some drug reactions, non-matched blood transfusions; Myasthenia gravis, membranous nephropathy, erythroblastosis foetalis, thrombocytopenia, hemolytic anaemia and so forth are all type II hypersensitivity reaction. Direct and indirect Coombs test is use for detection.</w:t>
      </w:r>
    </w:p>
    <w:p>
      <w:pPr>
        <w:pStyle w:val="ListParagraph"/>
        <w:numPr>
          <w:ilvl w:val="3"/>
          <w:numId w:val="17"/>
        </w:numPr>
        <w:tabs>
          <w:tab w:pos="1467" w:val="left" w:leader="none"/>
          <w:tab w:pos="2188" w:val="left" w:leader="none"/>
        </w:tabs>
        <w:spacing w:line="480" w:lineRule="auto" w:before="1" w:after="0"/>
        <w:ind w:left="1467" w:right="846" w:hanging="720"/>
        <w:jc w:val="both"/>
        <w:rPr>
          <w:i/>
          <w:sz w:val="24"/>
        </w:rPr>
      </w:pPr>
      <w:r>
        <w:rPr>
          <w:i/>
          <w:sz w:val="24"/>
        </w:rPr>
        <w:t>Type III (immune complex disease) hypersensitivity</w:t>
      </w:r>
      <w:r>
        <w:rPr>
          <w:sz w:val="24"/>
        </w:rPr>
        <w:t>: Mediated by IgG, Complement and neutrophils. The binding of IgG to soluble antigen forms a circulating immune complex that is deposited in the vessel walls of the joints</w:t>
      </w:r>
      <w:r>
        <w:rPr>
          <w:spacing w:val="40"/>
          <w:sz w:val="24"/>
        </w:rPr>
        <w:t> </w:t>
      </w:r>
      <w:r>
        <w:rPr>
          <w:sz w:val="24"/>
        </w:rPr>
        <w:t>and</w:t>
      </w:r>
      <w:r>
        <w:rPr>
          <w:spacing w:val="-1"/>
          <w:sz w:val="24"/>
        </w:rPr>
        <w:t> </w:t>
      </w:r>
      <w:r>
        <w:rPr>
          <w:sz w:val="24"/>
        </w:rPr>
        <w:t>kidneys</w:t>
      </w:r>
      <w:r>
        <w:rPr>
          <w:spacing w:val="-1"/>
          <w:sz w:val="24"/>
        </w:rPr>
        <w:t> </w:t>
      </w:r>
      <w:r>
        <w:rPr>
          <w:sz w:val="24"/>
        </w:rPr>
        <w:t>to</w:t>
      </w:r>
      <w:r>
        <w:rPr>
          <w:spacing w:val="-1"/>
          <w:sz w:val="24"/>
        </w:rPr>
        <w:t> </w:t>
      </w:r>
      <w:r>
        <w:rPr>
          <w:sz w:val="24"/>
        </w:rPr>
        <w:t>initiate a</w:t>
      </w:r>
      <w:r>
        <w:rPr>
          <w:spacing w:val="-2"/>
          <w:sz w:val="24"/>
        </w:rPr>
        <w:t> </w:t>
      </w:r>
      <w:r>
        <w:rPr>
          <w:sz w:val="24"/>
        </w:rPr>
        <w:t>local inflammatory</w:t>
      </w:r>
      <w:r>
        <w:rPr>
          <w:spacing w:val="-4"/>
          <w:sz w:val="24"/>
        </w:rPr>
        <w:t> </w:t>
      </w:r>
      <w:r>
        <w:rPr>
          <w:sz w:val="24"/>
        </w:rPr>
        <w:t>reaction. Rheumatoid</w:t>
      </w:r>
      <w:r>
        <w:rPr>
          <w:spacing w:val="-1"/>
          <w:sz w:val="24"/>
        </w:rPr>
        <w:t> </w:t>
      </w:r>
      <w:r>
        <w:rPr>
          <w:sz w:val="24"/>
        </w:rPr>
        <w:t>arthritis, lupus nephritis, and systemic lupus erythematosus (SLE), serum sickness, post streptococcal glomerulonephritis and so forth are all forms of type III hypersensitivity reaction.</w:t>
      </w:r>
    </w:p>
    <w:p>
      <w:pPr>
        <w:pStyle w:val="ListParagraph"/>
        <w:numPr>
          <w:ilvl w:val="3"/>
          <w:numId w:val="17"/>
        </w:numPr>
        <w:tabs>
          <w:tab w:pos="1467" w:val="left" w:leader="none"/>
          <w:tab w:pos="2188" w:val="left" w:leader="none"/>
        </w:tabs>
        <w:spacing w:line="480" w:lineRule="auto" w:before="201" w:after="0"/>
        <w:ind w:left="1467" w:right="844" w:hanging="720"/>
        <w:jc w:val="both"/>
        <w:rPr>
          <w:b/>
          <w:i/>
          <w:sz w:val="24"/>
        </w:rPr>
      </w:pPr>
      <w:r>
        <w:rPr>
          <w:i/>
          <w:sz w:val="24"/>
        </w:rPr>
        <w:t>Type</w:t>
      </w:r>
      <w:r>
        <w:rPr>
          <w:i/>
          <w:spacing w:val="40"/>
          <w:sz w:val="24"/>
        </w:rPr>
        <w:t> </w:t>
      </w:r>
      <w:r>
        <w:rPr>
          <w:i/>
          <w:sz w:val="24"/>
        </w:rPr>
        <w:t>IV</w:t>
      </w:r>
      <w:r>
        <w:rPr>
          <w:i/>
          <w:spacing w:val="40"/>
          <w:sz w:val="24"/>
        </w:rPr>
        <w:t> </w:t>
      </w:r>
      <w:r>
        <w:rPr>
          <w:i/>
          <w:sz w:val="24"/>
        </w:rPr>
        <w:t>(Delayed</w:t>
      </w:r>
      <w:r>
        <w:rPr>
          <w:i/>
          <w:spacing w:val="40"/>
          <w:sz w:val="24"/>
        </w:rPr>
        <w:t> </w:t>
      </w:r>
      <w:r>
        <w:rPr>
          <w:i/>
          <w:sz w:val="24"/>
        </w:rPr>
        <w:t>Type</w:t>
      </w:r>
      <w:r>
        <w:rPr>
          <w:i/>
          <w:spacing w:val="40"/>
          <w:sz w:val="24"/>
        </w:rPr>
        <w:t> </w:t>
      </w:r>
      <w:r>
        <w:rPr>
          <w:i/>
          <w:sz w:val="24"/>
        </w:rPr>
        <w:t>hypersensitivity</w:t>
      </w:r>
      <w:r>
        <w:rPr>
          <w:i/>
          <w:spacing w:val="40"/>
          <w:sz w:val="24"/>
        </w:rPr>
        <w:t> </w:t>
      </w:r>
      <w:r>
        <w:rPr>
          <w:i/>
          <w:sz w:val="24"/>
        </w:rPr>
        <w:t>–DTH)</w:t>
      </w:r>
      <w:r>
        <w:rPr>
          <w:i/>
          <w:spacing w:val="40"/>
          <w:sz w:val="24"/>
        </w:rPr>
        <w:t> </w:t>
      </w:r>
      <w:r>
        <w:rPr>
          <w:i/>
          <w:sz w:val="24"/>
        </w:rPr>
        <w:t>hypersensitivity</w:t>
      </w:r>
      <w:r>
        <w:rPr>
          <w:sz w:val="24"/>
        </w:rPr>
        <w:t>:</w:t>
      </w:r>
      <w:r>
        <w:rPr>
          <w:spacing w:val="40"/>
          <w:sz w:val="24"/>
        </w:rPr>
        <w:t> </w:t>
      </w:r>
      <w:r>
        <w:rPr>
          <w:sz w:val="24"/>
        </w:rPr>
        <w:t>Cell</w:t>
      </w:r>
      <w:r>
        <w:rPr>
          <w:spacing w:val="40"/>
          <w:sz w:val="24"/>
        </w:rPr>
        <w:t> </w:t>
      </w:r>
      <w:r>
        <w:rPr>
          <w:sz w:val="24"/>
        </w:rPr>
        <w:t>mediated immune memory response, antibody independent) reaction: Common delayed hypersensitivity reactions include : Many skin rashes following</w:t>
      </w:r>
      <w:r>
        <w:rPr>
          <w:spacing w:val="40"/>
          <w:sz w:val="24"/>
        </w:rPr>
        <w:t> </w:t>
      </w:r>
      <w:r>
        <w:rPr>
          <w:sz w:val="24"/>
        </w:rPr>
        <w:t>exposure to poison oak or ivy, heavy metals in jewelry or cosmetics products as well as red indurations after exposure to purified protein derivative (PPD) especially during tuberculosis skin test, contact dermatitis, multiple sclerosis, chronic transplant rejection and so forth are all mediated by T-cells which on detecting an Ag, activates macrophages</w:t>
      </w:r>
      <w:r>
        <w:rPr>
          <w:i/>
          <w:sz w:val="24"/>
        </w:rPr>
        <w:t>.</w:t>
      </w:r>
    </w:p>
    <w:p>
      <w:pPr>
        <w:pStyle w:val="BodyText"/>
        <w:rPr>
          <w:i/>
        </w:rPr>
      </w:pPr>
    </w:p>
    <w:p>
      <w:pPr>
        <w:pStyle w:val="BodyText"/>
        <w:rPr>
          <w:i/>
        </w:rPr>
      </w:pPr>
    </w:p>
    <w:p>
      <w:pPr>
        <w:pStyle w:val="BodyText"/>
        <w:spacing w:line="480" w:lineRule="auto" w:before="1"/>
        <w:ind w:left="747" w:right="846"/>
        <w:jc w:val="both"/>
      </w:pPr>
      <w:r>
        <w:rPr/>
        <w:t>Delayed-type hypersensitivity (DTH = T-cell mediated or type IV hypersensitivity) is a type of an immune response whereby the antigen that triggers the response is specific</w:t>
      </w:r>
      <w:r>
        <w:rPr>
          <w:spacing w:val="40"/>
        </w:rPr>
        <w:t> </w:t>
      </w:r>
      <w:r>
        <w:rPr/>
        <w:t>for</w:t>
      </w:r>
      <w:r>
        <w:rPr>
          <w:spacing w:val="47"/>
        </w:rPr>
        <w:t> </w:t>
      </w:r>
      <w:r>
        <w:rPr/>
        <w:t>T-cells.</w:t>
      </w:r>
      <w:r>
        <w:rPr>
          <w:spacing w:val="50"/>
        </w:rPr>
        <w:t> </w:t>
      </w:r>
      <w:r>
        <w:rPr/>
        <w:t>When</w:t>
      </w:r>
      <w:r>
        <w:rPr>
          <w:spacing w:val="49"/>
        </w:rPr>
        <w:t> </w:t>
      </w:r>
      <w:r>
        <w:rPr/>
        <w:t>a</w:t>
      </w:r>
      <w:r>
        <w:rPr>
          <w:spacing w:val="49"/>
        </w:rPr>
        <w:t> </w:t>
      </w:r>
      <w:r>
        <w:rPr/>
        <w:t>responding</w:t>
      </w:r>
      <w:r>
        <w:rPr>
          <w:spacing w:val="47"/>
        </w:rPr>
        <w:t> </w:t>
      </w:r>
      <w:r>
        <w:rPr/>
        <w:t>T-cell</w:t>
      </w:r>
      <w:r>
        <w:rPr>
          <w:spacing w:val="50"/>
        </w:rPr>
        <w:t> </w:t>
      </w:r>
      <w:r>
        <w:rPr/>
        <w:t>is</w:t>
      </w:r>
      <w:r>
        <w:rPr>
          <w:spacing w:val="49"/>
        </w:rPr>
        <w:t> </w:t>
      </w:r>
      <w:r>
        <w:rPr/>
        <w:t>activated</w:t>
      </w:r>
      <w:r>
        <w:rPr>
          <w:spacing w:val="49"/>
        </w:rPr>
        <w:t> </w:t>
      </w:r>
      <w:r>
        <w:rPr/>
        <w:t>by</w:t>
      </w:r>
      <w:r>
        <w:rPr>
          <w:spacing w:val="44"/>
        </w:rPr>
        <w:t> </w:t>
      </w:r>
      <w:r>
        <w:rPr/>
        <w:t>its</w:t>
      </w:r>
      <w:r>
        <w:rPr>
          <w:spacing w:val="54"/>
        </w:rPr>
        <w:t> </w:t>
      </w:r>
      <w:r>
        <w:rPr/>
        <w:t>antigen,</w:t>
      </w:r>
      <w:r>
        <w:rPr>
          <w:spacing w:val="49"/>
        </w:rPr>
        <w:t> </w:t>
      </w:r>
      <w:r>
        <w:rPr/>
        <w:t>large</w:t>
      </w:r>
      <w:r>
        <w:rPr>
          <w:spacing w:val="51"/>
        </w:rPr>
        <w:t> </w:t>
      </w:r>
      <w:r>
        <w:rPr/>
        <w:t>amounts</w:t>
      </w:r>
      <w:r>
        <w:rPr>
          <w:spacing w:val="50"/>
        </w:rPr>
        <w:t> </w:t>
      </w:r>
      <w:r>
        <w:rPr>
          <w:spacing w:val="-5"/>
        </w:rPr>
        <w:t>of</w:t>
      </w:r>
    </w:p>
    <w:p>
      <w:pPr>
        <w:spacing w:after="0" w:line="480" w:lineRule="auto"/>
        <w:jc w:val="both"/>
        <w:sectPr>
          <w:pgSz w:w="11910" w:h="16840"/>
          <w:pgMar w:header="0" w:footer="981" w:top="1320" w:bottom="1180" w:left="1240" w:right="560"/>
        </w:sectPr>
      </w:pPr>
    </w:p>
    <w:p>
      <w:pPr>
        <w:pStyle w:val="BodyText"/>
        <w:spacing w:line="480" w:lineRule="auto" w:before="64"/>
        <w:ind w:left="747" w:right="849"/>
        <w:jc w:val="both"/>
      </w:pPr>
      <w:r>
        <w:rPr/>
        <w:t>cytokines are released and which in turn may attract and activate other mononuclear cells (monocytes and macrophages) that are not antigen-specific and thus causing other reactions including deleterious reactions. The antigens may be an allograft, parasites, soluble proteins or chemicals that couple to body proteins. The clinical feature of DTH depends on the antigen and the route of its entrance. The major events that lead to DTH </w:t>
      </w:r>
      <w:r>
        <w:rPr>
          <w:spacing w:val="-2"/>
        </w:rPr>
        <w:t>include:</w:t>
      </w:r>
    </w:p>
    <w:p>
      <w:pPr>
        <w:pStyle w:val="ListParagraph"/>
        <w:numPr>
          <w:ilvl w:val="4"/>
          <w:numId w:val="17"/>
        </w:numPr>
        <w:tabs>
          <w:tab w:pos="1465" w:val="left" w:leader="none"/>
          <w:tab w:pos="1467" w:val="left" w:leader="none"/>
        </w:tabs>
        <w:spacing w:line="480" w:lineRule="auto" w:before="201" w:after="0"/>
        <w:ind w:left="1467" w:right="848" w:hanging="360"/>
        <w:jc w:val="both"/>
        <w:rPr>
          <w:sz w:val="24"/>
        </w:rPr>
      </w:pPr>
      <w:r>
        <w:rPr>
          <w:sz w:val="24"/>
        </w:rPr>
        <w:t>Activation of antigen specific inflammatory</w:t>
      </w:r>
      <w:r>
        <w:rPr>
          <w:spacing w:val="-1"/>
          <w:sz w:val="24"/>
        </w:rPr>
        <w:t> </w:t>
      </w:r>
      <w:r>
        <w:rPr>
          <w:sz w:val="24"/>
        </w:rPr>
        <w:t>TH1 cells in a previously</w:t>
      </w:r>
      <w:r>
        <w:rPr>
          <w:spacing w:val="-1"/>
          <w:sz w:val="24"/>
        </w:rPr>
        <w:t> </w:t>
      </w:r>
      <w:r>
        <w:rPr>
          <w:sz w:val="24"/>
        </w:rPr>
        <w:t>sensitized </w:t>
      </w:r>
      <w:r>
        <w:rPr>
          <w:spacing w:val="-2"/>
          <w:sz w:val="24"/>
        </w:rPr>
        <w:t>host.</w:t>
      </w:r>
    </w:p>
    <w:p>
      <w:pPr>
        <w:pStyle w:val="ListParagraph"/>
        <w:numPr>
          <w:ilvl w:val="4"/>
          <w:numId w:val="17"/>
        </w:numPr>
        <w:tabs>
          <w:tab w:pos="1465" w:val="left" w:leader="none"/>
        </w:tabs>
        <w:spacing w:line="240" w:lineRule="auto" w:before="0" w:after="0"/>
        <w:ind w:left="1465" w:right="0" w:hanging="358"/>
        <w:jc w:val="both"/>
        <w:rPr>
          <w:sz w:val="24"/>
        </w:rPr>
      </w:pPr>
      <w:r>
        <w:rPr>
          <w:sz w:val="24"/>
        </w:rPr>
        <w:t>Elaboration</w:t>
      </w:r>
      <w:r>
        <w:rPr>
          <w:spacing w:val="-1"/>
          <w:sz w:val="24"/>
        </w:rPr>
        <w:t> </w:t>
      </w:r>
      <w:r>
        <w:rPr>
          <w:sz w:val="24"/>
        </w:rPr>
        <w:t>of</w:t>
      </w:r>
      <w:r>
        <w:rPr>
          <w:spacing w:val="-1"/>
          <w:sz w:val="24"/>
        </w:rPr>
        <w:t> </w:t>
      </w:r>
      <w:r>
        <w:rPr>
          <w:sz w:val="24"/>
        </w:rPr>
        <w:t>pro-inflammatory</w:t>
      </w:r>
      <w:r>
        <w:rPr>
          <w:spacing w:val="-5"/>
          <w:sz w:val="24"/>
        </w:rPr>
        <w:t> </w:t>
      </w:r>
      <w:r>
        <w:rPr>
          <w:sz w:val="24"/>
        </w:rPr>
        <w:t>cytokines by</w:t>
      </w:r>
      <w:r>
        <w:rPr>
          <w:spacing w:val="-6"/>
          <w:sz w:val="24"/>
        </w:rPr>
        <w:t> </w:t>
      </w:r>
      <w:r>
        <w:rPr>
          <w:sz w:val="24"/>
        </w:rPr>
        <w:t>the</w:t>
      </w:r>
      <w:r>
        <w:rPr>
          <w:spacing w:val="1"/>
          <w:sz w:val="24"/>
        </w:rPr>
        <w:t> </w:t>
      </w:r>
      <w:r>
        <w:rPr>
          <w:sz w:val="24"/>
        </w:rPr>
        <w:t>antigen-specific TH1</w:t>
      </w:r>
      <w:r>
        <w:rPr>
          <w:spacing w:val="2"/>
          <w:sz w:val="24"/>
        </w:rPr>
        <w:t> </w:t>
      </w:r>
      <w:r>
        <w:rPr>
          <w:spacing w:val="-2"/>
          <w:sz w:val="24"/>
        </w:rPr>
        <w:t>cells.</w:t>
      </w:r>
    </w:p>
    <w:p>
      <w:pPr>
        <w:pStyle w:val="BodyText"/>
      </w:pPr>
    </w:p>
    <w:p>
      <w:pPr>
        <w:pStyle w:val="ListParagraph"/>
        <w:numPr>
          <w:ilvl w:val="4"/>
          <w:numId w:val="17"/>
        </w:numPr>
        <w:tabs>
          <w:tab w:pos="1465" w:val="left" w:leader="none"/>
        </w:tabs>
        <w:spacing w:line="240" w:lineRule="auto" w:before="0" w:after="0"/>
        <w:ind w:left="1465" w:right="0" w:hanging="358"/>
        <w:jc w:val="both"/>
        <w:rPr>
          <w:sz w:val="24"/>
        </w:rPr>
      </w:pPr>
      <w:r>
        <w:rPr>
          <w:sz w:val="24"/>
        </w:rPr>
        <w:t>Recruitment</w:t>
      </w:r>
      <w:r>
        <w:rPr>
          <w:spacing w:val="-4"/>
          <w:sz w:val="24"/>
        </w:rPr>
        <w:t> </w:t>
      </w:r>
      <w:r>
        <w:rPr>
          <w:sz w:val="24"/>
        </w:rPr>
        <w:t>and</w:t>
      </w:r>
      <w:r>
        <w:rPr>
          <w:spacing w:val="-1"/>
          <w:sz w:val="24"/>
        </w:rPr>
        <w:t> </w:t>
      </w:r>
      <w:r>
        <w:rPr>
          <w:sz w:val="24"/>
        </w:rPr>
        <w:t>activation</w:t>
      </w:r>
      <w:r>
        <w:rPr>
          <w:spacing w:val="-1"/>
          <w:sz w:val="24"/>
        </w:rPr>
        <w:t> </w:t>
      </w:r>
      <w:r>
        <w:rPr>
          <w:sz w:val="24"/>
        </w:rPr>
        <w:t>of</w:t>
      </w:r>
      <w:r>
        <w:rPr>
          <w:spacing w:val="-2"/>
          <w:sz w:val="24"/>
        </w:rPr>
        <w:t> </w:t>
      </w:r>
      <w:r>
        <w:rPr>
          <w:sz w:val="24"/>
        </w:rPr>
        <w:t>antigen-nonspecific inflammatory</w:t>
      </w:r>
      <w:r>
        <w:rPr>
          <w:spacing w:val="-5"/>
          <w:sz w:val="24"/>
        </w:rPr>
        <w:t> </w:t>
      </w:r>
      <w:r>
        <w:rPr>
          <w:spacing w:val="-2"/>
          <w:sz w:val="24"/>
        </w:rPr>
        <w:t>leucocytes.</w:t>
      </w:r>
    </w:p>
    <w:p>
      <w:pPr>
        <w:pStyle w:val="BodyText"/>
      </w:pPr>
    </w:p>
    <w:p>
      <w:pPr>
        <w:pStyle w:val="BodyText"/>
      </w:pPr>
    </w:p>
    <w:p>
      <w:pPr>
        <w:pStyle w:val="BodyText"/>
      </w:pPr>
    </w:p>
    <w:p>
      <w:pPr>
        <w:pStyle w:val="BodyText"/>
        <w:spacing w:line="480" w:lineRule="auto"/>
        <w:ind w:left="747" w:right="848"/>
        <w:jc w:val="both"/>
      </w:pPr>
      <w:r>
        <w:rPr/>
        <w:t>These events occur over a</w:t>
      </w:r>
      <w:r>
        <w:rPr>
          <w:spacing w:val="-1"/>
        </w:rPr>
        <w:t> </w:t>
      </w:r>
      <w:r>
        <w:rPr/>
        <w:t>period</w:t>
      </w:r>
      <w:r>
        <w:rPr>
          <w:spacing w:val="-1"/>
        </w:rPr>
        <w:t> </w:t>
      </w:r>
      <w:r>
        <w:rPr/>
        <w:t>of several days (24-72 hr) hence</w:t>
      </w:r>
      <w:r>
        <w:rPr>
          <w:spacing w:val="-1"/>
        </w:rPr>
        <w:t> </w:t>
      </w:r>
      <w:r>
        <w:rPr/>
        <w:t>the</w:t>
      </w:r>
      <w:r>
        <w:rPr>
          <w:spacing w:val="-1"/>
        </w:rPr>
        <w:t> </w:t>
      </w:r>
      <w:r>
        <w:rPr/>
        <w:t>term delayed type hypersensitivity. This time course characteristically distinguishes DTH from antibody- mediated reactions which appear much more quickly (Lawrence and Ali, 2014).</w:t>
      </w:r>
    </w:p>
    <w:p>
      <w:pPr>
        <w:pStyle w:val="BodyText"/>
      </w:pPr>
    </w:p>
    <w:p>
      <w:pPr>
        <w:pStyle w:val="BodyText"/>
        <w:spacing w:before="1"/>
      </w:pPr>
    </w:p>
    <w:p>
      <w:pPr>
        <w:pStyle w:val="BodyText"/>
        <w:spacing w:line="480" w:lineRule="auto"/>
        <w:ind w:left="747" w:right="844"/>
        <w:jc w:val="both"/>
      </w:pPr>
      <w:r>
        <w:rPr>
          <w:b/>
        </w:rPr>
        <w:t>Mechanisms of DTH</w:t>
      </w:r>
      <w:r>
        <w:rPr/>
        <w:t>: previous exposure (sensitization stage) to the antigen is required to generate DTH and which activates and expands the number of antigen-specific memory TH1 cells such that subsequent challenge with same antigen (elicitation stage) produces a DTH reaction. The</w:t>
      </w:r>
      <w:r>
        <w:rPr>
          <w:spacing w:val="-1"/>
        </w:rPr>
        <w:t> </w:t>
      </w:r>
      <w:r>
        <w:rPr/>
        <w:t>sensitization stage typically</w:t>
      </w:r>
      <w:r>
        <w:rPr>
          <w:spacing w:val="-2"/>
        </w:rPr>
        <w:t> </w:t>
      </w:r>
      <w:r>
        <w:rPr/>
        <w:t>occurs over a 1-2 wks period during which activation of T cells occurs. The elicitation stage takes approximately 24- 72 hr from the time of antigen challenge to recruit and activate these cells</w:t>
      </w:r>
      <w:r>
        <w:rPr>
          <w:spacing w:val="33"/>
        </w:rPr>
        <w:t> </w:t>
      </w:r>
      <w:r>
        <w:rPr/>
        <w:t>– a period</w:t>
      </w:r>
      <w:r>
        <w:rPr>
          <w:spacing w:val="40"/>
        </w:rPr>
        <w:t> </w:t>
      </w:r>
      <w:r>
        <w:rPr/>
        <w:t>that culminates in the histological and clinical DTH (Lawrence and Ali, 2014).</w:t>
      </w:r>
    </w:p>
    <w:p>
      <w:pPr>
        <w:pStyle w:val="BodyText"/>
      </w:pPr>
    </w:p>
    <w:p>
      <w:pPr>
        <w:pStyle w:val="BodyText"/>
        <w:spacing w:before="1"/>
      </w:pPr>
    </w:p>
    <w:p>
      <w:pPr>
        <w:pStyle w:val="BodyText"/>
        <w:spacing w:line="480" w:lineRule="auto"/>
        <w:ind w:left="747" w:right="853"/>
        <w:jc w:val="both"/>
      </w:pPr>
      <w:r>
        <w:rPr/>
        <w:t>The clinical manifestations of DTH can last for several weeks and in some cases can be chronic.</w:t>
      </w:r>
      <w:r>
        <w:rPr>
          <w:spacing w:val="56"/>
          <w:w w:val="150"/>
        </w:rPr>
        <w:t> </w:t>
      </w:r>
      <w:r>
        <w:rPr/>
        <w:t>The</w:t>
      </w:r>
      <w:r>
        <w:rPr>
          <w:spacing w:val="61"/>
          <w:w w:val="150"/>
        </w:rPr>
        <w:t> </w:t>
      </w:r>
      <w:r>
        <w:rPr/>
        <w:t>antigen-challenged</w:t>
      </w:r>
      <w:r>
        <w:rPr>
          <w:spacing w:val="59"/>
          <w:w w:val="150"/>
        </w:rPr>
        <w:t> </w:t>
      </w:r>
      <w:r>
        <w:rPr/>
        <w:t>TH1</w:t>
      </w:r>
      <w:r>
        <w:rPr>
          <w:spacing w:val="59"/>
          <w:w w:val="150"/>
        </w:rPr>
        <w:t> </w:t>
      </w:r>
      <w:r>
        <w:rPr/>
        <w:t>cells</w:t>
      </w:r>
      <w:r>
        <w:rPr>
          <w:spacing w:val="59"/>
          <w:w w:val="150"/>
        </w:rPr>
        <w:t> </w:t>
      </w:r>
      <w:r>
        <w:rPr/>
        <w:t>produce</w:t>
      </w:r>
      <w:r>
        <w:rPr>
          <w:spacing w:val="59"/>
          <w:w w:val="150"/>
        </w:rPr>
        <w:t> </w:t>
      </w:r>
      <w:r>
        <w:rPr/>
        <w:t>several</w:t>
      </w:r>
      <w:r>
        <w:rPr>
          <w:spacing w:val="60"/>
          <w:w w:val="150"/>
        </w:rPr>
        <w:t> </w:t>
      </w:r>
      <w:r>
        <w:rPr/>
        <w:t>cytokines</w:t>
      </w:r>
      <w:r>
        <w:rPr>
          <w:spacing w:val="60"/>
          <w:w w:val="150"/>
        </w:rPr>
        <w:t> </w:t>
      </w:r>
      <w:r>
        <w:rPr/>
        <w:t>during</w:t>
      </w:r>
      <w:r>
        <w:rPr>
          <w:spacing w:val="57"/>
          <w:w w:val="150"/>
        </w:rPr>
        <w:t> </w:t>
      </w:r>
      <w:r>
        <w:rPr>
          <w:spacing w:val="-5"/>
        </w:rPr>
        <w:t>the</w:t>
      </w:r>
    </w:p>
    <w:p>
      <w:pPr>
        <w:spacing w:after="0" w:line="480" w:lineRule="auto"/>
        <w:jc w:val="both"/>
        <w:sectPr>
          <w:pgSz w:w="11910" w:h="16840"/>
          <w:pgMar w:header="0" w:footer="981" w:top="1320" w:bottom="1180" w:left="1240" w:right="560"/>
        </w:sectPr>
      </w:pPr>
    </w:p>
    <w:p>
      <w:pPr>
        <w:pStyle w:val="BodyText"/>
        <w:spacing w:line="480" w:lineRule="auto" w:before="64"/>
        <w:ind w:left="747" w:right="845"/>
        <w:jc w:val="both"/>
      </w:pPr>
      <w:r>
        <w:rPr/>
        <w:t>elicitation stage, most notably, chemokines and IFN-γ which causes chemotaxis and activation of macrophages. Another cytokine produced by these cells is interleukin -12 (IL-12). This</w:t>
      </w:r>
      <w:r>
        <w:rPr>
          <w:spacing w:val="-1"/>
        </w:rPr>
        <w:t> </w:t>
      </w:r>
      <w:r>
        <w:rPr/>
        <w:t>suppresses the</w:t>
      </w:r>
      <w:r>
        <w:rPr>
          <w:spacing w:val="-2"/>
        </w:rPr>
        <w:t> </w:t>
      </w:r>
      <w:r>
        <w:rPr/>
        <w:t>TH2</w:t>
      </w:r>
      <w:r>
        <w:rPr>
          <w:spacing w:val="-2"/>
        </w:rPr>
        <w:t> </w:t>
      </w:r>
      <w:r>
        <w:rPr/>
        <w:t>subpopulation</w:t>
      </w:r>
      <w:r>
        <w:rPr>
          <w:spacing w:val="-1"/>
        </w:rPr>
        <w:t> </w:t>
      </w:r>
      <w:r>
        <w:rPr/>
        <w:t>and</w:t>
      </w:r>
      <w:r>
        <w:rPr>
          <w:spacing w:val="-1"/>
        </w:rPr>
        <w:t> </w:t>
      </w:r>
      <w:r>
        <w:rPr/>
        <w:t>promotes</w:t>
      </w:r>
      <w:r>
        <w:rPr>
          <w:spacing w:val="-1"/>
        </w:rPr>
        <w:t> </w:t>
      </w:r>
      <w:r>
        <w:rPr/>
        <w:t>the expansion</w:t>
      </w:r>
      <w:r>
        <w:rPr>
          <w:spacing w:val="-1"/>
        </w:rPr>
        <w:t> </w:t>
      </w:r>
      <w:r>
        <w:rPr/>
        <w:t>of the</w:t>
      </w:r>
      <w:r>
        <w:rPr>
          <w:spacing w:val="-2"/>
        </w:rPr>
        <w:t> </w:t>
      </w:r>
      <w:r>
        <w:rPr/>
        <w:t>TH1 subpopulation, driving the response to produce more TH1 synthesized cytokines that activate macrophages. DTH reactions also involve CD8+Tcells which are first activated and expanded during the sensitization stage. These cells can damage tissues by cell- mediated cytotoxicity (Lawrence and Ali, 2014).</w:t>
      </w:r>
    </w:p>
    <w:p>
      <w:pPr>
        <w:pStyle w:val="BodyText"/>
      </w:pPr>
    </w:p>
    <w:p>
      <w:pPr>
        <w:pStyle w:val="BodyText"/>
        <w:spacing w:before="2"/>
      </w:pPr>
    </w:p>
    <w:p>
      <w:pPr>
        <w:pStyle w:val="BodyText"/>
        <w:spacing w:line="480" w:lineRule="auto"/>
        <w:ind w:left="747" w:right="846"/>
        <w:jc w:val="both"/>
      </w:pPr>
      <w:r>
        <w:rPr/>
        <w:t>In the most favourable circumstances, DTH results in destruction of an infectious organism that may have elicited the response in the first place, typically by</w:t>
      </w:r>
      <w:r>
        <w:rPr>
          <w:spacing w:val="80"/>
        </w:rPr>
        <w:t> </w:t>
      </w:r>
      <w:r>
        <w:rPr/>
        <w:t>macrophages ingestion. However, macrophage activation by IFN-γ and its degradation by lysosomal enzymes are associated with the release toxins such as the by-products of respiratory activity (peroxide and superoxide radicals) which as well also results in tissue destruction (Lawrence and Ali, 2014).</w:t>
      </w:r>
    </w:p>
    <w:p>
      <w:pPr>
        <w:pStyle w:val="ListParagraph"/>
        <w:numPr>
          <w:ilvl w:val="3"/>
          <w:numId w:val="17"/>
        </w:numPr>
        <w:tabs>
          <w:tab w:pos="1467" w:val="left" w:leader="none"/>
          <w:tab w:pos="2188" w:val="left" w:leader="none"/>
        </w:tabs>
        <w:spacing w:line="480" w:lineRule="auto" w:before="0" w:after="0"/>
        <w:ind w:left="1467" w:right="845" w:hanging="720"/>
        <w:jc w:val="both"/>
        <w:rPr>
          <w:i/>
          <w:sz w:val="24"/>
        </w:rPr>
      </w:pPr>
      <w:r>
        <w:rPr>
          <w:i/>
          <w:sz w:val="24"/>
        </w:rPr>
        <w:t>Type</w:t>
      </w:r>
      <w:r>
        <w:rPr>
          <w:i/>
          <w:spacing w:val="34"/>
          <w:sz w:val="24"/>
        </w:rPr>
        <w:t> </w:t>
      </w:r>
      <w:r>
        <w:rPr>
          <w:i/>
          <w:sz w:val="24"/>
        </w:rPr>
        <w:t>V</w:t>
      </w:r>
      <w:r>
        <w:rPr>
          <w:i/>
          <w:spacing w:val="35"/>
          <w:sz w:val="24"/>
        </w:rPr>
        <w:t> </w:t>
      </w:r>
      <w:r>
        <w:rPr>
          <w:i/>
          <w:sz w:val="24"/>
        </w:rPr>
        <w:t>(autoimmune</w:t>
      </w:r>
      <w:r>
        <w:rPr>
          <w:i/>
          <w:spacing w:val="34"/>
          <w:sz w:val="24"/>
        </w:rPr>
        <w:t> </w:t>
      </w:r>
      <w:r>
        <w:rPr>
          <w:i/>
          <w:sz w:val="24"/>
        </w:rPr>
        <w:t>disease,</w:t>
      </w:r>
      <w:r>
        <w:rPr>
          <w:i/>
          <w:spacing w:val="35"/>
          <w:sz w:val="24"/>
        </w:rPr>
        <w:t> </w:t>
      </w:r>
      <w:r>
        <w:rPr>
          <w:i/>
          <w:sz w:val="24"/>
        </w:rPr>
        <w:t>receptor</w:t>
      </w:r>
      <w:r>
        <w:rPr>
          <w:i/>
          <w:spacing w:val="36"/>
          <w:sz w:val="24"/>
        </w:rPr>
        <w:t> </w:t>
      </w:r>
      <w:r>
        <w:rPr>
          <w:i/>
          <w:sz w:val="24"/>
        </w:rPr>
        <w:t>mediated)</w:t>
      </w:r>
      <w:r>
        <w:rPr>
          <w:i/>
          <w:spacing w:val="34"/>
          <w:sz w:val="24"/>
        </w:rPr>
        <w:t> </w:t>
      </w:r>
      <w:r>
        <w:rPr>
          <w:i/>
          <w:sz w:val="24"/>
        </w:rPr>
        <w:t>reaction</w:t>
      </w:r>
      <w:r>
        <w:rPr>
          <w:sz w:val="24"/>
        </w:rPr>
        <w:t>:</w:t>
      </w:r>
      <w:r>
        <w:rPr>
          <w:spacing w:val="35"/>
          <w:sz w:val="24"/>
        </w:rPr>
        <w:t> </w:t>
      </w:r>
      <w:r>
        <w:rPr>
          <w:sz w:val="24"/>
        </w:rPr>
        <w:t>This</w:t>
      </w:r>
      <w:r>
        <w:rPr>
          <w:spacing w:val="35"/>
          <w:sz w:val="24"/>
        </w:rPr>
        <w:t> </w:t>
      </w:r>
      <w:r>
        <w:rPr>
          <w:sz w:val="24"/>
        </w:rPr>
        <w:t>as</w:t>
      </w:r>
      <w:r>
        <w:rPr>
          <w:spacing w:val="35"/>
          <w:sz w:val="24"/>
        </w:rPr>
        <w:t> </w:t>
      </w:r>
      <w:r>
        <w:rPr>
          <w:sz w:val="24"/>
        </w:rPr>
        <w:t>with Type II is mediated by IgM or IgG and complement; but unlike Type II in which the antibodies bind to cell surface components, here, they bind to the cell surface receptors to prevent the binding of the normal ligands of such receptors and in mimicking</w:t>
      </w:r>
      <w:r>
        <w:rPr>
          <w:spacing w:val="-2"/>
          <w:sz w:val="24"/>
        </w:rPr>
        <w:t> </w:t>
      </w:r>
      <w:r>
        <w:rPr>
          <w:sz w:val="24"/>
        </w:rPr>
        <w:t>the effects of the</w:t>
      </w:r>
      <w:r>
        <w:rPr>
          <w:spacing w:val="-1"/>
          <w:sz w:val="24"/>
        </w:rPr>
        <w:t> </w:t>
      </w:r>
      <w:r>
        <w:rPr>
          <w:sz w:val="24"/>
        </w:rPr>
        <w:t>ligands they</w:t>
      </w:r>
      <w:r>
        <w:rPr>
          <w:spacing w:val="-5"/>
          <w:sz w:val="24"/>
        </w:rPr>
        <w:t> </w:t>
      </w:r>
      <w:r>
        <w:rPr>
          <w:sz w:val="24"/>
        </w:rPr>
        <w:t>impair the</w:t>
      </w:r>
      <w:r>
        <w:rPr>
          <w:spacing w:val="-1"/>
          <w:sz w:val="24"/>
        </w:rPr>
        <w:t> </w:t>
      </w:r>
      <w:r>
        <w:rPr>
          <w:sz w:val="24"/>
        </w:rPr>
        <w:t>cell signaling. The</w:t>
      </w:r>
      <w:r>
        <w:rPr>
          <w:spacing w:val="-1"/>
          <w:sz w:val="24"/>
        </w:rPr>
        <w:t> </w:t>
      </w:r>
      <w:r>
        <w:rPr>
          <w:sz w:val="24"/>
        </w:rPr>
        <w:t>disorders include Graves’ disease and Myasthenia gravis.The use of Type V is rare as it is often included in Type II (Abbas and Lichtman, 2003).</w:t>
      </w:r>
    </w:p>
    <w:p>
      <w:pPr>
        <w:pStyle w:val="BodyText"/>
      </w:pPr>
    </w:p>
    <w:p>
      <w:pPr>
        <w:pStyle w:val="BodyText"/>
        <w:spacing w:before="4"/>
      </w:pPr>
    </w:p>
    <w:p>
      <w:pPr>
        <w:pStyle w:val="Heading2"/>
        <w:numPr>
          <w:ilvl w:val="1"/>
          <w:numId w:val="11"/>
        </w:numPr>
        <w:tabs>
          <w:tab w:pos="4348" w:val="left" w:leader="none"/>
        </w:tabs>
        <w:spacing w:line="240" w:lineRule="auto" w:before="0" w:after="0"/>
        <w:ind w:left="4348" w:right="0" w:hanging="1080"/>
        <w:jc w:val="left"/>
      </w:pPr>
      <w:r>
        <w:rPr/>
        <w:t>The</w:t>
      </w:r>
      <w:r>
        <w:rPr>
          <w:spacing w:val="-2"/>
        </w:rPr>
        <w:t> </w:t>
      </w:r>
      <w:r>
        <w:rPr/>
        <w:t>Models</w:t>
      </w:r>
      <w:r>
        <w:rPr>
          <w:spacing w:val="-1"/>
        </w:rPr>
        <w:t> </w:t>
      </w:r>
      <w:r>
        <w:rPr/>
        <w:t>Used</w:t>
      </w:r>
      <w:r>
        <w:rPr>
          <w:spacing w:val="-1"/>
        </w:rPr>
        <w:t> </w:t>
      </w:r>
      <w:r>
        <w:rPr/>
        <w:t>in</w:t>
      </w:r>
      <w:r>
        <w:rPr>
          <w:spacing w:val="-1"/>
        </w:rPr>
        <w:t> </w:t>
      </w:r>
      <w:r>
        <w:rPr/>
        <w:t>this </w:t>
      </w:r>
      <w:r>
        <w:rPr>
          <w:spacing w:val="-2"/>
        </w:rPr>
        <w:t>Study</w:t>
      </w:r>
    </w:p>
    <w:p>
      <w:pPr>
        <w:pStyle w:val="BodyText"/>
        <w:spacing w:before="240"/>
        <w:rPr>
          <w:b/>
        </w:rPr>
      </w:pPr>
    </w:p>
    <w:p>
      <w:pPr>
        <w:pStyle w:val="ListParagraph"/>
        <w:numPr>
          <w:ilvl w:val="2"/>
          <w:numId w:val="11"/>
        </w:numPr>
        <w:tabs>
          <w:tab w:pos="1467" w:val="left" w:leader="none"/>
        </w:tabs>
        <w:spacing w:line="240" w:lineRule="auto" w:before="0" w:after="0"/>
        <w:ind w:left="1467" w:right="0" w:hanging="720"/>
        <w:jc w:val="left"/>
        <w:rPr>
          <w:b/>
          <w:sz w:val="24"/>
        </w:rPr>
      </w:pPr>
      <w:r>
        <w:rPr>
          <w:b/>
          <w:sz w:val="24"/>
        </w:rPr>
        <w:t>Cyclophosphamide</w:t>
      </w:r>
      <w:r>
        <w:rPr>
          <w:b/>
          <w:spacing w:val="-4"/>
          <w:sz w:val="24"/>
        </w:rPr>
        <w:t> </w:t>
      </w:r>
      <w:r>
        <w:rPr>
          <w:b/>
          <w:sz w:val="24"/>
        </w:rPr>
        <w:t>induced</w:t>
      </w:r>
      <w:r>
        <w:rPr>
          <w:b/>
          <w:spacing w:val="-3"/>
          <w:sz w:val="24"/>
        </w:rPr>
        <w:t> </w:t>
      </w:r>
      <w:r>
        <w:rPr>
          <w:b/>
          <w:sz w:val="24"/>
        </w:rPr>
        <w:t>neutropenia</w:t>
      </w:r>
      <w:r>
        <w:rPr>
          <w:b/>
          <w:spacing w:val="-3"/>
          <w:sz w:val="24"/>
        </w:rPr>
        <w:t> </w:t>
      </w:r>
      <w:r>
        <w:rPr>
          <w:b/>
          <w:sz w:val="24"/>
        </w:rPr>
        <w:t>in</w:t>
      </w:r>
      <w:r>
        <w:rPr>
          <w:b/>
          <w:spacing w:val="-2"/>
          <w:sz w:val="24"/>
        </w:rPr>
        <w:t> </w:t>
      </w:r>
      <w:r>
        <w:rPr>
          <w:b/>
          <w:spacing w:val="-4"/>
          <w:sz w:val="24"/>
        </w:rPr>
        <w:t>rats</w:t>
      </w:r>
    </w:p>
    <w:p>
      <w:pPr>
        <w:spacing w:after="0" w:line="240" w:lineRule="auto"/>
        <w:jc w:val="left"/>
        <w:rPr>
          <w:sz w:val="24"/>
        </w:rPr>
        <w:sectPr>
          <w:pgSz w:w="11910" w:h="16840"/>
          <w:pgMar w:header="0" w:footer="981" w:top="1320" w:bottom="1180" w:left="1240" w:right="560"/>
        </w:sectPr>
      </w:pPr>
    </w:p>
    <w:p>
      <w:pPr>
        <w:pStyle w:val="BodyText"/>
        <w:spacing w:line="480" w:lineRule="auto" w:before="64"/>
        <w:ind w:left="747" w:right="844"/>
        <w:jc w:val="both"/>
      </w:pPr>
      <w:r>
        <w:rPr/>
        <w:t>Cyclophosphamide induced neutropenia in experimental animal models is an in-vivo method often used to check the effects of drugs on the blood forming (haematopoetic) system (Diwanay </w:t>
      </w:r>
      <w:r>
        <w:rPr>
          <w:i/>
        </w:rPr>
        <w:t>et al., </w:t>
      </w:r>
      <w:r>
        <w:rPr/>
        <w:t>2004</w:t>
      </w:r>
      <w:r>
        <w:rPr>
          <w:i/>
        </w:rPr>
        <w:t>)</w:t>
      </w:r>
      <w:r>
        <w:rPr/>
        <w:t>.</w:t>
      </w:r>
      <w:r>
        <w:rPr>
          <w:spacing w:val="40"/>
        </w:rPr>
        <w:t> </w:t>
      </w:r>
      <w:r>
        <w:rPr/>
        <w:t>Cyclophosphamide is a prodrug metabolized into active alkylating species by hepatic cytochrome p-450 enzymes and the produced alkylating species</w:t>
      </w:r>
      <w:r>
        <w:rPr>
          <w:spacing w:val="-2"/>
        </w:rPr>
        <w:t> </w:t>
      </w:r>
      <w:r>
        <w:rPr/>
        <w:t>then</w:t>
      </w:r>
      <w:r>
        <w:rPr>
          <w:spacing w:val="-1"/>
        </w:rPr>
        <w:t> </w:t>
      </w:r>
      <w:r>
        <w:rPr/>
        <w:t>bind</w:t>
      </w:r>
      <w:r>
        <w:rPr>
          <w:spacing w:val="-1"/>
        </w:rPr>
        <w:t> </w:t>
      </w:r>
      <w:r>
        <w:rPr/>
        <w:t>to</w:t>
      </w:r>
      <w:r>
        <w:rPr>
          <w:spacing w:val="-1"/>
        </w:rPr>
        <w:t> </w:t>
      </w:r>
      <w:r>
        <w:rPr/>
        <w:t>DNA</w:t>
      </w:r>
      <w:r>
        <w:rPr>
          <w:spacing w:val="-2"/>
        </w:rPr>
        <w:t> </w:t>
      </w:r>
      <w:r>
        <w:rPr/>
        <w:t>(Deoxyribonucleic</w:t>
      </w:r>
      <w:r>
        <w:rPr>
          <w:spacing w:val="-2"/>
        </w:rPr>
        <w:t> </w:t>
      </w:r>
      <w:r>
        <w:rPr/>
        <w:t>Acid)</w:t>
      </w:r>
      <w:r>
        <w:rPr>
          <w:spacing w:val="-2"/>
        </w:rPr>
        <w:t> </w:t>
      </w:r>
      <w:r>
        <w:rPr/>
        <w:t>to</w:t>
      </w:r>
      <w:r>
        <w:rPr>
          <w:spacing w:val="-1"/>
        </w:rPr>
        <w:t> </w:t>
      </w:r>
      <w:r>
        <w:rPr/>
        <w:t>form</w:t>
      </w:r>
      <w:r>
        <w:rPr>
          <w:spacing w:val="-1"/>
        </w:rPr>
        <w:t> </w:t>
      </w:r>
      <w:r>
        <w:rPr/>
        <w:t>cross-link</w:t>
      </w:r>
      <w:r>
        <w:rPr>
          <w:spacing w:val="-1"/>
        </w:rPr>
        <w:t> </w:t>
      </w:r>
      <w:r>
        <w:rPr/>
        <w:t>that</w:t>
      </w:r>
      <w:r>
        <w:rPr>
          <w:spacing w:val="-4"/>
        </w:rPr>
        <w:t> </w:t>
      </w:r>
      <w:r>
        <w:rPr/>
        <w:t>induce</w:t>
      </w:r>
      <w:r>
        <w:rPr>
          <w:spacing w:val="-3"/>
        </w:rPr>
        <w:t> </w:t>
      </w:r>
      <w:r>
        <w:rPr/>
        <w:t>strand breakage and thus kill actively replicating cells. Thus, at high doses it is a potent suppressor of the immune function that results in sustained decrease in both the number and function of T and B cells (Cupps </w:t>
      </w:r>
      <w:r>
        <w:rPr>
          <w:i/>
        </w:rPr>
        <w:t>et al.</w:t>
      </w:r>
      <w:r>
        <w:rPr/>
        <w:t>, 1982; Diwanay </w:t>
      </w:r>
      <w:r>
        <w:rPr>
          <w:i/>
        </w:rPr>
        <w:t>et al</w:t>
      </w:r>
      <w:r>
        <w:rPr/>
        <w:t>., 2004). A decrease in white blood cells due to Cyclophosphamide can be reduced or inhibited by agents that boost the immune system and so is often used to evaluate the immunomodulatory activity of drugs (Thatte </w:t>
      </w:r>
      <w:r>
        <w:rPr>
          <w:i/>
        </w:rPr>
        <w:t>et al., </w:t>
      </w:r>
      <w:r>
        <w:rPr/>
        <w:t>1987).</w:t>
      </w:r>
    </w:p>
    <w:p>
      <w:pPr>
        <w:pStyle w:val="BodyText"/>
      </w:pPr>
    </w:p>
    <w:p>
      <w:pPr>
        <w:pStyle w:val="BodyText"/>
        <w:spacing w:before="7"/>
      </w:pPr>
    </w:p>
    <w:p>
      <w:pPr>
        <w:pStyle w:val="ListParagraph"/>
        <w:numPr>
          <w:ilvl w:val="2"/>
          <w:numId w:val="11"/>
        </w:numPr>
        <w:tabs>
          <w:tab w:pos="1466" w:val="left" w:leader="none"/>
        </w:tabs>
        <w:spacing w:line="240" w:lineRule="auto" w:before="0" w:after="0"/>
        <w:ind w:left="1466" w:right="0" w:hanging="719"/>
        <w:jc w:val="both"/>
        <w:rPr>
          <w:b/>
          <w:sz w:val="24"/>
        </w:rPr>
      </w:pPr>
      <w:r>
        <w:rPr>
          <w:b/>
          <w:i/>
          <w:sz w:val="24"/>
        </w:rPr>
        <w:t>Escherichia</w:t>
      </w:r>
      <w:r>
        <w:rPr>
          <w:b/>
          <w:i/>
          <w:spacing w:val="-4"/>
          <w:sz w:val="24"/>
        </w:rPr>
        <w:t> </w:t>
      </w:r>
      <w:r>
        <w:rPr>
          <w:b/>
          <w:i/>
          <w:sz w:val="24"/>
        </w:rPr>
        <w:t>coli</w:t>
      </w:r>
      <w:r>
        <w:rPr>
          <w:b/>
          <w:sz w:val="24"/>
        </w:rPr>
        <w:t>-Induced</w:t>
      </w:r>
      <w:r>
        <w:rPr>
          <w:b/>
          <w:spacing w:val="-3"/>
          <w:sz w:val="24"/>
        </w:rPr>
        <w:t> </w:t>
      </w:r>
      <w:r>
        <w:rPr>
          <w:b/>
          <w:sz w:val="24"/>
        </w:rPr>
        <w:t>abdominal</w:t>
      </w:r>
      <w:r>
        <w:rPr>
          <w:b/>
          <w:spacing w:val="-3"/>
          <w:sz w:val="24"/>
        </w:rPr>
        <w:t> </w:t>
      </w:r>
      <w:r>
        <w:rPr>
          <w:b/>
          <w:spacing w:val="-2"/>
          <w:sz w:val="24"/>
        </w:rPr>
        <w:t>sepsis</w:t>
      </w:r>
    </w:p>
    <w:p>
      <w:pPr>
        <w:pStyle w:val="BodyText"/>
        <w:spacing w:line="480" w:lineRule="auto" w:before="271"/>
        <w:ind w:left="747" w:right="846"/>
        <w:jc w:val="both"/>
      </w:pPr>
      <w:r>
        <w:rPr>
          <w:i/>
        </w:rPr>
        <w:t>Escherichia coli </w:t>
      </w:r>
      <w:r>
        <w:rPr/>
        <w:t>is one of the major pathogens involved in septic conditions and </w:t>
      </w:r>
      <w:r>
        <w:rPr>
          <w:i/>
        </w:rPr>
        <w:t>E.coli </w:t>
      </w:r>
      <w:r>
        <w:rPr/>
        <w:t>peritonitis</w:t>
      </w:r>
      <w:r>
        <w:rPr>
          <w:spacing w:val="-1"/>
        </w:rPr>
        <w:t> </w:t>
      </w:r>
      <w:r>
        <w:rPr/>
        <w:t>is</w:t>
      </w:r>
      <w:r>
        <w:rPr>
          <w:spacing w:val="-3"/>
        </w:rPr>
        <w:t> </w:t>
      </w:r>
      <w:r>
        <w:rPr/>
        <w:t>a</w:t>
      </w:r>
      <w:r>
        <w:rPr>
          <w:spacing w:val="-2"/>
        </w:rPr>
        <w:t> </w:t>
      </w:r>
      <w:r>
        <w:rPr/>
        <w:t>life</w:t>
      </w:r>
      <w:r>
        <w:rPr>
          <w:spacing w:val="-3"/>
        </w:rPr>
        <w:t> </w:t>
      </w:r>
      <w:r>
        <w:rPr/>
        <w:t>threatening</w:t>
      </w:r>
      <w:r>
        <w:rPr>
          <w:spacing w:val="-4"/>
        </w:rPr>
        <w:t> </w:t>
      </w:r>
      <w:r>
        <w:rPr/>
        <w:t>disease.</w:t>
      </w:r>
      <w:r>
        <w:rPr>
          <w:spacing w:val="40"/>
        </w:rPr>
        <w:t> </w:t>
      </w:r>
      <w:r>
        <w:rPr>
          <w:i/>
        </w:rPr>
        <w:t>E.coli </w:t>
      </w:r>
      <w:r>
        <w:rPr/>
        <w:t>often</w:t>
      </w:r>
      <w:r>
        <w:rPr>
          <w:spacing w:val="-1"/>
        </w:rPr>
        <w:t> </w:t>
      </w:r>
      <w:r>
        <w:rPr/>
        <w:t>attacks</w:t>
      </w:r>
      <w:r>
        <w:rPr>
          <w:spacing w:val="-1"/>
        </w:rPr>
        <w:t> </w:t>
      </w:r>
      <w:r>
        <w:rPr/>
        <w:t>the</w:t>
      </w:r>
      <w:r>
        <w:rPr>
          <w:spacing w:val="-2"/>
        </w:rPr>
        <w:t> </w:t>
      </w:r>
      <w:r>
        <w:rPr/>
        <w:t>linings</w:t>
      </w:r>
      <w:r>
        <w:rPr>
          <w:spacing w:val="-1"/>
        </w:rPr>
        <w:t> </w:t>
      </w:r>
      <w:r>
        <w:rPr/>
        <w:t>of</w:t>
      </w:r>
      <w:r>
        <w:rPr>
          <w:spacing w:val="-2"/>
        </w:rPr>
        <w:t> </w:t>
      </w:r>
      <w:r>
        <w:rPr/>
        <w:t>the</w:t>
      </w:r>
      <w:r>
        <w:rPr>
          <w:spacing w:val="-2"/>
        </w:rPr>
        <w:t> </w:t>
      </w:r>
      <w:r>
        <w:rPr/>
        <w:t>peritoneum causing tissue degradation, damage and release of protease enzymes which often activates</w:t>
      </w:r>
      <w:r>
        <w:rPr>
          <w:spacing w:val="-2"/>
        </w:rPr>
        <w:t> </w:t>
      </w:r>
      <w:r>
        <w:rPr/>
        <w:t>the</w:t>
      </w:r>
      <w:r>
        <w:rPr>
          <w:spacing w:val="-2"/>
        </w:rPr>
        <w:t> </w:t>
      </w:r>
      <w:r>
        <w:rPr/>
        <w:t>leucocytes</w:t>
      </w:r>
      <w:r>
        <w:rPr>
          <w:spacing w:val="-1"/>
        </w:rPr>
        <w:t> </w:t>
      </w:r>
      <w:r>
        <w:rPr/>
        <w:t>to</w:t>
      </w:r>
      <w:r>
        <w:rPr>
          <w:spacing w:val="-1"/>
        </w:rPr>
        <w:t> </w:t>
      </w:r>
      <w:r>
        <w:rPr/>
        <w:t>produce</w:t>
      </w:r>
      <w:r>
        <w:rPr>
          <w:spacing w:val="-2"/>
        </w:rPr>
        <w:t> </w:t>
      </w:r>
      <w:r>
        <w:rPr/>
        <w:t>inflammatory</w:t>
      </w:r>
      <w:r>
        <w:rPr>
          <w:spacing w:val="-4"/>
        </w:rPr>
        <w:t> </w:t>
      </w:r>
      <w:r>
        <w:rPr/>
        <w:t>host</w:t>
      </w:r>
      <w:r>
        <w:rPr>
          <w:spacing w:val="-1"/>
        </w:rPr>
        <w:t> </w:t>
      </w:r>
      <w:r>
        <w:rPr/>
        <w:t>responses. </w:t>
      </w:r>
      <w:r>
        <w:rPr>
          <w:i/>
        </w:rPr>
        <w:t>E.coli </w:t>
      </w:r>
      <w:r>
        <w:rPr/>
        <w:t>strength</w:t>
      </w:r>
      <w:r>
        <w:rPr>
          <w:spacing w:val="-1"/>
        </w:rPr>
        <w:t> </w:t>
      </w:r>
      <w:r>
        <w:rPr/>
        <w:t>of</w:t>
      </w:r>
      <w:r>
        <w:rPr>
          <w:spacing w:val="-1"/>
        </w:rPr>
        <w:t> </w:t>
      </w:r>
      <w:r>
        <w:rPr/>
        <w:t>2.5</w:t>
      </w:r>
      <w:r>
        <w:rPr>
          <w:spacing w:val="-1"/>
        </w:rPr>
        <w:t> </w:t>
      </w:r>
      <w:r>
        <w:rPr/>
        <w:t>x 10</w:t>
      </w:r>
      <w:r>
        <w:rPr>
          <w:vertAlign w:val="superscript"/>
        </w:rPr>
        <w:t>8</w:t>
      </w:r>
      <w:r>
        <w:rPr>
          <w:vertAlign w:val="baseline"/>
        </w:rPr>
        <w:t> cells/ml had been reported to induce 100% mortality in mice due to sepsis (Pallable </w:t>
      </w:r>
      <w:r>
        <w:rPr>
          <w:i/>
          <w:vertAlign w:val="baseline"/>
        </w:rPr>
        <w:t>et al.</w:t>
      </w:r>
      <w:r>
        <w:rPr>
          <w:vertAlign w:val="baseline"/>
        </w:rPr>
        <w:t>, 1998). Agents that have the ability to enhance the production of antibodies</w:t>
      </w:r>
      <w:r>
        <w:rPr>
          <w:spacing w:val="40"/>
          <w:vertAlign w:val="baseline"/>
        </w:rPr>
        <w:t> </w:t>
      </w:r>
      <w:r>
        <w:rPr>
          <w:vertAlign w:val="baseline"/>
        </w:rPr>
        <w:t>usually counter the pathogenic effects due to </w:t>
      </w:r>
      <w:r>
        <w:rPr>
          <w:i/>
          <w:vertAlign w:val="baseline"/>
        </w:rPr>
        <w:t>E.coli </w:t>
      </w:r>
      <w:r>
        <w:rPr>
          <w:vertAlign w:val="baseline"/>
        </w:rPr>
        <w:t>infections by producing adequate host defense (Bruce </w:t>
      </w:r>
      <w:r>
        <w:rPr>
          <w:i/>
          <w:vertAlign w:val="baseline"/>
        </w:rPr>
        <w:t>et al</w:t>
      </w:r>
      <w:r>
        <w:rPr>
          <w:vertAlign w:val="baseline"/>
        </w:rPr>
        <w:t>., 2002).</w:t>
      </w:r>
    </w:p>
    <w:p>
      <w:pPr>
        <w:pStyle w:val="BodyText"/>
        <w:spacing w:before="275"/>
      </w:pPr>
    </w:p>
    <w:p>
      <w:pPr>
        <w:pStyle w:val="ListParagraph"/>
        <w:numPr>
          <w:ilvl w:val="2"/>
          <w:numId w:val="11"/>
        </w:numPr>
        <w:tabs>
          <w:tab w:pos="1466" w:val="left" w:leader="none"/>
        </w:tabs>
        <w:spacing w:line="480" w:lineRule="auto" w:before="0" w:after="0"/>
        <w:ind w:left="747" w:right="849" w:firstLine="0"/>
        <w:jc w:val="both"/>
        <w:rPr>
          <w:sz w:val="24"/>
        </w:rPr>
      </w:pPr>
      <w:r>
        <w:rPr>
          <w:b/>
          <w:sz w:val="24"/>
        </w:rPr>
        <w:t>Antigen-antibody response effect (</w:t>
      </w:r>
      <w:r>
        <w:rPr>
          <w:sz w:val="24"/>
        </w:rPr>
        <w:t>Antibody response to sheep red blood cell model): This model is widely used to evaluate delayed hypersensitivity reactions (an exaggerated</w:t>
      </w:r>
      <w:r>
        <w:rPr>
          <w:spacing w:val="40"/>
          <w:sz w:val="24"/>
        </w:rPr>
        <w:t> </w:t>
      </w:r>
      <w:r>
        <w:rPr>
          <w:sz w:val="24"/>
        </w:rPr>
        <w:t>immune</w:t>
      </w:r>
      <w:r>
        <w:rPr>
          <w:spacing w:val="40"/>
          <w:sz w:val="24"/>
        </w:rPr>
        <w:t> </w:t>
      </w:r>
      <w:r>
        <w:rPr>
          <w:sz w:val="24"/>
        </w:rPr>
        <w:t>reaction</w:t>
      </w:r>
      <w:r>
        <w:rPr>
          <w:spacing w:val="40"/>
          <w:sz w:val="24"/>
        </w:rPr>
        <w:t> </w:t>
      </w:r>
      <w:r>
        <w:rPr>
          <w:sz w:val="24"/>
        </w:rPr>
        <w:t>to</w:t>
      </w:r>
      <w:r>
        <w:rPr>
          <w:spacing w:val="40"/>
          <w:sz w:val="24"/>
        </w:rPr>
        <w:t> </w:t>
      </w:r>
      <w:r>
        <w:rPr>
          <w:sz w:val="24"/>
        </w:rPr>
        <w:t>pathogens).</w:t>
      </w:r>
      <w:r>
        <w:rPr>
          <w:spacing w:val="40"/>
          <w:sz w:val="24"/>
        </w:rPr>
        <w:t> </w:t>
      </w:r>
      <w:r>
        <w:rPr>
          <w:sz w:val="24"/>
        </w:rPr>
        <w:t>An</w:t>
      </w:r>
      <w:r>
        <w:rPr>
          <w:spacing w:val="40"/>
          <w:sz w:val="24"/>
        </w:rPr>
        <w:t> </w:t>
      </w:r>
      <w:r>
        <w:rPr>
          <w:sz w:val="24"/>
        </w:rPr>
        <w:t>immediate</w:t>
      </w:r>
      <w:r>
        <w:rPr>
          <w:spacing w:val="40"/>
          <w:sz w:val="24"/>
        </w:rPr>
        <w:t> </w:t>
      </w:r>
      <w:r>
        <w:rPr>
          <w:sz w:val="24"/>
        </w:rPr>
        <w:t>hypersensitivity</w:t>
      </w:r>
      <w:r>
        <w:rPr>
          <w:spacing w:val="38"/>
          <w:sz w:val="24"/>
        </w:rPr>
        <w:t> </w:t>
      </w:r>
      <w:r>
        <w:rPr>
          <w:sz w:val="24"/>
        </w:rPr>
        <w:t>reaction</w:t>
      </w:r>
    </w:p>
    <w:p>
      <w:pPr>
        <w:spacing w:after="0" w:line="480" w:lineRule="auto"/>
        <w:jc w:val="both"/>
        <w:rPr>
          <w:sz w:val="24"/>
        </w:rPr>
        <w:sectPr>
          <w:pgSz w:w="11910" w:h="16840"/>
          <w:pgMar w:header="0" w:footer="981" w:top="1320" w:bottom="1180" w:left="1240" w:right="560"/>
        </w:sectPr>
      </w:pPr>
    </w:p>
    <w:p>
      <w:pPr>
        <w:pStyle w:val="BodyText"/>
        <w:spacing w:line="480" w:lineRule="auto" w:before="64"/>
        <w:ind w:left="747" w:right="846"/>
        <w:jc w:val="both"/>
      </w:pPr>
      <w:r>
        <w:rPr/>
        <w:t>appears in the form of wheel and swelling (erythema) within few minutes of pathogenic invasion by interacting with cell fixed antibodies usually IgE; while the delayed hypersensitivity reactions occurs in form of necrosis within 18 to 24 hr resulting from the interaction of circulating complement fixing antibodies (IgG or IgM).</w:t>
      </w:r>
      <w:r>
        <w:rPr>
          <w:spacing w:val="40"/>
        </w:rPr>
        <w:t> </w:t>
      </w:r>
      <w:r>
        <w:rPr/>
        <w:t>Delayed hypersensitivity reactions are usually maximal at 48 to 72 hr of pathogenic invasion. Usually, lymphocytes infiltration occurs within 4-6 hrs following pathogenic invasion and</w:t>
      </w:r>
      <w:r>
        <w:rPr>
          <w:spacing w:val="75"/>
        </w:rPr>
        <w:t>   </w:t>
      </w:r>
      <w:r>
        <w:rPr/>
        <w:t>leading</w:t>
      </w:r>
      <w:r>
        <w:rPr>
          <w:spacing w:val="75"/>
        </w:rPr>
        <w:t>   </w:t>
      </w:r>
      <w:r>
        <w:rPr/>
        <w:t>to</w:t>
      </w:r>
      <w:r>
        <w:rPr>
          <w:spacing w:val="76"/>
        </w:rPr>
        <w:t>   </w:t>
      </w:r>
      <w:r>
        <w:rPr/>
        <w:t>the</w:t>
      </w:r>
      <w:r>
        <w:rPr>
          <w:spacing w:val="76"/>
        </w:rPr>
        <w:t>   </w:t>
      </w:r>
      <w:r>
        <w:rPr/>
        <w:t>production</w:t>
      </w:r>
      <w:r>
        <w:rPr>
          <w:spacing w:val="75"/>
        </w:rPr>
        <w:t>   </w:t>
      </w:r>
      <w:r>
        <w:rPr/>
        <w:t>of</w:t>
      </w:r>
      <w:r>
        <w:rPr>
          <w:spacing w:val="75"/>
        </w:rPr>
        <w:t>   </w:t>
      </w:r>
      <w:r>
        <w:rPr/>
        <w:t>cytokines</w:t>
      </w:r>
      <w:r>
        <w:rPr>
          <w:spacing w:val="78"/>
        </w:rPr>
        <w:t>   </w:t>
      </w:r>
      <w:r>
        <w:rPr/>
        <w:t>(Doherty,</w:t>
      </w:r>
      <w:r>
        <w:rPr>
          <w:spacing w:val="76"/>
        </w:rPr>
        <w:t>   </w:t>
      </w:r>
      <w:r>
        <w:rPr>
          <w:spacing w:val="-2"/>
        </w:rPr>
        <w:t>1981).</w:t>
      </w:r>
    </w:p>
    <w:p>
      <w:pPr>
        <w:spacing w:after="0" w:line="480" w:lineRule="auto"/>
        <w:jc w:val="both"/>
        <w:sectPr>
          <w:pgSz w:w="11910" w:h="16840"/>
          <w:pgMar w:header="0" w:footer="981" w:top="1320" w:bottom="1180" w:left="1240" w:right="560"/>
        </w:sectPr>
      </w:pPr>
    </w:p>
    <w:p>
      <w:pPr>
        <w:pStyle w:val="Heading1"/>
        <w:spacing w:before="69"/>
        <w:ind w:right="296"/>
      </w:pPr>
      <w:r>
        <w:rPr/>
        <w:t>CHAPTER</w:t>
      </w:r>
      <w:r>
        <w:rPr>
          <w:spacing w:val="-4"/>
        </w:rPr>
        <w:t> </w:t>
      </w:r>
      <w:r>
        <w:rPr>
          <w:spacing w:val="-2"/>
        </w:rPr>
        <w:t>THREE</w:t>
      </w:r>
    </w:p>
    <w:p>
      <w:pPr>
        <w:pStyle w:val="BodyText"/>
        <w:spacing w:before="240"/>
        <w:rPr>
          <w:b/>
        </w:rPr>
      </w:pPr>
    </w:p>
    <w:p>
      <w:pPr>
        <w:spacing w:before="1"/>
        <w:ind w:left="3102" w:right="0" w:firstLine="0"/>
        <w:jc w:val="left"/>
        <w:rPr>
          <w:b/>
          <w:sz w:val="24"/>
        </w:rPr>
      </w:pPr>
      <w:r>
        <w:rPr>
          <w:b/>
          <w:sz w:val="24"/>
        </w:rPr>
        <w:t>3.0</w:t>
      </w:r>
      <w:r>
        <w:rPr>
          <w:b/>
          <w:spacing w:val="29"/>
          <w:sz w:val="24"/>
        </w:rPr>
        <w:t>  </w:t>
      </w:r>
      <w:r>
        <w:rPr>
          <w:b/>
          <w:sz w:val="24"/>
        </w:rPr>
        <w:t>MATERIALS</w:t>
      </w:r>
      <w:r>
        <w:rPr>
          <w:b/>
          <w:spacing w:val="-1"/>
          <w:sz w:val="24"/>
        </w:rPr>
        <w:t> </w:t>
      </w:r>
      <w:r>
        <w:rPr>
          <w:b/>
          <w:sz w:val="24"/>
        </w:rPr>
        <w:t>AND </w:t>
      </w:r>
      <w:r>
        <w:rPr>
          <w:b/>
          <w:spacing w:val="-2"/>
          <w:sz w:val="24"/>
        </w:rPr>
        <w:t>METHODS</w:t>
      </w:r>
    </w:p>
    <w:p>
      <w:pPr>
        <w:pStyle w:val="BodyText"/>
        <w:spacing w:before="240"/>
        <w:rPr>
          <w:b/>
        </w:rPr>
      </w:pPr>
    </w:p>
    <w:p>
      <w:pPr>
        <w:pStyle w:val="Heading2"/>
        <w:numPr>
          <w:ilvl w:val="1"/>
          <w:numId w:val="18"/>
        </w:numPr>
        <w:tabs>
          <w:tab w:pos="4228" w:val="left" w:leader="none"/>
        </w:tabs>
        <w:spacing w:line="240" w:lineRule="auto" w:before="0" w:after="0"/>
        <w:ind w:left="4228" w:right="0" w:hanging="480"/>
        <w:jc w:val="left"/>
      </w:pPr>
      <w:r>
        <w:rPr>
          <w:spacing w:val="-2"/>
        </w:rPr>
        <w:t>Materials</w:t>
      </w:r>
    </w:p>
    <w:p>
      <w:pPr>
        <w:pStyle w:val="BodyText"/>
        <w:spacing w:before="240"/>
        <w:rPr>
          <w:b/>
        </w:rPr>
      </w:pPr>
    </w:p>
    <w:p>
      <w:pPr>
        <w:pStyle w:val="ListParagraph"/>
        <w:numPr>
          <w:ilvl w:val="2"/>
          <w:numId w:val="18"/>
        </w:numPr>
        <w:tabs>
          <w:tab w:pos="1406" w:val="left" w:leader="none"/>
        </w:tabs>
        <w:spacing w:line="240" w:lineRule="auto" w:before="0" w:after="0"/>
        <w:ind w:left="1406" w:right="0" w:hanging="659"/>
        <w:jc w:val="both"/>
        <w:rPr>
          <w:b/>
          <w:sz w:val="24"/>
        </w:rPr>
      </w:pPr>
      <w:r>
        <w:rPr>
          <w:b/>
          <w:sz w:val="24"/>
        </w:rPr>
        <w:t>Collection</w:t>
      </w:r>
      <w:r>
        <w:rPr>
          <w:b/>
          <w:spacing w:val="-2"/>
          <w:sz w:val="24"/>
        </w:rPr>
        <w:t> </w:t>
      </w:r>
      <w:r>
        <w:rPr>
          <w:b/>
          <w:sz w:val="24"/>
        </w:rPr>
        <w:t>and</w:t>
      </w:r>
      <w:r>
        <w:rPr>
          <w:b/>
          <w:spacing w:val="-1"/>
          <w:sz w:val="24"/>
        </w:rPr>
        <w:t> </w:t>
      </w:r>
      <w:r>
        <w:rPr>
          <w:b/>
          <w:sz w:val="24"/>
        </w:rPr>
        <w:t>Identification</w:t>
      </w:r>
      <w:r>
        <w:rPr>
          <w:b/>
          <w:spacing w:val="-1"/>
          <w:sz w:val="24"/>
        </w:rPr>
        <w:t> </w:t>
      </w:r>
      <w:r>
        <w:rPr>
          <w:b/>
          <w:sz w:val="24"/>
        </w:rPr>
        <w:t>of Plant</w:t>
      </w:r>
      <w:r>
        <w:rPr>
          <w:b/>
          <w:spacing w:val="-1"/>
          <w:sz w:val="24"/>
        </w:rPr>
        <w:t> </w:t>
      </w:r>
      <w:r>
        <w:rPr>
          <w:b/>
          <w:spacing w:val="-2"/>
          <w:sz w:val="24"/>
        </w:rPr>
        <w:t>Material</w:t>
      </w:r>
    </w:p>
    <w:p>
      <w:pPr>
        <w:pStyle w:val="BodyText"/>
        <w:spacing w:line="480" w:lineRule="auto" w:before="271"/>
        <w:ind w:left="747" w:right="846"/>
        <w:jc w:val="both"/>
      </w:pPr>
      <w:r>
        <w:rPr/>
        <w:t>Fresh leaves of </w:t>
      </w:r>
      <w:r>
        <w:rPr>
          <w:i/>
        </w:rPr>
        <w:t>Combretum micranthum </w:t>
      </w:r>
      <w:r>
        <w:rPr/>
        <w:t>were collected in September, 2011 from Malumfashi LGA of Katsina State and were identified and authenticated on 21</w:t>
      </w:r>
      <w:r>
        <w:rPr>
          <w:vertAlign w:val="superscript"/>
        </w:rPr>
        <w:t>st</w:t>
      </w:r>
      <w:r>
        <w:rPr>
          <w:vertAlign w:val="baseline"/>
        </w:rPr>
        <w:t> September 2011 by Mallam Umar Shehu Gallah, of the Herbarium unit of the Department of Biological Sciences, Ahmadu Bello University, Zaria with an existing voucher number of 900257.</w:t>
      </w:r>
    </w:p>
    <w:p>
      <w:pPr>
        <w:pStyle w:val="BodyText"/>
      </w:pPr>
    </w:p>
    <w:p>
      <w:pPr>
        <w:pStyle w:val="BodyText"/>
        <w:spacing w:before="5"/>
      </w:pPr>
    </w:p>
    <w:p>
      <w:pPr>
        <w:pStyle w:val="Heading2"/>
        <w:numPr>
          <w:ilvl w:val="2"/>
          <w:numId w:val="18"/>
        </w:numPr>
        <w:tabs>
          <w:tab w:pos="1466" w:val="left" w:leader="none"/>
        </w:tabs>
        <w:spacing w:line="240" w:lineRule="auto" w:before="1" w:after="0"/>
        <w:ind w:left="1466" w:right="0" w:hanging="719"/>
        <w:jc w:val="both"/>
      </w:pPr>
      <w:r>
        <w:rPr/>
        <w:t>Experimental</w:t>
      </w:r>
      <w:r>
        <w:rPr>
          <w:spacing w:val="-3"/>
        </w:rPr>
        <w:t> </w:t>
      </w:r>
      <w:r>
        <w:rPr>
          <w:spacing w:val="-2"/>
        </w:rPr>
        <w:t>Animals</w:t>
      </w:r>
    </w:p>
    <w:p>
      <w:pPr>
        <w:pStyle w:val="BodyText"/>
        <w:spacing w:line="480" w:lineRule="auto" w:before="271"/>
        <w:ind w:left="747" w:right="847"/>
        <w:jc w:val="both"/>
      </w:pPr>
      <w:r>
        <w:rPr/>
        <w:t>Adult albino mice (18-25 g) and Wistar rats (110-250 g) of both sexes were used throughout the study. The animals were obtained from the animal house of the Department of Pharmacology and Therapeutics, Faculty of Pharmaceutical Sciences, Ahmadu Bello University, Zaria. The animals were allowed to acclimatize to laboratory conditions for two weeks with food and water provided </w:t>
      </w:r>
      <w:r>
        <w:rPr>
          <w:i/>
        </w:rPr>
        <w:t>ad-libitum</w:t>
      </w:r>
      <w:r>
        <w:rPr/>
        <w:t>.</w:t>
      </w:r>
    </w:p>
    <w:p>
      <w:pPr>
        <w:pStyle w:val="BodyText"/>
      </w:pPr>
    </w:p>
    <w:p>
      <w:pPr>
        <w:pStyle w:val="BodyText"/>
        <w:spacing w:before="1"/>
      </w:pPr>
    </w:p>
    <w:p>
      <w:pPr>
        <w:pStyle w:val="ListParagraph"/>
        <w:numPr>
          <w:ilvl w:val="2"/>
          <w:numId w:val="18"/>
        </w:numPr>
        <w:tabs>
          <w:tab w:pos="1579" w:val="left" w:leader="none"/>
        </w:tabs>
        <w:spacing w:line="480" w:lineRule="auto" w:before="0" w:after="0"/>
        <w:ind w:left="747" w:right="844" w:firstLine="0"/>
        <w:jc w:val="both"/>
        <w:rPr>
          <w:sz w:val="24"/>
        </w:rPr>
      </w:pPr>
      <w:r>
        <w:rPr>
          <w:b/>
          <w:sz w:val="24"/>
        </w:rPr>
        <w:t>Microorganisms: </w:t>
      </w:r>
      <w:r>
        <w:rPr>
          <w:sz w:val="24"/>
        </w:rPr>
        <w:t>standard isolates of </w:t>
      </w:r>
      <w:r>
        <w:rPr>
          <w:i/>
          <w:sz w:val="24"/>
        </w:rPr>
        <w:t>Escherichia coli </w:t>
      </w:r>
      <w:r>
        <w:rPr>
          <w:sz w:val="24"/>
        </w:rPr>
        <w:t>(ATCC 11775) and </w:t>
      </w:r>
      <w:r>
        <w:rPr>
          <w:i/>
          <w:sz w:val="24"/>
        </w:rPr>
        <w:t>Staphylococcus aureus </w:t>
      </w:r>
      <w:r>
        <w:rPr>
          <w:sz w:val="24"/>
        </w:rPr>
        <w:t>ATCC 021001 and clinical isolates of </w:t>
      </w:r>
      <w:r>
        <w:rPr>
          <w:i/>
          <w:sz w:val="24"/>
        </w:rPr>
        <w:t>Klebsiella pneumoniae, Salmonella typhi, Proteous mirabilis </w:t>
      </w:r>
      <w:r>
        <w:rPr>
          <w:sz w:val="24"/>
        </w:rPr>
        <w:t>were obtained from the Department of Pharmaceutics and Pharmaceutical Microbiology, Faculty of Pharmaceutical Sciences, Ahmadu Bello University, Zaria.</w:t>
      </w:r>
    </w:p>
    <w:p>
      <w:pPr>
        <w:spacing w:after="0" w:line="480" w:lineRule="auto"/>
        <w:jc w:val="both"/>
        <w:rPr>
          <w:sz w:val="24"/>
        </w:rPr>
        <w:sectPr>
          <w:pgSz w:w="11910" w:h="16840"/>
          <w:pgMar w:header="0" w:footer="981" w:top="1320" w:bottom="1180" w:left="1240" w:right="560"/>
        </w:sectPr>
      </w:pPr>
    </w:p>
    <w:p>
      <w:pPr>
        <w:pStyle w:val="ListParagraph"/>
        <w:numPr>
          <w:ilvl w:val="2"/>
          <w:numId w:val="18"/>
        </w:numPr>
        <w:tabs>
          <w:tab w:pos="1471" w:val="left" w:leader="none"/>
        </w:tabs>
        <w:spacing w:line="480" w:lineRule="auto" w:before="64" w:after="0"/>
        <w:ind w:left="747" w:right="845" w:firstLine="0"/>
        <w:jc w:val="both"/>
        <w:rPr>
          <w:sz w:val="24"/>
        </w:rPr>
      </w:pPr>
      <w:r>
        <w:rPr>
          <w:b/>
          <w:sz w:val="24"/>
        </w:rPr>
        <w:t>Sheep red blood cells: </w:t>
      </w:r>
      <w:r>
        <w:rPr>
          <w:sz w:val="24"/>
        </w:rPr>
        <w:t>Red blood cells were harvested from the sheep of Uda breed from the National Animal Production Research Institute (NAPRI), Ahmadu Bello University, Zaria.</w:t>
      </w:r>
    </w:p>
    <w:p>
      <w:pPr>
        <w:pStyle w:val="BodyText"/>
      </w:pPr>
    </w:p>
    <w:p>
      <w:pPr>
        <w:pStyle w:val="BodyText"/>
        <w:spacing w:before="6"/>
      </w:pPr>
    </w:p>
    <w:p>
      <w:pPr>
        <w:pStyle w:val="Heading2"/>
        <w:numPr>
          <w:ilvl w:val="2"/>
          <w:numId w:val="18"/>
        </w:numPr>
        <w:tabs>
          <w:tab w:pos="1406" w:val="left" w:leader="none"/>
        </w:tabs>
        <w:spacing w:line="240" w:lineRule="auto" w:before="0" w:after="0"/>
        <w:ind w:left="1406" w:right="0" w:hanging="659"/>
        <w:jc w:val="left"/>
      </w:pPr>
      <w:r>
        <w:rPr>
          <w:spacing w:val="-2"/>
        </w:rPr>
        <w:t>Equipments</w:t>
      </w:r>
    </w:p>
    <w:p>
      <w:pPr>
        <w:pStyle w:val="BodyText"/>
        <w:spacing w:before="271"/>
        <w:ind w:left="747"/>
      </w:pPr>
      <w:r>
        <w:rPr/>
        <w:t>Weighing</w:t>
      </w:r>
      <w:r>
        <w:rPr>
          <w:spacing w:val="-5"/>
        </w:rPr>
        <w:t> </w:t>
      </w:r>
      <w:r>
        <w:rPr/>
        <w:t>balance</w:t>
      </w:r>
      <w:r>
        <w:rPr>
          <w:spacing w:val="-2"/>
        </w:rPr>
        <w:t> </w:t>
      </w:r>
      <w:r>
        <w:rPr/>
        <w:t>(Wet.</w:t>
      </w:r>
      <w:r>
        <w:rPr>
          <w:spacing w:val="2"/>
        </w:rPr>
        <w:t> </w:t>
      </w:r>
      <w:r>
        <w:rPr/>
        <w:t>Avery</w:t>
      </w:r>
      <w:r>
        <w:rPr>
          <w:spacing w:val="-4"/>
        </w:rPr>
        <w:t> </w:t>
      </w:r>
      <w:r>
        <w:rPr/>
        <w:t>Ltd,</w:t>
      </w:r>
      <w:r>
        <w:rPr>
          <w:spacing w:val="1"/>
        </w:rPr>
        <w:t> </w:t>
      </w:r>
      <w:r>
        <w:rPr/>
        <w:t>Birmingham, </w:t>
      </w:r>
      <w:r>
        <w:rPr>
          <w:spacing w:val="-2"/>
        </w:rPr>
        <w:t>England)</w:t>
      </w:r>
    </w:p>
    <w:p>
      <w:pPr>
        <w:pStyle w:val="BodyText"/>
      </w:pPr>
    </w:p>
    <w:p>
      <w:pPr>
        <w:pStyle w:val="BodyText"/>
        <w:spacing w:line="480" w:lineRule="auto"/>
        <w:ind w:left="747" w:right="2038"/>
      </w:pPr>
      <w:r>
        <w:rPr/>
        <w:t>Swelab</w:t>
      </w:r>
      <w:r>
        <w:rPr>
          <w:spacing w:val="-6"/>
        </w:rPr>
        <w:t> </w:t>
      </w:r>
      <w:r>
        <w:rPr/>
        <w:t>machine</w:t>
      </w:r>
      <w:r>
        <w:rPr>
          <w:spacing w:val="-6"/>
        </w:rPr>
        <w:t> </w:t>
      </w:r>
      <w:r>
        <w:rPr/>
        <w:t>(Boule</w:t>
      </w:r>
      <w:r>
        <w:rPr>
          <w:spacing w:val="-5"/>
        </w:rPr>
        <w:t> </w:t>
      </w:r>
      <w:r>
        <w:rPr/>
        <w:t>Medical</w:t>
      </w:r>
      <w:r>
        <w:rPr>
          <w:spacing w:val="-6"/>
        </w:rPr>
        <w:t> </w:t>
      </w:r>
      <w:r>
        <w:rPr/>
        <w:t>AB,</w:t>
      </w:r>
      <w:r>
        <w:rPr>
          <w:spacing w:val="-6"/>
        </w:rPr>
        <w:t> </w:t>
      </w:r>
      <w:r>
        <w:rPr/>
        <w:t>XE-12613</w:t>
      </w:r>
      <w:r>
        <w:rPr>
          <w:spacing w:val="-4"/>
        </w:rPr>
        <w:t> </w:t>
      </w:r>
      <w:r>
        <w:rPr/>
        <w:t>Stockholm,</w:t>
      </w:r>
      <w:r>
        <w:rPr>
          <w:spacing w:val="-6"/>
        </w:rPr>
        <w:t> </w:t>
      </w:r>
      <w:r>
        <w:rPr/>
        <w:t>Sweden) Heamatocrit centrifuge (Denley, BS400, UK)</w:t>
      </w:r>
    </w:p>
    <w:p>
      <w:pPr>
        <w:pStyle w:val="BodyText"/>
        <w:spacing w:before="1"/>
        <w:ind w:left="747"/>
      </w:pPr>
      <w:r>
        <w:rPr/>
        <w:t>Digital</w:t>
      </w:r>
      <w:r>
        <w:rPr>
          <w:spacing w:val="-2"/>
        </w:rPr>
        <w:t> </w:t>
      </w:r>
      <w:r>
        <w:rPr/>
        <w:t>calipers</w:t>
      </w:r>
      <w:r>
        <w:rPr>
          <w:spacing w:val="-2"/>
        </w:rPr>
        <w:t> </w:t>
      </w:r>
      <w:r>
        <w:rPr/>
        <w:t>(United</w:t>
      </w:r>
      <w:r>
        <w:rPr>
          <w:spacing w:val="-1"/>
        </w:rPr>
        <w:t> </w:t>
      </w:r>
      <w:r>
        <w:rPr/>
        <w:t>Precision</w:t>
      </w:r>
      <w:r>
        <w:rPr>
          <w:spacing w:val="-2"/>
        </w:rPr>
        <w:t> </w:t>
      </w:r>
      <w:r>
        <w:rPr/>
        <w:t>Machine -</w:t>
      </w:r>
      <w:r>
        <w:rPr>
          <w:spacing w:val="-1"/>
        </w:rPr>
        <w:t> </w:t>
      </w:r>
      <w:r>
        <w:rPr/>
        <w:t>UPR</w:t>
      </w:r>
      <w:r>
        <w:rPr>
          <w:vertAlign w:val="superscript"/>
        </w:rPr>
        <w:t>®</w:t>
      </w:r>
      <w:r>
        <w:rPr>
          <w:spacing w:val="-1"/>
          <w:vertAlign w:val="baseline"/>
        </w:rPr>
        <w:t> </w:t>
      </w:r>
      <w:r>
        <w:rPr>
          <w:vertAlign w:val="baseline"/>
        </w:rPr>
        <w:t>Inc.,</w:t>
      </w:r>
      <w:r>
        <w:rPr>
          <w:spacing w:val="-2"/>
          <w:vertAlign w:val="baseline"/>
        </w:rPr>
        <w:t> China)</w:t>
      </w:r>
    </w:p>
    <w:p>
      <w:pPr>
        <w:pStyle w:val="BodyText"/>
      </w:pPr>
    </w:p>
    <w:p>
      <w:pPr>
        <w:pStyle w:val="BodyText"/>
        <w:spacing w:line="480" w:lineRule="auto"/>
        <w:ind w:left="747" w:right="847"/>
        <w:jc w:val="both"/>
      </w:pPr>
      <w:r>
        <w:rPr/>
        <w:t>Mortar and Pestle, refrigerator spatula, animal cages, animal feeds, needles and</w:t>
      </w:r>
      <w:r>
        <w:rPr>
          <w:spacing w:val="40"/>
        </w:rPr>
        <w:t> </w:t>
      </w:r>
      <w:r>
        <w:rPr/>
        <w:t>syringes, cotton wool, cannular, scissors, evacuated (EDTA) tubes and other sample bottles,</w:t>
      </w:r>
      <w:r>
        <w:rPr>
          <w:spacing w:val="80"/>
        </w:rPr>
        <w:t> </w:t>
      </w:r>
      <w:r>
        <w:rPr/>
        <w:t>capillary tubes, marker and masking tape were used during the investigation.</w:t>
      </w:r>
    </w:p>
    <w:p>
      <w:pPr>
        <w:pStyle w:val="BodyText"/>
      </w:pPr>
    </w:p>
    <w:p>
      <w:pPr>
        <w:pStyle w:val="BodyText"/>
        <w:spacing w:before="5"/>
      </w:pPr>
    </w:p>
    <w:p>
      <w:pPr>
        <w:pStyle w:val="Heading2"/>
        <w:numPr>
          <w:ilvl w:val="2"/>
          <w:numId w:val="18"/>
        </w:numPr>
        <w:tabs>
          <w:tab w:pos="1467" w:val="left" w:leader="none"/>
        </w:tabs>
        <w:spacing w:line="240" w:lineRule="auto" w:before="0" w:after="0"/>
        <w:ind w:left="1467" w:right="0" w:hanging="720"/>
        <w:jc w:val="left"/>
      </w:pPr>
      <w:r>
        <w:rPr/>
        <w:t>Drugs,</w:t>
      </w:r>
      <w:r>
        <w:rPr>
          <w:spacing w:val="-3"/>
        </w:rPr>
        <w:t> </w:t>
      </w:r>
      <w:r>
        <w:rPr/>
        <w:t>Chemicals and</w:t>
      </w:r>
      <w:r>
        <w:rPr>
          <w:spacing w:val="-1"/>
        </w:rPr>
        <w:t> </w:t>
      </w:r>
      <w:r>
        <w:rPr>
          <w:spacing w:val="-2"/>
        </w:rPr>
        <w:t>Solvents</w:t>
      </w:r>
    </w:p>
    <w:p>
      <w:pPr>
        <w:pStyle w:val="BodyText"/>
        <w:spacing w:line="480" w:lineRule="auto" w:before="271"/>
        <w:ind w:left="747" w:right="842"/>
      </w:pPr>
      <w:r>
        <w:rPr/>
        <w:t>Cyclophosphamide</w:t>
      </w:r>
      <w:r>
        <w:rPr>
          <w:spacing w:val="40"/>
        </w:rPr>
        <w:t> </w:t>
      </w:r>
      <w:r>
        <w:rPr/>
        <w:t>injection</w:t>
      </w:r>
      <w:r>
        <w:rPr>
          <w:spacing w:val="40"/>
        </w:rPr>
        <w:t> </w:t>
      </w:r>
      <w:r>
        <w:rPr/>
        <w:t>500</w:t>
      </w:r>
      <w:r>
        <w:rPr>
          <w:spacing w:val="40"/>
        </w:rPr>
        <w:t> </w:t>
      </w:r>
      <w:r>
        <w:rPr/>
        <w:t>mg</w:t>
      </w:r>
      <w:r>
        <w:rPr>
          <w:spacing w:val="40"/>
        </w:rPr>
        <w:t> </w:t>
      </w:r>
      <w:r>
        <w:rPr/>
        <w:t>(Neon</w:t>
      </w:r>
      <w:r>
        <w:rPr>
          <w:spacing w:val="40"/>
        </w:rPr>
        <w:t> </w:t>
      </w:r>
      <w:r>
        <w:rPr/>
        <w:t>laboratories</w:t>
      </w:r>
      <w:r>
        <w:rPr>
          <w:spacing w:val="40"/>
        </w:rPr>
        <w:t> </w:t>
      </w:r>
      <w:r>
        <w:rPr/>
        <w:t>Ltd</w:t>
      </w:r>
      <w:r>
        <w:rPr>
          <w:spacing w:val="40"/>
        </w:rPr>
        <w:t> </w:t>
      </w:r>
      <w:r>
        <w:rPr/>
        <w:t>India).</w:t>
      </w:r>
      <w:r>
        <w:rPr>
          <w:spacing w:val="40"/>
        </w:rPr>
        <w:t> </w:t>
      </w:r>
      <w:r>
        <w:rPr/>
        <w:t>Batch</w:t>
      </w:r>
      <w:r>
        <w:rPr>
          <w:spacing w:val="40"/>
        </w:rPr>
        <w:t> </w:t>
      </w:r>
      <w:r>
        <w:rPr/>
        <w:t>Number- 29206, Manufacturing Date- DEC-2012, Expiry Date-NOV-2013</w:t>
      </w:r>
    </w:p>
    <w:p>
      <w:pPr>
        <w:pStyle w:val="BodyText"/>
        <w:spacing w:line="480" w:lineRule="auto" w:before="1"/>
        <w:ind w:left="747" w:right="846"/>
      </w:pPr>
      <w:r>
        <w:rPr/>
        <w:t>Dexamethasone</w:t>
      </w:r>
      <w:r>
        <w:rPr>
          <w:spacing w:val="80"/>
        </w:rPr>
        <w:t> </w:t>
      </w:r>
      <w:r>
        <w:rPr/>
        <w:t>1mg/tablet</w:t>
      </w:r>
      <w:r>
        <w:rPr>
          <w:spacing w:val="80"/>
        </w:rPr>
        <w:t> </w:t>
      </w:r>
      <w:r>
        <w:rPr/>
        <w:t>(Jianasu</w:t>
      </w:r>
      <w:r>
        <w:rPr>
          <w:spacing w:val="80"/>
        </w:rPr>
        <w:t> </w:t>
      </w:r>
      <w:r>
        <w:rPr/>
        <w:t>Pengyao</w:t>
      </w:r>
      <w:r>
        <w:rPr>
          <w:spacing w:val="80"/>
        </w:rPr>
        <w:t> </w:t>
      </w:r>
      <w:r>
        <w:rPr/>
        <w:t>Pharmaceutical</w:t>
      </w:r>
      <w:r>
        <w:rPr>
          <w:spacing w:val="80"/>
        </w:rPr>
        <w:t> </w:t>
      </w:r>
      <w:r>
        <w:rPr/>
        <w:t>Inc.</w:t>
      </w:r>
      <w:r>
        <w:rPr>
          <w:spacing w:val="80"/>
        </w:rPr>
        <w:t> </w:t>
      </w:r>
      <w:r>
        <w:rPr/>
        <w:t>China).</w:t>
      </w:r>
      <w:r>
        <w:rPr>
          <w:spacing w:val="80"/>
        </w:rPr>
        <w:t> </w:t>
      </w:r>
      <w:r>
        <w:rPr/>
        <w:t>Batch</w:t>
      </w:r>
      <w:r>
        <w:rPr>
          <w:spacing w:val="40"/>
        </w:rPr>
        <w:t> </w:t>
      </w:r>
      <w:r>
        <w:rPr/>
        <w:t>Number-0401, Manufacturing Date-04/2012, Expiry Date-04/2015</w:t>
      </w:r>
    </w:p>
    <w:p>
      <w:pPr>
        <w:pStyle w:val="BodyText"/>
        <w:spacing w:line="480" w:lineRule="auto"/>
        <w:ind w:left="747" w:right="4691"/>
      </w:pPr>
      <w:r>
        <w:rPr/>
        <w:t>Ethanol</w:t>
      </w:r>
      <w:r>
        <w:rPr>
          <w:spacing w:val="-8"/>
        </w:rPr>
        <w:t> </w:t>
      </w:r>
      <w:r>
        <w:rPr/>
        <w:t>(BDH</w:t>
      </w:r>
      <w:r>
        <w:rPr>
          <w:spacing w:val="-8"/>
        </w:rPr>
        <w:t> </w:t>
      </w:r>
      <w:r>
        <w:rPr/>
        <w:t>Chemical</w:t>
      </w:r>
      <w:r>
        <w:rPr>
          <w:spacing w:val="-6"/>
        </w:rPr>
        <w:t> </w:t>
      </w:r>
      <w:r>
        <w:rPr/>
        <w:t>Ltd</w:t>
      </w:r>
      <w:r>
        <w:rPr>
          <w:spacing w:val="-8"/>
        </w:rPr>
        <w:t> </w:t>
      </w:r>
      <w:r>
        <w:rPr/>
        <w:t>Poole</w:t>
      </w:r>
      <w:r>
        <w:rPr>
          <w:spacing w:val="-8"/>
        </w:rPr>
        <w:t> </w:t>
      </w:r>
      <w:r>
        <w:rPr/>
        <w:t>England) Distilled water</w:t>
      </w:r>
    </w:p>
    <w:p>
      <w:pPr>
        <w:pStyle w:val="BodyText"/>
        <w:spacing w:line="480" w:lineRule="auto"/>
        <w:ind w:left="747" w:right="3353"/>
      </w:pPr>
      <w:r>
        <w:rPr/>
        <w:t>Normal</w:t>
      </w:r>
      <w:r>
        <w:rPr>
          <w:spacing w:val="-4"/>
        </w:rPr>
        <w:t> </w:t>
      </w:r>
      <w:r>
        <w:rPr/>
        <w:t>saline</w:t>
      </w:r>
      <w:r>
        <w:rPr>
          <w:spacing w:val="-5"/>
        </w:rPr>
        <w:t> </w:t>
      </w:r>
      <w:r>
        <w:rPr/>
        <w:t>(0.9</w:t>
      </w:r>
      <w:r>
        <w:rPr>
          <w:spacing w:val="-2"/>
        </w:rPr>
        <w:t> </w:t>
      </w:r>
      <w:r>
        <w:rPr/>
        <w:t>g</w:t>
      </w:r>
      <w:r>
        <w:rPr>
          <w:spacing w:val="-7"/>
        </w:rPr>
        <w:t> </w:t>
      </w:r>
      <w:r>
        <w:rPr/>
        <w:t>NaCl</w:t>
      </w:r>
      <w:r>
        <w:rPr>
          <w:spacing w:val="-4"/>
        </w:rPr>
        <w:t> </w:t>
      </w:r>
      <w:r>
        <w:rPr/>
        <w:t>in</w:t>
      </w:r>
      <w:r>
        <w:rPr>
          <w:spacing w:val="-4"/>
        </w:rPr>
        <w:t> </w:t>
      </w:r>
      <w:r>
        <w:rPr/>
        <w:t>100</w:t>
      </w:r>
      <w:r>
        <w:rPr>
          <w:spacing w:val="-4"/>
        </w:rPr>
        <w:t> </w:t>
      </w:r>
      <w:r>
        <w:rPr/>
        <w:t>ml</w:t>
      </w:r>
      <w:r>
        <w:rPr>
          <w:spacing w:val="-4"/>
        </w:rPr>
        <w:t> </w:t>
      </w:r>
      <w:r>
        <w:rPr/>
        <w:t>of</w:t>
      </w:r>
      <w:r>
        <w:rPr>
          <w:spacing w:val="-4"/>
        </w:rPr>
        <w:t> </w:t>
      </w:r>
      <w:r>
        <w:rPr/>
        <w:t>Distilled</w:t>
      </w:r>
      <w:r>
        <w:rPr>
          <w:spacing w:val="-4"/>
        </w:rPr>
        <w:t> </w:t>
      </w:r>
      <w:r>
        <w:rPr/>
        <w:t>Water) Nutrient Broth (Oxoid Ltd England)</w:t>
      </w:r>
    </w:p>
    <w:p>
      <w:pPr>
        <w:pStyle w:val="BodyText"/>
      </w:pPr>
    </w:p>
    <w:p>
      <w:pPr>
        <w:pStyle w:val="BodyText"/>
      </w:pPr>
    </w:p>
    <w:p>
      <w:pPr>
        <w:pStyle w:val="BodyText"/>
      </w:pPr>
    </w:p>
    <w:p>
      <w:pPr>
        <w:pStyle w:val="BodyText"/>
      </w:pPr>
    </w:p>
    <w:p>
      <w:pPr>
        <w:pStyle w:val="BodyText"/>
        <w:spacing w:before="174"/>
      </w:pPr>
    </w:p>
    <w:p>
      <w:pPr>
        <w:pStyle w:val="Heading2"/>
        <w:numPr>
          <w:ilvl w:val="1"/>
          <w:numId w:val="18"/>
        </w:numPr>
        <w:tabs>
          <w:tab w:pos="4228" w:val="left" w:leader="none"/>
        </w:tabs>
        <w:spacing w:line="240" w:lineRule="auto" w:before="0" w:after="0"/>
        <w:ind w:left="4228" w:right="0" w:hanging="480"/>
        <w:jc w:val="left"/>
      </w:pPr>
      <w:r>
        <w:rPr>
          <w:spacing w:val="-2"/>
        </w:rPr>
        <w:t>Methods</w:t>
      </w:r>
    </w:p>
    <w:p>
      <w:pPr>
        <w:spacing w:after="0" w:line="240" w:lineRule="auto"/>
        <w:jc w:val="left"/>
        <w:sectPr>
          <w:pgSz w:w="11910" w:h="16840"/>
          <w:pgMar w:header="0" w:footer="981" w:top="1320" w:bottom="1180" w:left="1240" w:right="560"/>
        </w:sectPr>
      </w:pPr>
    </w:p>
    <w:p>
      <w:pPr>
        <w:pStyle w:val="ListParagraph"/>
        <w:numPr>
          <w:ilvl w:val="2"/>
          <w:numId w:val="18"/>
        </w:numPr>
        <w:tabs>
          <w:tab w:pos="1406" w:val="left" w:leader="none"/>
        </w:tabs>
        <w:spacing w:line="240" w:lineRule="auto" w:before="69" w:after="0"/>
        <w:ind w:left="1406" w:right="0" w:hanging="659"/>
        <w:jc w:val="both"/>
        <w:rPr>
          <w:b/>
          <w:sz w:val="24"/>
        </w:rPr>
      </w:pPr>
      <w:r>
        <w:rPr>
          <w:b/>
          <w:sz w:val="24"/>
        </w:rPr>
        <w:t>Preparation</w:t>
      </w:r>
      <w:r>
        <w:rPr>
          <w:b/>
          <w:spacing w:val="-2"/>
          <w:sz w:val="24"/>
        </w:rPr>
        <w:t> </w:t>
      </w:r>
      <w:r>
        <w:rPr>
          <w:b/>
          <w:sz w:val="24"/>
        </w:rPr>
        <w:t>of</w:t>
      </w:r>
      <w:r>
        <w:rPr>
          <w:b/>
          <w:spacing w:val="-1"/>
          <w:sz w:val="24"/>
        </w:rPr>
        <w:t> </w:t>
      </w:r>
      <w:r>
        <w:rPr>
          <w:b/>
          <w:sz w:val="24"/>
        </w:rPr>
        <w:t>plant</w:t>
      </w:r>
      <w:r>
        <w:rPr>
          <w:b/>
          <w:spacing w:val="-2"/>
          <w:sz w:val="24"/>
        </w:rPr>
        <w:t> extract</w:t>
      </w:r>
    </w:p>
    <w:p>
      <w:pPr>
        <w:pStyle w:val="BodyText"/>
        <w:spacing w:line="480" w:lineRule="auto" w:before="272"/>
        <w:ind w:left="747" w:right="845"/>
        <w:jc w:val="both"/>
      </w:pPr>
      <w:r>
        <w:rPr/>
        <w:t>The leaves of </w:t>
      </w:r>
      <w:r>
        <w:rPr>
          <w:i/>
        </w:rPr>
        <w:t>Combretum micranthum </w:t>
      </w:r>
      <w:r>
        <w:rPr/>
        <w:t>were dried under shade for a period of 4 weeks until a constant weight was obtained and then crushed into powder form. The powdered material</w:t>
      </w:r>
      <w:r>
        <w:rPr>
          <w:spacing w:val="-1"/>
        </w:rPr>
        <w:t> </w:t>
      </w:r>
      <w:r>
        <w:rPr/>
        <w:t>(500</w:t>
      </w:r>
      <w:r>
        <w:rPr>
          <w:spacing w:val="-2"/>
        </w:rPr>
        <w:t> </w:t>
      </w:r>
      <w:r>
        <w:rPr/>
        <w:t>g)</w:t>
      </w:r>
      <w:r>
        <w:rPr>
          <w:spacing w:val="-2"/>
        </w:rPr>
        <w:t> </w:t>
      </w:r>
      <w:r>
        <w:rPr/>
        <w:t>obtained was</w:t>
      </w:r>
      <w:r>
        <w:rPr>
          <w:spacing w:val="-1"/>
        </w:rPr>
        <w:t> </w:t>
      </w:r>
      <w:r>
        <w:rPr/>
        <w:t>packed</w:t>
      </w:r>
      <w:r>
        <w:rPr>
          <w:spacing w:val="-1"/>
        </w:rPr>
        <w:t> </w:t>
      </w:r>
      <w:r>
        <w:rPr/>
        <w:t>into</w:t>
      </w:r>
      <w:r>
        <w:rPr>
          <w:spacing w:val="-1"/>
        </w:rPr>
        <w:t> </w:t>
      </w:r>
      <w:r>
        <w:rPr/>
        <w:t>a</w:t>
      </w:r>
      <w:r>
        <w:rPr>
          <w:spacing w:val="-2"/>
        </w:rPr>
        <w:t> </w:t>
      </w:r>
      <w:r>
        <w:rPr/>
        <w:t>filter</w:t>
      </w:r>
      <w:r>
        <w:rPr>
          <w:spacing w:val="-2"/>
        </w:rPr>
        <w:t> </w:t>
      </w:r>
      <w:r>
        <w:rPr/>
        <w:t>thimble</w:t>
      </w:r>
      <w:r>
        <w:rPr>
          <w:spacing w:val="-2"/>
        </w:rPr>
        <w:t> </w:t>
      </w:r>
      <w:r>
        <w:rPr/>
        <w:t>and</w:t>
      </w:r>
      <w:r>
        <w:rPr>
          <w:spacing w:val="-1"/>
        </w:rPr>
        <w:t> </w:t>
      </w:r>
      <w:r>
        <w:rPr/>
        <w:t>soaked</w:t>
      </w:r>
      <w:r>
        <w:rPr>
          <w:spacing w:val="-1"/>
        </w:rPr>
        <w:t> </w:t>
      </w:r>
      <w:r>
        <w:rPr/>
        <w:t>with</w:t>
      </w:r>
      <w:r>
        <w:rPr>
          <w:spacing w:val="-3"/>
        </w:rPr>
        <w:t> </w:t>
      </w:r>
      <w:r>
        <w:rPr/>
        <w:t>70% aqueous ethanol for 72 hours after which the mixture was filtered to obtain liquid extract. The filtrate was then evaporated to dryness using a rotary evaporator set at 55</w:t>
      </w:r>
      <w:r>
        <w:rPr>
          <w:vertAlign w:val="superscript"/>
        </w:rPr>
        <w:t>o</w:t>
      </w:r>
      <w:r>
        <w:rPr>
          <w:vertAlign w:val="baseline"/>
        </w:rPr>
        <w:t>C. The obtained</w:t>
      </w:r>
      <w:r>
        <w:rPr>
          <w:spacing w:val="-1"/>
          <w:vertAlign w:val="baseline"/>
        </w:rPr>
        <w:t> </w:t>
      </w:r>
      <w:r>
        <w:rPr>
          <w:vertAlign w:val="baseline"/>
        </w:rPr>
        <w:t>dark-green</w:t>
      </w:r>
      <w:r>
        <w:rPr>
          <w:spacing w:val="1"/>
          <w:vertAlign w:val="baseline"/>
        </w:rPr>
        <w:t> </w:t>
      </w:r>
      <w:r>
        <w:rPr>
          <w:vertAlign w:val="baseline"/>
        </w:rPr>
        <w:t>ethanol</w:t>
      </w:r>
      <w:r>
        <w:rPr>
          <w:spacing w:val="-1"/>
          <w:vertAlign w:val="baseline"/>
        </w:rPr>
        <w:t> </w:t>
      </w:r>
      <w:r>
        <w:rPr>
          <w:vertAlign w:val="baseline"/>
        </w:rPr>
        <w:t>extract</w:t>
      </w:r>
      <w:r>
        <w:rPr>
          <w:spacing w:val="-1"/>
          <w:vertAlign w:val="baseline"/>
        </w:rPr>
        <w:t> </w:t>
      </w:r>
      <w:r>
        <w:rPr>
          <w:vertAlign w:val="baseline"/>
        </w:rPr>
        <w:t>was</w:t>
      </w:r>
      <w:r>
        <w:rPr>
          <w:spacing w:val="-1"/>
          <w:vertAlign w:val="baseline"/>
        </w:rPr>
        <w:t> </w:t>
      </w:r>
      <w:r>
        <w:rPr>
          <w:vertAlign w:val="baseline"/>
        </w:rPr>
        <w:t>then stored</w:t>
      </w:r>
      <w:r>
        <w:rPr>
          <w:spacing w:val="-1"/>
          <w:vertAlign w:val="baseline"/>
        </w:rPr>
        <w:t> </w:t>
      </w:r>
      <w:r>
        <w:rPr>
          <w:vertAlign w:val="baseline"/>
        </w:rPr>
        <w:t>in</w:t>
      </w:r>
      <w:r>
        <w:rPr>
          <w:spacing w:val="-1"/>
          <w:vertAlign w:val="baseline"/>
        </w:rPr>
        <w:t> </w:t>
      </w:r>
      <w:r>
        <w:rPr>
          <w:vertAlign w:val="baseline"/>
        </w:rPr>
        <w:t>an</w:t>
      </w:r>
      <w:r>
        <w:rPr>
          <w:spacing w:val="-1"/>
          <w:vertAlign w:val="baseline"/>
        </w:rPr>
        <w:t> </w:t>
      </w:r>
      <w:r>
        <w:rPr>
          <w:vertAlign w:val="baseline"/>
        </w:rPr>
        <w:t>airtight</w:t>
      </w:r>
      <w:r>
        <w:rPr>
          <w:spacing w:val="-1"/>
          <w:vertAlign w:val="baseline"/>
        </w:rPr>
        <w:t> </w:t>
      </w:r>
      <w:r>
        <w:rPr>
          <w:vertAlign w:val="baseline"/>
        </w:rPr>
        <w:t>container</w:t>
      </w:r>
      <w:r>
        <w:rPr>
          <w:spacing w:val="1"/>
          <w:vertAlign w:val="baseline"/>
        </w:rPr>
        <w:t> </w:t>
      </w:r>
      <w:r>
        <w:rPr>
          <w:vertAlign w:val="baseline"/>
        </w:rPr>
        <w:t>until </w:t>
      </w:r>
      <w:r>
        <w:rPr>
          <w:spacing w:val="-2"/>
          <w:vertAlign w:val="baseline"/>
        </w:rPr>
        <w:t>needed.</w:t>
      </w:r>
    </w:p>
    <w:p>
      <w:pPr>
        <w:pStyle w:val="BodyText"/>
      </w:pPr>
    </w:p>
    <w:p>
      <w:pPr>
        <w:pStyle w:val="BodyText"/>
        <w:spacing w:before="5"/>
      </w:pPr>
    </w:p>
    <w:p>
      <w:pPr>
        <w:pStyle w:val="Heading2"/>
        <w:numPr>
          <w:ilvl w:val="2"/>
          <w:numId w:val="18"/>
        </w:numPr>
        <w:tabs>
          <w:tab w:pos="1406" w:val="left" w:leader="none"/>
        </w:tabs>
        <w:spacing w:line="240" w:lineRule="auto" w:before="1" w:after="0"/>
        <w:ind w:left="1406" w:right="0" w:hanging="659"/>
        <w:jc w:val="both"/>
      </w:pPr>
      <w:r>
        <w:rPr/>
        <w:t>Validation</w:t>
      </w:r>
      <w:r>
        <w:rPr>
          <w:spacing w:val="-3"/>
        </w:rPr>
        <w:t> </w:t>
      </w:r>
      <w:r>
        <w:rPr/>
        <w:t>of</w:t>
      </w:r>
      <w:r>
        <w:rPr>
          <w:spacing w:val="-2"/>
        </w:rPr>
        <w:t> </w:t>
      </w:r>
      <w:r>
        <w:rPr/>
        <w:t>the</w:t>
      </w:r>
      <w:r>
        <w:rPr>
          <w:spacing w:val="-4"/>
        </w:rPr>
        <w:t> </w:t>
      </w:r>
      <w:r>
        <w:rPr/>
        <w:t>phytochemical</w:t>
      </w:r>
      <w:r>
        <w:rPr>
          <w:spacing w:val="-1"/>
        </w:rPr>
        <w:t> </w:t>
      </w:r>
      <w:r>
        <w:rPr>
          <w:spacing w:val="-2"/>
        </w:rPr>
        <w:t>constituents</w:t>
      </w:r>
    </w:p>
    <w:p>
      <w:pPr>
        <w:pStyle w:val="BodyText"/>
        <w:spacing w:line="480" w:lineRule="auto" w:before="271"/>
        <w:ind w:left="747" w:right="852"/>
        <w:jc w:val="both"/>
      </w:pPr>
      <w:r>
        <w:rPr/>
        <w:t>The method of Evans (2002) was used to screen the extract for the previously reported constituents including carbohydrates, alkaloids, cardiac and steroidal glycosides, anthraquinones, steroids, saponins, flavonoids and tannins as outline below:</w:t>
      </w:r>
    </w:p>
    <w:p>
      <w:pPr>
        <w:pStyle w:val="BodyText"/>
      </w:pPr>
    </w:p>
    <w:p>
      <w:pPr>
        <w:pStyle w:val="BodyText"/>
      </w:pPr>
    </w:p>
    <w:p>
      <w:pPr>
        <w:pStyle w:val="ListParagraph"/>
        <w:numPr>
          <w:ilvl w:val="3"/>
          <w:numId w:val="18"/>
        </w:numPr>
        <w:tabs>
          <w:tab w:pos="1586" w:val="left" w:leader="none"/>
        </w:tabs>
        <w:spacing w:line="240" w:lineRule="auto" w:before="0" w:after="0"/>
        <w:ind w:left="1586" w:right="0" w:hanging="839"/>
        <w:jc w:val="both"/>
        <w:rPr>
          <w:i/>
          <w:sz w:val="24"/>
        </w:rPr>
      </w:pPr>
      <w:r>
        <w:rPr>
          <w:i/>
          <w:sz w:val="24"/>
        </w:rPr>
        <w:t>Carbohydrates</w:t>
      </w:r>
      <w:r>
        <w:rPr>
          <w:i/>
          <w:spacing w:val="-5"/>
          <w:sz w:val="24"/>
        </w:rPr>
        <w:t> </w:t>
      </w:r>
      <w:r>
        <w:rPr>
          <w:sz w:val="24"/>
        </w:rPr>
        <w:t>(Molisch’reagent</w:t>
      </w:r>
      <w:r>
        <w:rPr>
          <w:spacing w:val="-5"/>
          <w:sz w:val="24"/>
        </w:rPr>
        <w:t> </w:t>
      </w:r>
      <w:r>
        <w:rPr>
          <w:spacing w:val="-2"/>
          <w:sz w:val="24"/>
        </w:rPr>
        <w:t>test)</w:t>
      </w:r>
    </w:p>
    <w:p>
      <w:pPr>
        <w:pStyle w:val="BodyText"/>
      </w:pPr>
    </w:p>
    <w:p>
      <w:pPr>
        <w:pStyle w:val="BodyText"/>
        <w:spacing w:line="480" w:lineRule="auto"/>
        <w:ind w:left="747" w:right="847"/>
        <w:jc w:val="both"/>
      </w:pPr>
      <w:r>
        <w:rPr/>
        <w:t>Few drops of molisch reagent were added to 0.2g of extract dissolved in 5 ml of water</w:t>
      </w:r>
      <w:r>
        <w:rPr>
          <w:spacing w:val="40"/>
        </w:rPr>
        <w:t> </w:t>
      </w:r>
      <w:r>
        <w:rPr/>
        <w:t>in a test tube and concentrated H</w:t>
      </w:r>
      <w:r>
        <w:rPr>
          <w:vertAlign w:val="subscript"/>
        </w:rPr>
        <w:t>2</w:t>
      </w:r>
      <w:r>
        <w:rPr>
          <w:vertAlign w:val="baseline"/>
        </w:rPr>
        <w:t>SO</w:t>
      </w:r>
      <w:r>
        <w:rPr>
          <w:vertAlign w:val="subscript"/>
        </w:rPr>
        <w:t>4</w:t>
      </w:r>
      <w:r>
        <w:rPr>
          <w:vertAlign w:val="baseline"/>
        </w:rPr>
        <w:t> (1 ml) was added down the test tube side. Formation</w:t>
      </w:r>
      <w:r>
        <w:rPr>
          <w:spacing w:val="-1"/>
          <w:vertAlign w:val="baseline"/>
        </w:rPr>
        <w:t> </w:t>
      </w:r>
      <w:r>
        <w:rPr>
          <w:vertAlign w:val="baseline"/>
        </w:rPr>
        <w:t>of</w:t>
      </w:r>
      <w:r>
        <w:rPr>
          <w:spacing w:val="-1"/>
          <w:vertAlign w:val="baseline"/>
        </w:rPr>
        <w:t> </w:t>
      </w:r>
      <w:r>
        <w:rPr>
          <w:vertAlign w:val="baseline"/>
        </w:rPr>
        <w:t>a</w:t>
      </w:r>
      <w:r>
        <w:rPr>
          <w:spacing w:val="-2"/>
          <w:vertAlign w:val="baseline"/>
        </w:rPr>
        <w:t> </w:t>
      </w:r>
      <w:r>
        <w:rPr>
          <w:vertAlign w:val="baseline"/>
        </w:rPr>
        <w:t>purple</w:t>
      </w:r>
      <w:r>
        <w:rPr>
          <w:spacing w:val="-3"/>
          <w:vertAlign w:val="baseline"/>
        </w:rPr>
        <w:t> </w:t>
      </w:r>
      <w:r>
        <w:rPr>
          <w:vertAlign w:val="baseline"/>
        </w:rPr>
        <w:t>ring</w:t>
      </w:r>
      <w:r>
        <w:rPr>
          <w:spacing w:val="-4"/>
          <w:vertAlign w:val="baseline"/>
        </w:rPr>
        <w:t> </w:t>
      </w:r>
      <w:r>
        <w:rPr>
          <w:vertAlign w:val="baseline"/>
        </w:rPr>
        <w:t>coloured</w:t>
      </w:r>
      <w:r>
        <w:rPr>
          <w:spacing w:val="-1"/>
          <w:vertAlign w:val="baseline"/>
        </w:rPr>
        <w:t> </w:t>
      </w:r>
      <w:r>
        <w:rPr>
          <w:vertAlign w:val="baseline"/>
        </w:rPr>
        <w:t>layer</w:t>
      </w:r>
      <w:r>
        <w:rPr>
          <w:spacing w:val="-2"/>
          <w:vertAlign w:val="baseline"/>
        </w:rPr>
        <w:t> </w:t>
      </w:r>
      <w:r>
        <w:rPr>
          <w:vertAlign w:val="baseline"/>
        </w:rPr>
        <w:t>interphase</w:t>
      </w:r>
      <w:r>
        <w:rPr>
          <w:spacing w:val="-2"/>
          <w:vertAlign w:val="baseline"/>
        </w:rPr>
        <w:t> </w:t>
      </w:r>
      <w:r>
        <w:rPr>
          <w:vertAlign w:val="baseline"/>
        </w:rPr>
        <w:t>beneath</w:t>
      </w:r>
      <w:r>
        <w:rPr>
          <w:spacing w:val="-1"/>
          <w:vertAlign w:val="baseline"/>
        </w:rPr>
        <w:t> </w:t>
      </w:r>
      <w:r>
        <w:rPr>
          <w:vertAlign w:val="baseline"/>
        </w:rPr>
        <w:t>the</w:t>
      </w:r>
      <w:r>
        <w:rPr>
          <w:spacing w:val="-2"/>
          <w:vertAlign w:val="baseline"/>
        </w:rPr>
        <w:t> </w:t>
      </w:r>
      <w:r>
        <w:rPr>
          <w:vertAlign w:val="baseline"/>
        </w:rPr>
        <w:t>aqueous</w:t>
      </w:r>
      <w:r>
        <w:rPr>
          <w:spacing w:val="-1"/>
          <w:vertAlign w:val="baseline"/>
        </w:rPr>
        <w:t> </w:t>
      </w:r>
      <w:r>
        <w:rPr>
          <w:vertAlign w:val="baseline"/>
        </w:rPr>
        <w:t>layer confirms the presence of carbohydrates (Evans, 2002).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ListParagraph"/>
        <w:numPr>
          <w:ilvl w:val="3"/>
          <w:numId w:val="18"/>
        </w:numPr>
        <w:tabs>
          <w:tab w:pos="1586" w:val="left" w:leader="none"/>
        </w:tabs>
        <w:spacing w:line="240" w:lineRule="auto" w:before="0" w:after="0"/>
        <w:ind w:left="1586" w:right="0" w:hanging="839"/>
        <w:jc w:val="both"/>
        <w:rPr>
          <w:i/>
          <w:sz w:val="24"/>
        </w:rPr>
      </w:pPr>
      <w:r>
        <w:rPr>
          <w:i/>
          <w:spacing w:val="-2"/>
          <w:sz w:val="24"/>
        </w:rPr>
        <w:t>Alkaloids</w:t>
      </w:r>
    </w:p>
    <w:p>
      <w:pPr>
        <w:spacing w:after="0" w:line="240" w:lineRule="auto"/>
        <w:jc w:val="both"/>
        <w:rPr>
          <w:sz w:val="24"/>
        </w:rPr>
        <w:sectPr>
          <w:pgSz w:w="11910" w:h="16840"/>
          <w:pgMar w:header="0" w:footer="981" w:top="1320" w:bottom="1180" w:left="1240" w:right="560"/>
        </w:sectPr>
      </w:pPr>
    </w:p>
    <w:p>
      <w:pPr>
        <w:pStyle w:val="BodyText"/>
        <w:spacing w:line="480" w:lineRule="auto" w:before="64"/>
        <w:ind w:left="747" w:right="846"/>
        <w:jc w:val="both"/>
      </w:pPr>
      <w:r>
        <w:rPr/>
        <w:t>The extract 0.5g dissolved in 5 ml of water were mixed with equal volume of 1% aqueous hydrochloric acid (HCl), stirred over water bath for 3 minutes and filtered; 1ml of the filtrate was mixed with 1ml of Mayer’s reagent; and another 1ml of the filtrate was mixed with Wagner’s reagent; and yet another 1ml treated with Drangendorff’s reagent. The mixtures were checked for a white precipitate, brown precipitate and rose red precipitate respectively that indicate the presence of alkaloids (Evans, 2002).</w:t>
      </w:r>
    </w:p>
    <w:p>
      <w:pPr>
        <w:pStyle w:val="BodyText"/>
      </w:pPr>
    </w:p>
    <w:p>
      <w:pPr>
        <w:pStyle w:val="BodyText"/>
        <w:spacing w:before="2"/>
      </w:pPr>
    </w:p>
    <w:p>
      <w:pPr>
        <w:pStyle w:val="ListParagraph"/>
        <w:numPr>
          <w:ilvl w:val="3"/>
          <w:numId w:val="18"/>
        </w:numPr>
        <w:tabs>
          <w:tab w:pos="1586" w:val="left" w:leader="none"/>
        </w:tabs>
        <w:spacing w:line="240" w:lineRule="auto" w:before="0" w:after="0"/>
        <w:ind w:left="1586" w:right="0" w:hanging="839"/>
        <w:jc w:val="left"/>
        <w:rPr>
          <w:i/>
          <w:sz w:val="24"/>
        </w:rPr>
      </w:pPr>
      <w:r>
        <w:rPr>
          <w:i/>
          <w:sz w:val="24"/>
        </w:rPr>
        <w:t>Cardiac</w:t>
      </w:r>
      <w:r>
        <w:rPr>
          <w:i/>
          <w:spacing w:val="-1"/>
          <w:sz w:val="24"/>
        </w:rPr>
        <w:t> </w:t>
      </w:r>
      <w:r>
        <w:rPr>
          <w:i/>
          <w:spacing w:val="-2"/>
          <w:sz w:val="24"/>
        </w:rPr>
        <w:t>glycosides</w:t>
      </w:r>
    </w:p>
    <w:p>
      <w:pPr>
        <w:pStyle w:val="BodyText"/>
        <w:rPr>
          <w:i/>
        </w:rPr>
      </w:pPr>
    </w:p>
    <w:p>
      <w:pPr>
        <w:pStyle w:val="BodyText"/>
        <w:spacing w:line="480" w:lineRule="auto"/>
        <w:ind w:left="747" w:right="847"/>
        <w:jc w:val="both"/>
      </w:pPr>
      <w:r>
        <w:rPr/>
        <w:t>Kella-killiani Test: The extract (0.5 g) was dissolved in 2 ml of glacial acetic acid, 1ml of ferric chloride solution was added; and 1ml of concentrated H</w:t>
      </w:r>
      <w:r>
        <w:rPr>
          <w:vertAlign w:val="subscript"/>
        </w:rPr>
        <w:t>2</w:t>
      </w:r>
      <w:r>
        <w:rPr>
          <w:vertAlign w:val="baseline"/>
        </w:rPr>
        <w:t>SO</w:t>
      </w:r>
      <w:r>
        <w:rPr>
          <w:vertAlign w:val="subscript"/>
        </w:rPr>
        <w:t>4</w:t>
      </w:r>
      <w:r>
        <w:rPr>
          <w:spacing w:val="-13"/>
          <w:vertAlign w:val="baseline"/>
        </w:rPr>
        <w:t> </w:t>
      </w:r>
      <w:r>
        <w:rPr>
          <w:vertAlign w:val="baseline"/>
        </w:rPr>
        <w:t>was also added at an angle of 45 degree.</w:t>
      </w:r>
    </w:p>
    <w:p>
      <w:pPr>
        <w:pStyle w:val="BodyText"/>
      </w:pPr>
    </w:p>
    <w:p>
      <w:pPr>
        <w:pStyle w:val="BodyText"/>
      </w:pPr>
    </w:p>
    <w:p>
      <w:pPr>
        <w:pStyle w:val="BodyText"/>
        <w:spacing w:line="480" w:lineRule="auto"/>
        <w:ind w:left="747" w:right="845"/>
        <w:jc w:val="both"/>
      </w:pPr>
      <w:r>
        <w:rPr/>
        <w:t>Kedde’s Test: To 1ml of 2% 3, 5-dinitrobenzoic acid in 95% alcohol was added a little portion of extract and 5% sodium hydroxide and mixed. Both tests were checked for a purple ring interphase and a purple blue colour respectively that indicate presence of cardiac glycosides (Evans, 2002).</w:t>
      </w:r>
    </w:p>
    <w:p>
      <w:pPr>
        <w:pStyle w:val="BodyText"/>
      </w:pPr>
    </w:p>
    <w:p>
      <w:pPr>
        <w:pStyle w:val="BodyText"/>
      </w:pPr>
    </w:p>
    <w:p>
      <w:pPr>
        <w:pStyle w:val="ListParagraph"/>
        <w:numPr>
          <w:ilvl w:val="3"/>
          <w:numId w:val="18"/>
        </w:numPr>
        <w:tabs>
          <w:tab w:pos="1586" w:val="left" w:leader="none"/>
        </w:tabs>
        <w:spacing w:line="240" w:lineRule="auto" w:before="1" w:after="0"/>
        <w:ind w:left="1586" w:right="0" w:hanging="839"/>
        <w:jc w:val="left"/>
        <w:rPr>
          <w:i/>
          <w:sz w:val="24"/>
        </w:rPr>
      </w:pPr>
      <w:r>
        <w:rPr>
          <w:i/>
          <w:sz w:val="24"/>
        </w:rPr>
        <w:t>Test</w:t>
      </w:r>
      <w:r>
        <w:rPr>
          <w:i/>
          <w:spacing w:val="-1"/>
          <w:sz w:val="24"/>
        </w:rPr>
        <w:t> </w:t>
      </w:r>
      <w:r>
        <w:rPr>
          <w:i/>
          <w:sz w:val="24"/>
        </w:rPr>
        <w:t>for </w:t>
      </w:r>
      <w:r>
        <w:rPr>
          <w:i/>
          <w:spacing w:val="-2"/>
          <w:sz w:val="24"/>
        </w:rPr>
        <w:t>Steroid</w:t>
      </w:r>
    </w:p>
    <w:p>
      <w:pPr>
        <w:pStyle w:val="BodyText"/>
        <w:spacing w:line="480" w:lineRule="auto" w:before="276"/>
        <w:ind w:left="747" w:right="846"/>
        <w:jc w:val="both"/>
      </w:pPr>
      <w:r>
        <w:rPr/>
        <w:t>The extract 0.5g was dissolved in 2 ml chloroform and filtered. To the filterate, concentrated H</w:t>
      </w:r>
      <w:r>
        <w:rPr>
          <w:vertAlign w:val="subscript"/>
        </w:rPr>
        <w:t>2</w:t>
      </w:r>
      <w:r>
        <w:rPr>
          <w:vertAlign w:val="baseline"/>
        </w:rPr>
        <w:t>SO</w:t>
      </w:r>
      <w:r>
        <w:rPr>
          <w:vertAlign w:val="subscript"/>
        </w:rPr>
        <w:t>4</w:t>
      </w:r>
      <w:r>
        <w:rPr>
          <w:vertAlign w:val="baseline"/>
        </w:rPr>
        <w:t> acid (1 ml) in a pipette was added at the bottom of the test tube for Salkowsky reaction. Separation of the two liquids by a reddish brown ring colour indicates the presence of steroids (Evans, 2002).</w:t>
      </w:r>
    </w:p>
    <w:p>
      <w:pPr>
        <w:pStyle w:val="BodyText"/>
      </w:pPr>
    </w:p>
    <w:p>
      <w:pPr>
        <w:pStyle w:val="BodyText"/>
        <w:spacing w:before="238"/>
      </w:pPr>
    </w:p>
    <w:p>
      <w:pPr>
        <w:pStyle w:val="BodyText"/>
        <w:spacing w:line="480" w:lineRule="auto"/>
        <w:ind w:left="747" w:right="848"/>
        <w:jc w:val="both"/>
      </w:pPr>
      <w:r>
        <w:rPr/>
        <w:t>Liebermann-Burchard’s Test: 0.5g of the extract was dissolved in 2 ml of chloroform, 2 ml</w:t>
      </w:r>
      <w:r>
        <w:rPr>
          <w:spacing w:val="1"/>
        </w:rPr>
        <w:t> </w:t>
      </w:r>
      <w:r>
        <w:rPr/>
        <w:t>of</w:t>
      </w:r>
      <w:r>
        <w:rPr>
          <w:spacing w:val="3"/>
        </w:rPr>
        <w:t> </w:t>
      </w:r>
      <w:r>
        <w:rPr/>
        <w:t>acetic</w:t>
      </w:r>
      <w:r>
        <w:rPr>
          <w:spacing w:val="1"/>
        </w:rPr>
        <w:t> </w:t>
      </w:r>
      <w:r>
        <w:rPr/>
        <w:t>acid</w:t>
      </w:r>
      <w:r>
        <w:rPr>
          <w:spacing w:val="5"/>
        </w:rPr>
        <w:t> </w:t>
      </w:r>
      <w:r>
        <w:rPr/>
        <w:t>anhydride</w:t>
      </w:r>
      <w:r>
        <w:rPr>
          <w:spacing w:val="3"/>
        </w:rPr>
        <w:t> </w:t>
      </w:r>
      <w:r>
        <w:rPr/>
        <w:t>was</w:t>
      </w:r>
      <w:r>
        <w:rPr>
          <w:spacing w:val="2"/>
        </w:rPr>
        <w:t> </w:t>
      </w:r>
      <w:r>
        <w:rPr/>
        <w:t>added</w:t>
      </w:r>
      <w:r>
        <w:rPr>
          <w:spacing w:val="3"/>
        </w:rPr>
        <w:t> </w:t>
      </w:r>
      <w:r>
        <w:rPr/>
        <w:t>and</w:t>
      </w:r>
      <w:r>
        <w:rPr>
          <w:spacing w:val="4"/>
        </w:rPr>
        <w:t> </w:t>
      </w:r>
      <w:r>
        <w:rPr/>
        <w:t>mixed gently.</w:t>
      </w:r>
      <w:r>
        <w:rPr>
          <w:spacing w:val="3"/>
        </w:rPr>
        <w:t> </w:t>
      </w:r>
      <w:r>
        <w:rPr/>
        <w:t>1</w:t>
      </w:r>
      <w:r>
        <w:rPr>
          <w:spacing w:val="3"/>
        </w:rPr>
        <w:t> </w:t>
      </w:r>
      <w:r>
        <w:rPr/>
        <w:t>ml</w:t>
      </w:r>
      <w:r>
        <w:rPr>
          <w:spacing w:val="3"/>
        </w:rPr>
        <w:t> </w:t>
      </w:r>
      <w:r>
        <w:rPr/>
        <w:t>of</w:t>
      </w:r>
      <w:r>
        <w:rPr>
          <w:spacing w:val="2"/>
        </w:rPr>
        <w:t> </w:t>
      </w:r>
      <w:r>
        <w:rPr/>
        <w:t>concentrated</w:t>
      </w:r>
      <w:r>
        <w:rPr>
          <w:spacing w:val="3"/>
        </w:rPr>
        <w:t> </w:t>
      </w:r>
      <w:r>
        <w:rPr>
          <w:spacing w:val="-2"/>
        </w:rPr>
        <w:t>sulphuric</w:t>
      </w:r>
    </w:p>
    <w:p>
      <w:pPr>
        <w:spacing w:after="0" w:line="480" w:lineRule="auto"/>
        <w:jc w:val="both"/>
        <w:sectPr>
          <w:pgSz w:w="11910" w:h="16840"/>
          <w:pgMar w:header="0" w:footer="981" w:top="1320" w:bottom="1180" w:left="1240" w:right="560"/>
        </w:sectPr>
      </w:pPr>
    </w:p>
    <w:p>
      <w:pPr>
        <w:pStyle w:val="BodyText"/>
        <w:spacing w:line="480" w:lineRule="auto" w:before="64"/>
        <w:ind w:left="747" w:right="847"/>
        <w:jc w:val="both"/>
      </w:pPr>
      <w:r>
        <w:rPr/>
        <w:t>acid was added down the side of the test tube. Blue-green colour in the upper layer indicates the presence of triterpens (Evans, 2002).</w:t>
      </w:r>
    </w:p>
    <w:p>
      <w:pPr>
        <w:pStyle w:val="BodyText"/>
      </w:pPr>
    </w:p>
    <w:p>
      <w:pPr>
        <w:pStyle w:val="BodyText"/>
        <w:spacing w:before="1"/>
      </w:pPr>
    </w:p>
    <w:p>
      <w:pPr>
        <w:pStyle w:val="ListParagraph"/>
        <w:numPr>
          <w:ilvl w:val="3"/>
          <w:numId w:val="18"/>
        </w:numPr>
        <w:tabs>
          <w:tab w:pos="2188" w:val="left" w:leader="none"/>
        </w:tabs>
        <w:spacing w:line="240" w:lineRule="auto" w:before="0" w:after="0"/>
        <w:ind w:left="2188" w:right="0" w:hanging="1441"/>
        <w:jc w:val="left"/>
        <w:rPr>
          <w:i/>
          <w:sz w:val="24"/>
        </w:rPr>
      </w:pPr>
      <w:r>
        <w:rPr>
          <w:i/>
          <w:spacing w:val="-2"/>
          <w:sz w:val="24"/>
        </w:rPr>
        <w:t>Anthraquinones</w:t>
      </w:r>
    </w:p>
    <w:p>
      <w:pPr>
        <w:pStyle w:val="BodyText"/>
        <w:rPr>
          <w:i/>
        </w:rPr>
      </w:pPr>
    </w:p>
    <w:p>
      <w:pPr>
        <w:pStyle w:val="BodyText"/>
        <w:spacing w:line="480" w:lineRule="auto"/>
        <w:ind w:left="747" w:right="844"/>
        <w:jc w:val="both"/>
      </w:pPr>
      <w:r>
        <w:rPr/>
        <w:t>Borntrager’s Test: The extract (3 g) was dissolved with 10 ml of benzene and filtered to obtain the filtrate which was mixed with 5 ml of 10% ammonia solution. The mixture was shaken and the present of a red colour in the ammonia (lower) phase indicate the presence of free hydroxyl anthraquinones (Evans, 2002).</w:t>
      </w:r>
    </w:p>
    <w:p>
      <w:pPr>
        <w:pStyle w:val="BodyText"/>
      </w:pPr>
    </w:p>
    <w:p>
      <w:pPr>
        <w:pStyle w:val="BodyText"/>
        <w:spacing w:before="1"/>
      </w:pPr>
    </w:p>
    <w:p>
      <w:pPr>
        <w:pStyle w:val="BodyText"/>
        <w:spacing w:line="480" w:lineRule="auto"/>
        <w:ind w:left="747" w:right="847"/>
        <w:jc w:val="both"/>
      </w:pPr>
      <w:r>
        <w:rPr/>
        <w:t>For combined anthraquinones, 1 g of the extract was boiled with 5 ml of 10% hydrochloric acid for 3 minutes and filtered hot and then allowed to cool. The filtrate was mixed with 5 ml of benzene and pipetted off and half its volume was mixed with 10% ammonia solution and shaken gently. A red or pink colour in the ammonia (lower layer) phase indicates the presence of combined anthraquinones (Evans, 2002).</w:t>
      </w:r>
    </w:p>
    <w:p>
      <w:pPr>
        <w:pStyle w:val="BodyText"/>
      </w:pPr>
    </w:p>
    <w:p>
      <w:pPr>
        <w:pStyle w:val="BodyText"/>
      </w:pPr>
    </w:p>
    <w:p>
      <w:pPr>
        <w:pStyle w:val="ListParagraph"/>
        <w:numPr>
          <w:ilvl w:val="3"/>
          <w:numId w:val="19"/>
        </w:numPr>
        <w:tabs>
          <w:tab w:pos="1586" w:val="left" w:leader="none"/>
        </w:tabs>
        <w:spacing w:line="240" w:lineRule="auto" w:before="1" w:after="0"/>
        <w:ind w:left="1586" w:right="0" w:hanging="839"/>
        <w:jc w:val="left"/>
        <w:rPr>
          <w:sz w:val="24"/>
        </w:rPr>
      </w:pPr>
      <w:r>
        <w:rPr>
          <w:i/>
          <w:sz w:val="24"/>
        </w:rPr>
        <w:t>Saponins</w:t>
      </w:r>
      <w:r>
        <w:rPr>
          <w:i/>
          <w:spacing w:val="-3"/>
          <w:sz w:val="24"/>
        </w:rPr>
        <w:t> </w:t>
      </w:r>
      <w:r>
        <w:rPr>
          <w:sz w:val="24"/>
        </w:rPr>
        <w:t>(frothing</w:t>
      </w:r>
      <w:r>
        <w:rPr>
          <w:spacing w:val="-3"/>
          <w:sz w:val="24"/>
        </w:rPr>
        <w:t> </w:t>
      </w:r>
      <w:r>
        <w:rPr>
          <w:spacing w:val="-2"/>
          <w:sz w:val="24"/>
        </w:rPr>
        <w:t>test)</w:t>
      </w:r>
    </w:p>
    <w:p>
      <w:pPr>
        <w:pStyle w:val="BodyText"/>
        <w:spacing w:line="480" w:lineRule="auto" w:before="276"/>
        <w:ind w:left="747" w:right="846"/>
        <w:jc w:val="both"/>
      </w:pPr>
      <w:r>
        <w:rPr/>
        <w:t>The extract (0.5g) was dissolved in 10 ml of distilled water and shaken vigorously for</w:t>
      </w:r>
      <w:r>
        <w:rPr>
          <w:spacing w:val="40"/>
        </w:rPr>
        <w:t> </w:t>
      </w:r>
      <w:r>
        <w:rPr/>
        <w:t>30 seconds and allowed to stand for 30 minutes. A honey comb froths that persisted for 15 minutes indicate the presence of saponin (Evans, 2002).</w:t>
      </w:r>
    </w:p>
    <w:p>
      <w:pPr>
        <w:pStyle w:val="BodyText"/>
      </w:pPr>
    </w:p>
    <w:p>
      <w:pPr>
        <w:pStyle w:val="BodyText"/>
      </w:pPr>
    </w:p>
    <w:p>
      <w:pPr>
        <w:pStyle w:val="BodyText"/>
      </w:pPr>
    </w:p>
    <w:p>
      <w:pPr>
        <w:pStyle w:val="BodyText"/>
      </w:pPr>
    </w:p>
    <w:p>
      <w:pPr>
        <w:pStyle w:val="BodyText"/>
      </w:pPr>
    </w:p>
    <w:p>
      <w:pPr>
        <w:pStyle w:val="BodyText"/>
      </w:pPr>
    </w:p>
    <w:p>
      <w:pPr>
        <w:pStyle w:val="BodyText"/>
        <w:spacing w:before="274"/>
      </w:pPr>
    </w:p>
    <w:p>
      <w:pPr>
        <w:pStyle w:val="ListParagraph"/>
        <w:numPr>
          <w:ilvl w:val="3"/>
          <w:numId w:val="19"/>
        </w:numPr>
        <w:tabs>
          <w:tab w:pos="1586" w:val="left" w:leader="none"/>
        </w:tabs>
        <w:spacing w:line="240" w:lineRule="auto" w:before="0" w:after="0"/>
        <w:ind w:left="1586" w:right="0" w:hanging="839"/>
        <w:jc w:val="left"/>
        <w:rPr>
          <w:i/>
          <w:sz w:val="24"/>
        </w:rPr>
      </w:pPr>
      <w:r>
        <w:rPr>
          <w:i/>
          <w:spacing w:val="-2"/>
          <w:sz w:val="24"/>
        </w:rPr>
        <w:t>Flavonoids</w:t>
      </w:r>
    </w:p>
    <w:p>
      <w:pPr>
        <w:spacing w:after="0" w:line="240" w:lineRule="auto"/>
        <w:jc w:val="left"/>
        <w:rPr>
          <w:sz w:val="24"/>
        </w:rPr>
        <w:sectPr>
          <w:pgSz w:w="11910" w:h="16840"/>
          <w:pgMar w:header="0" w:footer="981" w:top="1320" w:bottom="1180" w:left="1240" w:right="560"/>
        </w:sectPr>
      </w:pPr>
    </w:p>
    <w:p>
      <w:pPr>
        <w:pStyle w:val="BodyText"/>
        <w:spacing w:line="480" w:lineRule="auto" w:before="64"/>
        <w:ind w:left="747" w:right="848"/>
        <w:jc w:val="both"/>
      </w:pPr>
      <w:r>
        <w:rPr/>
        <w:t>Shinoda Test: The extract (0.2 g) dissolved in 2 ml of methanol and warmed over water bath was filtered. Magnesium metals (4-5 pieces) and few drops of concentrated hydrochloric acid (HCl) were added to the filterate and observed for the pink colour of flavonoids (Evans, 2002).</w:t>
      </w:r>
    </w:p>
    <w:p>
      <w:pPr>
        <w:pStyle w:val="BodyText"/>
      </w:pPr>
    </w:p>
    <w:p>
      <w:pPr>
        <w:pStyle w:val="BodyText"/>
        <w:spacing w:before="1"/>
      </w:pPr>
    </w:p>
    <w:p>
      <w:pPr>
        <w:pStyle w:val="BodyText"/>
        <w:spacing w:line="480" w:lineRule="auto"/>
        <w:ind w:left="747" w:right="846"/>
        <w:jc w:val="both"/>
      </w:pPr>
      <w:r>
        <w:rPr/>
        <w:t>Sodium Hydroxide Test: Few drops of aqueous sodium hydroxide added to 0.2g of the extract was also observed for a yellow colour of flavonoids (Evans, 2002).</w:t>
      </w:r>
    </w:p>
    <w:p>
      <w:pPr>
        <w:pStyle w:val="BodyText"/>
      </w:pPr>
    </w:p>
    <w:p>
      <w:pPr>
        <w:pStyle w:val="BodyText"/>
        <w:spacing w:before="1"/>
      </w:pPr>
    </w:p>
    <w:p>
      <w:pPr>
        <w:pStyle w:val="ListParagraph"/>
        <w:numPr>
          <w:ilvl w:val="3"/>
          <w:numId w:val="19"/>
        </w:numPr>
        <w:tabs>
          <w:tab w:pos="1586" w:val="left" w:leader="none"/>
        </w:tabs>
        <w:spacing w:line="240" w:lineRule="auto" w:before="0" w:after="0"/>
        <w:ind w:left="1586" w:right="0" w:hanging="839"/>
        <w:jc w:val="left"/>
        <w:rPr>
          <w:i/>
          <w:sz w:val="24"/>
        </w:rPr>
      </w:pPr>
      <w:r>
        <w:rPr>
          <w:i/>
          <w:spacing w:val="-2"/>
          <w:sz w:val="24"/>
        </w:rPr>
        <w:t>Tannins</w:t>
      </w:r>
    </w:p>
    <w:p>
      <w:pPr>
        <w:pStyle w:val="BodyText"/>
        <w:rPr>
          <w:i/>
        </w:rPr>
      </w:pPr>
    </w:p>
    <w:p>
      <w:pPr>
        <w:pStyle w:val="BodyText"/>
        <w:spacing w:line="480" w:lineRule="auto"/>
        <w:ind w:left="747" w:right="849"/>
        <w:jc w:val="both"/>
      </w:pPr>
      <w:r>
        <w:rPr/>
        <w:t>Lead sub-acetate Test: the extract (3 g) boiled with 10 ml of water was cooled and filtered. Addition of 3 drops of lead sub-acetate solution to 1ml of the filtrate was used to check for formation of a white precipitate of tannin (Evans, 2002).</w:t>
      </w:r>
    </w:p>
    <w:p>
      <w:pPr>
        <w:pStyle w:val="BodyText"/>
      </w:pPr>
    </w:p>
    <w:p>
      <w:pPr>
        <w:pStyle w:val="BodyText"/>
      </w:pPr>
    </w:p>
    <w:p>
      <w:pPr>
        <w:pStyle w:val="BodyText"/>
        <w:spacing w:line="480" w:lineRule="auto"/>
        <w:ind w:left="747" w:right="848"/>
        <w:jc w:val="both"/>
      </w:pPr>
      <w:r>
        <w:rPr/>
        <w:t>Ferric chloride Test: A drop of 1% FeCl</w:t>
      </w:r>
      <w:r>
        <w:rPr>
          <w:vertAlign w:val="subscript"/>
        </w:rPr>
        <w:t>3</w:t>
      </w:r>
      <w:r>
        <w:rPr>
          <w:vertAlign w:val="baseline"/>
        </w:rPr>
        <w:t> solution added to 1 ml of the filtrate was also checked for blue-brownish precipitate of hydrolysable tannin (Evans, 2002).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0"/>
      </w:pPr>
    </w:p>
    <w:p>
      <w:pPr>
        <w:pStyle w:val="Heading2"/>
        <w:numPr>
          <w:ilvl w:val="2"/>
          <w:numId w:val="18"/>
        </w:numPr>
        <w:tabs>
          <w:tab w:pos="1406" w:val="left" w:leader="none"/>
        </w:tabs>
        <w:spacing w:line="240" w:lineRule="auto" w:before="0" w:after="0"/>
        <w:ind w:left="1406" w:right="0" w:hanging="659"/>
        <w:jc w:val="left"/>
      </w:pPr>
      <w:r>
        <w:rPr/>
        <w:t>Acute</w:t>
      </w:r>
      <w:r>
        <w:rPr>
          <w:spacing w:val="-3"/>
        </w:rPr>
        <w:t> </w:t>
      </w:r>
      <w:r>
        <w:rPr/>
        <w:t>toxicity </w:t>
      </w:r>
      <w:r>
        <w:rPr>
          <w:spacing w:val="-4"/>
        </w:rPr>
        <w:t>study</w:t>
      </w:r>
    </w:p>
    <w:p>
      <w:pPr>
        <w:spacing w:after="0" w:line="240" w:lineRule="auto"/>
        <w:jc w:val="left"/>
        <w:sectPr>
          <w:pgSz w:w="11910" w:h="16840"/>
          <w:pgMar w:header="0" w:footer="981" w:top="1320" w:bottom="1180" w:left="1240" w:right="560"/>
        </w:sectPr>
      </w:pPr>
    </w:p>
    <w:p>
      <w:pPr>
        <w:pStyle w:val="BodyText"/>
        <w:spacing w:line="480" w:lineRule="auto" w:before="64"/>
        <w:ind w:left="747" w:right="841"/>
        <w:jc w:val="both"/>
      </w:pPr>
      <w:r>
        <w:rPr/>
        <w:t>Lorke’s method of 1983 was used for the acute toxicity test. Three groups consisting of 3 per group were set up for both intraperitoneally (</w:t>
      </w:r>
      <w:r>
        <w:rPr>
          <w:i/>
        </w:rPr>
        <w:t>i.p.</w:t>
      </w:r>
      <w:r>
        <w:rPr/>
        <w:t>) and per-oral (</w:t>
      </w:r>
      <w:r>
        <w:rPr>
          <w:i/>
        </w:rPr>
        <w:t>p.o.</w:t>
      </w:r>
      <w:r>
        <w:rPr/>
        <w:t>) acute toxicity tests</w:t>
      </w:r>
      <w:r>
        <w:rPr>
          <w:spacing w:val="-2"/>
        </w:rPr>
        <w:t> </w:t>
      </w:r>
      <w:r>
        <w:rPr/>
        <w:t>in</w:t>
      </w:r>
      <w:r>
        <w:rPr>
          <w:spacing w:val="-2"/>
        </w:rPr>
        <w:t> </w:t>
      </w:r>
      <w:r>
        <w:rPr/>
        <w:t>mice</w:t>
      </w:r>
      <w:r>
        <w:rPr>
          <w:spacing w:val="-3"/>
        </w:rPr>
        <w:t> </w:t>
      </w:r>
      <w:r>
        <w:rPr/>
        <w:t>and also</w:t>
      </w:r>
      <w:r>
        <w:rPr>
          <w:spacing w:val="-2"/>
        </w:rPr>
        <w:t> </w:t>
      </w:r>
      <w:r>
        <w:rPr/>
        <w:t>repeated</w:t>
      </w:r>
      <w:r>
        <w:rPr>
          <w:spacing w:val="-2"/>
        </w:rPr>
        <w:t> </w:t>
      </w:r>
      <w:r>
        <w:rPr/>
        <w:t>in rat. In the</w:t>
      </w:r>
      <w:r>
        <w:rPr>
          <w:spacing w:val="-2"/>
        </w:rPr>
        <w:t> </w:t>
      </w:r>
      <w:r>
        <w:rPr/>
        <w:t>initial phase</w:t>
      </w:r>
      <w:r>
        <w:rPr>
          <w:spacing w:val="-2"/>
        </w:rPr>
        <w:t> </w:t>
      </w:r>
      <w:r>
        <w:rPr/>
        <w:t>of</w:t>
      </w:r>
      <w:r>
        <w:rPr>
          <w:spacing w:val="-1"/>
        </w:rPr>
        <w:t> </w:t>
      </w:r>
      <w:r>
        <w:rPr/>
        <w:t>the</w:t>
      </w:r>
      <w:r>
        <w:rPr>
          <w:spacing w:val="-2"/>
        </w:rPr>
        <w:t> </w:t>
      </w:r>
      <w:r>
        <w:rPr/>
        <w:t>experiment, the</w:t>
      </w:r>
      <w:r>
        <w:rPr>
          <w:spacing w:val="-2"/>
        </w:rPr>
        <w:t> </w:t>
      </w:r>
      <w:r>
        <w:rPr/>
        <w:t>extract</w:t>
      </w:r>
      <w:r>
        <w:rPr>
          <w:spacing w:val="-2"/>
        </w:rPr>
        <w:t> </w:t>
      </w:r>
      <w:r>
        <w:rPr/>
        <w:t>at doses of 10, 100, 1000 mg/kg body weight was administered and observed for 24 hours for signs of changes in the behavioral pattern and/or death. The second phase was carried out based on the results of the first phase and the extract at doses of 1600, 2900, 5000 mg/kg body weight was administered through same routes to two sets of three groups consisting of one mouse in each group. The same procedure was repeated for rats; and the median lethal doses for both routes were calculated as the geometric mean of the highest non-lethal and the lowest lethal doses for both animal species.</w:t>
      </w:r>
    </w:p>
    <w:p>
      <w:pPr>
        <w:pStyle w:val="BodyText"/>
      </w:pPr>
    </w:p>
    <w:p>
      <w:pPr>
        <w:pStyle w:val="BodyText"/>
        <w:spacing w:before="7"/>
      </w:pPr>
    </w:p>
    <w:p>
      <w:pPr>
        <w:pStyle w:val="Heading2"/>
        <w:numPr>
          <w:ilvl w:val="2"/>
          <w:numId w:val="18"/>
        </w:numPr>
        <w:tabs>
          <w:tab w:pos="1466" w:val="left" w:leader="none"/>
        </w:tabs>
        <w:spacing w:line="240" w:lineRule="auto" w:before="0" w:after="0"/>
        <w:ind w:left="1466" w:right="0" w:hanging="719"/>
        <w:jc w:val="both"/>
      </w:pPr>
      <w:r>
        <w:rPr/>
        <w:t>Cylophosphamide-induced</w:t>
      </w:r>
      <w:r>
        <w:rPr>
          <w:spacing w:val="-9"/>
        </w:rPr>
        <w:t> </w:t>
      </w:r>
      <w:r>
        <w:rPr>
          <w:spacing w:val="-2"/>
        </w:rPr>
        <w:t>neutropenia</w:t>
      </w:r>
    </w:p>
    <w:p>
      <w:pPr>
        <w:pStyle w:val="BodyText"/>
        <w:spacing w:line="480" w:lineRule="auto" w:before="271"/>
        <w:ind w:left="747" w:right="844"/>
        <w:jc w:val="both"/>
      </w:pPr>
      <w:r>
        <w:rPr/>
        <w:t>The method of Thatte</w:t>
      </w:r>
      <w:r>
        <w:rPr>
          <w:i/>
        </w:rPr>
        <w:t>, et al. </w:t>
      </w:r>
      <w:r>
        <w:rPr/>
        <w:t>(1987) was employed in this study.</w:t>
      </w:r>
      <w:r>
        <w:rPr>
          <w:spacing w:val="80"/>
        </w:rPr>
        <w:t> </w:t>
      </w:r>
      <w:r>
        <w:rPr/>
        <w:t>Adult Wistar rats in four groups of n = 5 were treated with distilled water (1 ml/kg) and extract doses of (50, 100 and 200 mg/kg) respectively for 10 days. After the 10</w:t>
      </w:r>
      <w:r>
        <w:rPr>
          <w:vertAlign w:val="superscript"/>
        </w:rPr>
        <w:t>th</w:t>
      </w:r>
      <w:r>
        <w:rPr>
          <w:vertAlign w:val="baseline"/>
        </w:rPr>
        <w:t> day drug administration, blood samples were collected from all the animals via the tail tip in each group after which the rats were then given a neutropenic dose of 200 mg/kg cyclophosphamide subcutaneously, and kept for 3 days. Another blood sample was collected after the 3 days and the total leukocyte count (TLC) and the differential leukocyte count (DLC) where the values of White Blood Cells, Red Blood Cells, Haemoglobin, Haematocrit (%), Lymphocytes (%), Neutrophils (%), Absolute Neutrophil Count, Mean</w:t>
      </w:r>
      <w:r>
        <w:rPr>
          <w:spacing w:val="80"/>
          <w:vertAlign w:val="baseline"/>
        </w:rPr>
        <w:t> </w:t>
      </w:r>
      <w:r>
        <w:rPr>
          <w:vertAlign w:val="baseline"/>
        </w:rPr>
        <w:t>Corpuscular Haemoglobin Concentration and Platelet were obtained for both samples.</w:t>
      </w:r>
    </w:p>
    <w:p>
      <w:pPr>
        <w:pStyle w:val="BodyText"/>
      </w:pPr>
    </w:p>
    <w:p>
      <w:pPr>
        <w:pStyle w:val="BodyText"/>
      </w:pPr>
    </w:p>
    <w:p>
      <w:pPr>
        <w:pStyle w:val="BodyText"/>
      </w:pPr>
    </w:p>
    <w:p>
      <w:pPr>
        <w:pStyle w:val="BodyText"/>
        <w:spacing w:before="4"/>
      </w:pPr>
    </w:p>
    <w:p>
      <w:pPr>
        <w:pStyle w:val="ListParagraph"/>
        <w:numPr>
          <w:ilvl w:val="2"/>
          <w:numId w:val="18"/>
        </w:numPr>
        <w:tabs>
          <w:tab w:pos="1646" w:val="left" w:leader="none"/>
        </w:tabs>
        <w:spacing w:line="240" w:lineRule="auto" w:before="0" w:after="0"/>
        <w:ind w:left="1646" w:right="0" w:hanging="899"/>
        <w:jc w:val="both"/>
        <w:rPr>
          <w:b/>
          <w:sz w:val="24"/>
        </w:rPr>
      </w:pPr>
      <w:r>
        <w:rPr>
          <w:b/>
          <w:sz w:val="24"/>
        </w:rPr>
        <w:t>Effect</w:t>
      </w:r>
      <w:r>
        <w:rPr>
          <w:b/>
          <w:spacing w:val="-2"/>
          <w:sz w:val="24"/>
        </w:rPr>
        <w:t> </w:t>
      </w:r>
      <w:r>
        <w:rPr>
          <w:b/>
          <w:sz w:val="24"/>
        </w:rPr>
        <w:t>of</w:t>
      </w:r>
      <w:r>
        <w:rPr>
          <w:b/>
          <w:spacing w:val="-1"/>
          <w:sz w:val="24"/>
        </w:rPr>
        <w:t> </w:t>
      </w:r>
      <w:r>
        <w:rPr>
          <w:b/>
          <w:sz w:val="24"/>
        </w:rPr>
        <w:t>the</w:t>
      </w:r>
      <w:r>
        <w:rPr>
          <w:b/>
          <w:spacing w:val="-3"/>
          <w:sz w:val="24"/>
        </w:rPr>
        <w:t> </w:t>
      </w:r>
      <w:r>
        <w:rPr>
          <w:b/>
          <w:sz w:val="24"/>
        </w:rPr>
        <w:t>extract</w:t>
      </w:r>
      <w:r>
        <w:rPr>
          <w:b/>
          <w:spacing w:val="-1"/>
          <w:sz w:val="24"/>
        </w:rPr>
        <w:t> </w:t>
      </w:r>
      <w:r>
        <w:rPr>
          <w:b/>
          <w:sz w:val="24"/>
        </w:rPr>
        <w:t>on </w:t>
      </w:r>
      <w:r>
        <w:rPr>
          <w:b/>
          <w:i/>
          <w:sz w:val="24"/>
        </w:rPr>
        <w:t>Escherichia</w:t>
      </w:r>
      <w:r>
        <w:rPr>
          <w:b/>
          <w:i/>
          <w:spacing w:val="-2"/>
          <w:sz w:val="24"/>
        </w:rPr>
        <w:t> </w:t>
      </w:r>
      <w:r>
        <w:rPr>
          <w:b/>
          <w:i/>
          <w:sz w:val="24"/>
        </w:rPr>
        <w:t>coli</w:t>
      </w:r>
      <w:r>
        <w:rPr>
          <w:b/>
          <w:sz w:val="24"/>
        </w:rPr>
        <w:t>-induced</w:t>
      </w:r>
      <w:r>
        <w:rPr>
          <w:b/>
          <w:spacing w:val="-1"/>
          <w:sz w:val="24"/>
        </w:rPr>
        <w:t> </w:t>
      </w:r>
      <w:r>
        <w:rPr>
          <w:b/>
          <w:sz w:val="24"/>
        </w:rPr>
        <w:t>abdominal</w:t>
      </w:r>
      <w:r>
        <w:rPr>
          <w:b/>
          <w:spacing w:val="-2"/>
          <w:sz w:val="24"/>
        </w:rPr>
        <w:t> </w:t>
      </w:r>
      <w:r>
        <w:rPr>
          <w:b/>
          <w:sz w:val="24"/>
        </w:rPr>
        <w:t>sepsis</w:t>
      </w:r>
      <w:r>
        <w:rPr>
          <w:b/>
          <w:spacing w:val="-1"/>
          <w:sz w:val="24"/>
        </w:rPr>
        <w:t> </w:t>
      </w:r>
      <w:r>
        <w:rPr>
          <w:b/>
          <w:sz w:val="24"/>
        </w:rPr>
        <w:t>in</w:t>
      </w:r>
      <w:r>
        <w:rPr>
          <w:b/>
          <w:spacing w:val="-3"/>
          <w:sz w:val="24"/>
        </w:rPr>
        <w:t> </w:t>
      </w:r>
      <w:r>
        <w:rPr>
          <w:b/>
          <w:spacing w:val="-4"/>
          <w:sz w:val="24"/>
        </w:rPr>
        <w:t>mice</w:t>
      </w:r>
    </w:p>
    <w:p>
      <w:pPr>
        <w:spacing w:after="0" w:line="240" w:lineRule="auto"/>
        <w:jc w:val="both"/>
        <w:rPr>
          <w:sz w:val="24"/>
        </w:rPr>
        <w:sectPr>
          <w:pgSz w:w="11910" w:h="16840"/>
          <w:pgMar w:header="0" w:footer="981" w:top="1320" w:bottom="1180" w:left="1240" w:right="560"/>
        </w:sectPr>
      </w:pPr>
    </w:p>
    <w:p>
      <w:pPr>
        <w:pStyle w:val="BodyText"/>
        <w:spacing w:line="480" w:lineRule="auto" w:before="64"/>
        <w:ind w:left="747" w:right="845"/>
        <w:jc w:val="both"/>
      </w:pPr>
      <w:r>
        <w:rPr/>
        <w:t>The experiment was conducted according to Pallable </w:t>
      </w:r>
      <w:r>
        <w:rPr>
          <w:i/>
        </w:rPr>
        <w:t>et al., </w:t>
      </w:r>
      <w:r>
        <w:rPr/>
        <w:t>(1998), </w:t>
      </w:r>
      <w:r>
        <w:rPr>
          <w:i/>
        </w:rPr>
        <w:t>Escherichia coli </w:t>
      </w:r>
      <w:r>
        <w:rPr/>
        <w:t>strength of 2.5 x 10</w:t>
      </w:r>
      <w:r>
        <w:rPr>
          <w:vertAlign w:val="superscript"/>
        </w:rPr>
        <w:t>8</w:t>
      </w:r>
      <w:r>
        <w:rPr>
          <w:vertAlign w:val="baseline"/>
        </w:rPr>
        <w:t> colony forming units/ml induces abdominal sepsis (localized peritonitis) that produces 100% mortality in mice. An overnight culture of a standard isolate of </w:t>
      </w:r>
      <w:r>
        <w:rPr>
          <w:i/>
          <w:vertAlign w:val="baseline"/>
        </w:rPr>
        <w:t>Escherichia coli </w:t>
      </w:r>
      <w:r>
        <w:rPr>
          <w:vertAlign w:val="baseline"/>
        </w:rPr>
        <w:t>was obtained whereby a medium of nutrient broth prepared by dissolving 13 g of the powder in 1 litre of distilled water was heated to boiling point for</w:t>
      </w:r>
      <w:r>
        <w:rPr>
          <w:spacing w:val="-1"/>
          <w:vertAlign w:val="baseline"/>
        </w:rPr>
        <w:t> </w:t>
      </w:r>
      <w:r>
        <w:rPr>
          <w:vertAlign w:val="baseline"/>
        </w:rPr>
        <w:t>complete dissolution and then sterilized by</w:t>
      </w:r>
      <w:r>
        <w:rPr>
          <w:spacing w:val="-4"/>
          <w:vertAlign w:val="baseline"/>
        </w:rPr>
        <w:t> </w:t>
      </w:r>
      <w:r>
        <w:rPr>
          <w:vertAlign w:val="baseline"/>
        </w:rPr>
        <w:t>placing</w:t>
      </w:r>
      <w:r>
        <w:rPr>
          <w:spacing w:val="-1"/>
          <w:vertAlign w:val="baseline"/>
        </w:rPr>
        <w:t> </w:t>
      </w:r>
      <w:r>
        <w:rPr>
          <w:vertAlign w:val="baseline"/>
        </w:rPr>
        <w:t>it in an autoclave at 121</w:t>
      </w:r>
      <w:r>
        <w:rPr>
          <w:rFonts w:ascii="Calibri" w:hAnsi="Calibri"/>
          <w:vertAlign w:val="baseline"/>
        </w:rPr>
        <w:t>⁰</w:t>
      </w:r>
      <w:r>
        <w:rPr>
          <w:vertAlign w:val="baseline"/>
        </w:rPr>
        <w:t>C for</w:t>
      </w:r>
      <w:r>
        <w:rPr>
          <w:spacing w:val="-1"/>
          <w:vertAlign w:val="baseline"/>
        </w:rPr>
        <w:t> </w:t>
      </w:r>
      <w:r>
        <w:rPr>
          <w:vertAlign w:val="baseline"/>
        </w:rPr>
        <w:t>15 minutes. Then 5 ml of the cold prepared broth was taken into a sample bottle and a loopful of the standard isolate of </w:t>
      </w:r>
      <w:r>
        <w:rPr>
          <w:i/>
          <w:vertAlign w:val="baseline"/>
        </w:rPr>
        <w:t>Escherichia coli </w:t>
      </w:r>
      <w:r>
        <w:rPr>
          <w:vertAlign w:val="baseline"/>
        </w:rPr>
        <w:t>(ATCC 11775) was inoculated onto it and incubated for 24 hours. Seven-fold serial dilution of this culture was made with normal saline</w:t>
      </w:r>
      <w:r>
        <w:rPr>
          <w:spacing w:val="-1"/>
          <w:vertAlign w:val="baseline"/>
        </w:rPr>
        <w:t> </w:t>
      </w:r>
      <w:r>
        <w:rPr>
          <w:vertAlign w:val="baseline"/>
        </w:rPr>
        <w:t>from which the</w:t>
      </w:r>
      <w:r>
        <w:rPr>
          <w:spacing w:val="-1"/>
          <w:vertAlign w:val="baseline"/>
        </w:rPr>
        <w:t> </w:t>
      </w:r>
      <w:r>
        <w:rPr>
          <w:vertAlign w:val="baseline"/>
        </w:rPr>
        <w:t>last dilution of</w:t>
      </w:r>
      <w:r>
        <w:rPr>
          <w:spacing w:val="-3"/>
          <w:vertAlign w:val="baseline"/>
        </w:rPr>
        <w:t> </w:t>
      </w:r>
      <w:r>
        <w:rPr>
          <w:vertAlign w:val="baseline"/>
        </w:rPr>
        <w:t>2.5</w:t>
      </w:r>
      <w:r>
        <w:rPr>
          <w:spacing w:val="-2"/>
          <w:vertAlign w:val="baseline"/>
        </w:rPr>
        <w:t> </w:t>
      </w:r>
      <w:r>
        <w:rPr>
          <w:vertAlign w:val="baseline"/>
        </w:rPr>
        <w:t>ml of</w:t>
      </w:r>
      <w:r>
        <w:rPr>
          <w:spacing w:val="-1"/>
          <w:vertAlign w:val="baseline"/>
        </w:rPr>
        <w:t> </w:t>
      </w:r>
      <w:r>
        <w:rPr>
          <w:vertAlign w:val="baseline"/>
        </w:rPr>
        <w:t>broth and 7.5</w:t>
      </w:r>
      <w:r>
        <w:rPr>
          <w:spacing w:val="-3"/>
          <w:vertAlign w:val="baseline"/>
        </w:rPr>
        <w:t> </w:t>
      </w:r>
      <w:r>
        <w:rPr>
          <w:vertAlign w:val="baseline"/>
        </w:rPr>
        <w:t>ml</w:t>
      </w:r>
      <w:r>
        <w:rPr>
          <w:spacing w:val="-2"/>
          <w:vertAlign w:val="baseline"/>
        </w:rPr>
        <w:t> </w:t>
      </w:r>
      <w:r>
        <w:rPr>
          <w:vertAlign w:val="baseline"/>
        </w:rPr>
        <w:t>of</w:t>
      </w:r>
      <w:r>
        <w:rPr>
          <w:spacing w:val="-1"/>
          <w:vertAlign w:val="baseline"/>
        </w:rPr>
        <w:t> </w:t>
      </w:r>
      <w:r>
        <w:rPr>
          <w:vertAlign w:val="baseline"/>
        </w:rPr>
        <w:t>normal saline was the required </w:t>
      </w:r>
      <w:r>
        <w:rPr>
          <w:i/>
          <w:vertAlign w:val="baseline"/>
        </w:rPr>
        <w:t>E. coli </w:t>
      </w:r>
      <w:r>
        <w:rPr>
          <w:vertAlign w:val="baseline"/>
        </w:rPr>
        <w:t>strength of 2.5 x 10</w:t>
      </w:r>
      <w:r>
        <w:rPr>
          <w:vertAlign w:val="superscript"/>
        </w:rPr>
        <w:t>8</w:t>
      </w:r>
      <w:r>
        <w:rPr>
          <w:spacing w:val="-11"/>
          <w:vertAlign w:val="baseline"/>
        </w:rPr>
        <w:t> </w:t>
      </w:r>
      <w:r>
        <w:rPr>
          <w:vertAlign w:val="baseline"/>
        </w:rPr>
        <w:t>colony forming unit/ml for the study.</w:t>
      </w:r>
    </w:p>
    <w:p>
      <w:pPr>
        <w:pStyle w:val="BodyText"/>
        <w:spacing w:line="480" w:lineRule="auto" w:before="2"/>
        <w:ind w:left="747" w:right="846"/>
        <w:jc w:val="both"/>
      </w:pPr>
      <w:r>
        <w:rPr/>
        <w:t>Twenty mice of both sexes were divided into 4 groups of 5 mice per group and pretreated with 10 ml/kg distilled water, 50, 100 and 200 mg/kg extract respectively for 15 days. Three hours after the 15</w:t>
      </w:r>
      <w:r>
        <w:rPr>
          <w:vertAlign w:val="superscript"/>
        </w:rPr>
        <w:t>th</w:t>
      </w:r>
      <w:r>
        <w:rPr>
          <w:vertAlign w:val="baseline"/>
        </w:rPr>
        <w:t> day pretreatment, 1 ml of the prepared </w:t>
      </w:r>
      <w:r>
        <w:rPr>
          <w:i/>
          <w:vertAlign w:val="baseline"/>
        </w:rPr>
        <w:t>E. coli</w:t>
      </w:r>
      <w:r>
        <w:rPr>
          <w:i/>
          <w:spacing w:val="40"/>
          <w:vertAlign w:val="baseline"/>
        </w:rPr>
        <w:t> </w:t>
      </w:r>
      <w:r>
        <w:rPr>
          <w:vertAlign w:val="baseline"/>
        </w:rPr>
        <w:t>strength was injected </w:t>
      </w:r>
      <w:r>
        <w:rPr>
          <w:i/>
          <w:vertAlign w:val="baseline"/>
        </w:rPr>
        <w:t>i.p. </w:t>
      </w:r>
      <w:r>
        <w:rPr>
          <w:vertAlign w:val="baseline"/>
        </w:rPr>
        <w:t>to all the</w:t>
      </w:r>
      <w:r>
        <w:rPr>
          <w:spacing w:val="-1"/>
          <w:vertAlign w:val="baseline"/>
        </w:rPr>
        <w:t> </w:t>
      </w:r>
      <w:r>
        <w:rPr>
          <w:vertAlign w:val="baseline"/>
        </w:rPr>
        <w:t>groups</w:t>
      </w:r>
      <w:r>
        <w:rPr>
          <w:spacing w:val="-1"/>
          <w:vertAlign w:val="baseline"/>
        </w:rPr>
        <w:t> </w:t>
      </w:r>
      <w:r>
        <w:rPr>
          <w:vertAlign w:val="baseline"/>
        </w:rPr>
        <w:t>to check for</w:t>
      </w:r>
      <w:r>
        <w:rPr>
          <w:spacing w:val="-2"/>
          <w:vertAlign w:val="baseline"/>
        </w:rPr>
        <w:t> </w:t>
      </w:r>
      <w:r>
        <w:rPr>
          <w:vertAlign w:val="baseline"/>
        </w:rPr>
        <w:t>their</w:t>
      </w:r>
      <w:r>
        <w:rPr>
          <w:spacing w:val="-1"/>
          <w:vertAlign w:val="baseline"/>
        </w:rPr>
        <w:t> </w:t>
      </w:r>
      <w:r>
        <w:rPr>
          <w:vertAlign w:val="baseline"/>
        </w:rPr>
        <w:t>protection from death. After 72 hr observation, the percentage mortality was calculated for all the groups.</w:t>
      </w:r>
      <w:r>
        <w:rPr>
          <w:spacing w:val="40"/>
          <w:vertAlign w:val="baseline"/>
        </w:rPr>
        <w:t> </w:t>
      </w:r>
      <w:r>
        <w:rPr>
          <w:vertAlign w:val="baseline"/>
        </w:rPr>
        <w:t>Post mortem histological examination of the </w:t>
      </w:r>
      <w:r>
        <w:rPr>
          <w:i/>
          <w:vertAlign w:val="baseline"/>
        </w:rPr>
        <w:t>E. coli-</w:t>
      </w:r>
      <w:r>
        <w:rPr>
          <w:vertAlign w:val="baseline"/>
        </w:rPr>
        <w:t>infected abdomen (stomach and</w:t>
      </w:r>
      <w:r>
        <w:rPr>
          <w:spacing w:val="40"/>
          <w:vertAlign w:val="baseline"/>
        </w:rPr>
        <w:t> </w:t>
      </w:r>
      <w:r>
        <w:rPr>
          <w:vertAlign w:val="baseline"/>
        </w:rPr>
        <w:t>intestinal mucosa) of one dead mouse of the control group and that of one mouse sacrificed from the extract pretreated groups (50 mg/kg) was performed to see the damages that may have occurred. The tissues from both mice were removed and fixed</w:t>
      </w:r>
      <w:r>
        <w:rPr>
          <w:spacing w:val="80"/>
          <w:vertAlign w:val="baseline"/>
        </w:rPr>
        <w:t> </w:t>
      </w:r>
      <w:r>
        <w:rPr>
          <w:vertAlign w:val="baseline"/>
        </w:rPr>
        <w:t>in 10% formalin and taken for analysis.</w:t>
      </w: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2"/>
          <w:numId w:val="18"/>
        </w:numPr>
        <w:tabs>
          <w:tab w:pos="1467" w:val="left" w:leader="none"/>
        </w:tabs>
        <w:spacing w:line="240" w:lineRule="auto" w:before="0" w:after="0"/>
        <w:ind w:left="1467" w:right="0" w:hanging="720"/>
        <w:jc w:val="left"/>
      </w:pPr>
      <w:r>
        <w:rPr/>
        <w:t>Effect</w:t>
      </w:r>
      <w:r>
        <w:rPr>
          <w:spacing w:val="-4"/>
        </w:rPr>
        <w:t> </w:t>
      </w:r>
      <w:r>
        <w:rPr/>
        <w:t>of</w:t>
      </w:r>
      <w:r>
        <w:rPr>
          <w:spacing w:val="-1"/>
        </w:rPr>
        <w:t> </w:t>
      </w:r>
      <w:r>
        <w:rPr/>
        <w:t>the</w:t>
      </w:r>
      <w:r>
        <w:rPr>
          <w:spacing w:val="-2"/>
        </w:rPr>
        <w:t> </w:t>
      </w:r>
      <w:r>
        <w:rPr/>
        <w:t>extract</w:t>
      </w:r>
      <w:r>
        <w:rPr>
          <w:spacing w:val="-1"/>
        </w:rPr>
        <w:t> </w:t>
      </w:r>
      <w:r>
        <w:rPr/>
        <w:t>on</w:t>
      </w:r>
      <w:r>
        <w:rPr>
          <w:spacing w:val="-1"/>
        </w:rPr>
        <w:t> </w:t>
      </w:r>
      <w:r>
        <w:rPr/>
        <w:t>sheep</w:t>
      </w:r>
      <w:r>
        <w:rPr>
          <w:spacing w:val="-1"/>
        </w:rPr>
        <w:t> </w:t>
      </w:r>
      <w:r>
        <w:rPr/>
        <w:t>red</w:t>
      </w:r>
      <w:r>
        <w:rPr>
          <w:spacing w:val="-1"/>
        </w:rPr>
        <w:t> </w:t>
      </w:r>
      <w:r>
        <w:rPr/>
        <w:t>blood cell</w:t>
      </w:r>
      <w:r>
        <w:rPr>
          <w:spacing w:val="-1"/>
        </w:rPr>
        <w:t> </w:t>
      </w:r>
      <w:r>
        <w:rPr/>
        <w:t>(SRBC)-induced </w:t>
      </w:r>
      <w:r>
        <w:rPr>
          <w:spacing w:val="-2"/>
        </w:rPr>
        <w:t>delayed</w:t>
      </w:r>
    </w:p>
    <w:p>
      <w:pPr>
        <w:spacing w:after="0" w:line="240" w:lineRule="auto"/>
        <w:jc w:val="left"/>
        <w:sectPr>
          <w:pgSz w:w="11910" w:h="16840"/>
          <w:pgMar w:header="0" w:footer="981" w:top="1320" w:bottom="1180" w:left="1240" w:right="560"/>
        </w:sectPr>
      </w:pPr>
    </w:p>
    <w:p>
      <w:pPr>
        <w:spacing w:before="69"/>
        <w:ind w:left="1467" w:right="0" w:firstLine="0"/>
        <w:jc w:val="both"/>
        <w:rPr>
          <w:b/>
          <w:sz w:val="24"/>
        </w:rPr>
      </w:pPr>
      <w:r>
        <w:rPr>
          <w:b/>
          <w:sz w:val="24"/>
        </w:rPr>
        <w:t>hypersensitivity</w:t>
      </w:r>
      <w:r>
        <w:rPr>
          <w:b/>
          <w:spacing w:val="-3"/>
          <w:sz w:val="24"/>
        </w:rPr>
        <w:t> </w:t>
      </w:r>
      <w:r>
        <w:rPr>
          <w:b/>
          <w:sz w:val="24"/>
        </w:rPr>
        <w:t>reaction</w:t>
      </w:r>
      <w:r>
        <w:rPr>
          <w:b/>
          <w:spacing w:val="-2"/>
          <w:sz w:val="24"/>
        </w:rPr>
        <w:t> </w:t>
      </w:r>
      <w:r>
        <w:rPr>
          <w:b/>
          <w:sz w:val="24"/>
        </w:rPr>
        <w:t>in</w:t>
      </w:r>
      <w:r>
        <w:rPr>
          <w:b/>
          <w:spacing w:val="-2"/>
          <w:sz w:val="24"/>
        </w:rPr>
        <w:t> </w:t>
      </w:r>
      <w:r>
        <w:rPr>
          <w:b/>
          <w:spacing w:val="-5"/>
          <w:sz w:val="24"/>
        </w:rPr>
        <w:t>rat</w:t>
      </w:r>
    </w:p>
    <w:p>
      <w:pPr>
        <w:pStyle w:val="BodyText"/>
        <w:spacing w:line="480" w:lineRule="auto" w:before="272"/>
        <w:ind w:left="747" w:right="845"/>
        <w:jc w:val="both"/>
      </w:pPr>
      <w:r>
        <w:rPr/>
        <w:t>The method of Schulten </w:t>
      </w:r>
      <w:r>
        <w:rPr>
          <w:i/>
        </w:rPr>
        <w:t>et al., </w:t>
      </w:r>
      <w:r>
        <w:rPr/>
        <w:t>(2007) was used to prepare 5% v/v sheep red blood cell (SRBC)</w:t>
      </w:r>
      <w:r>
        <w:rPr>
          <w:spacing w:val="-1"/>
        </w:rPr>
        <w:t> </w:t>
      </w:r>
      <w:r>
        <w:rPr/>
        <w:t>whereby</w:t>
      </w:r>
      <w:r>
        <w:rPr>
          <w:spacing w:val="-3"/>
        </w:rPr>
        <w:t> </w:t>
      </w:r>
      <w:r>
        <w:rPr/>
        <w:t>whole</w:t>
      </w:r>
      <w:r>
        <w:rPr>
          <w:spacing w:val="-1"/>
        </w:rPr>
        <w:t> </w:t>
      </w:r>
      <w:r>
        <w:rPr/>
        <w:t>blood</w:t>
      </w:r>
      <w:r>
        <w:rPr>
          <w:spacing w:val="-1"/>
        </w:rPr>
        <w:t> </w:t>
      </w:r>
      <w:r>
        <w:rPr/>
        <w:t>collected</w:t>
      </w:r>
      <w:r>
        <w:rPr>
          <w:spacing w:val="-1"/>
        </w:rPr>
        <w:t> </w:t>
      </w:r>
      <w:r>
        <w:rPr/>
        <w:t>from a</w:t>
      </w:r>
      <w:r>
        <w:rPr>
          <w:spacing w:val="-1"/>
        </w:rPr>
        <w:t> </w:t>
      </w:r>
      <w:r>
        <w:rPr/>
        <w:t>sheep</w:t>
      </w:r>
      <w:r>
        <w:rPr>
          <w:spacing w:val="-1"/>
        </w:rPr>
        <w:t> </w:t>
      </w:r>
      <w:r>
        <w:rPr/>
        <w:t>was</w:t>
      </w:r>
      <w:r>
        <w:rPr>
          <w:spacing w:val="-1"/>
        </w:rPr>
        <w:t> </w:t>
      </w:r>
      <w:r>
        <w:rPr/>
        <w:t>centrifuged to</w:t>
      </w:r>
      <w:r>
        <w:rPr>
          <w:spacing w:val="-1"/>
        </w:rPr>
        <w:t> </w:t>
      </w:r>
      <w:r>
        <w:rPr/>
        <w:t>obtain</w:t>
      </w:r>
      <w:r>
        <w:rPr>
          <w:spacing w:val="-1"/>
        </w:rPr>
        <w:t> </w:t>
      </w:r>
      <w:r>
        <w:rPr/>
        <w:t>pure</w:t>
      </w:r>
      <w:r>
        <w:rPr>
          <w:spacing w:val="-2"/>
        </w:rPr>
        <w:t> </w:t>
      </w:r>
      <w:r>
        <w:rPr/>
        <w:t>red blood cells. Five percent v/v SRBC was made by transferring 5 ml of the red blood cell into a beaker containing 95 ml of normal saline. The experiment was conducted according to Chang </w:t>
      </w:r>
      <w:r>
        <w:rPr>
          <w:i/>
        </w:rPr>
        <w:t>et al., </w:t>
      </w:r>
      <w:r>
        <w:rPr/>
        <w:t>(1998) for induction of delayed hypersensitivity reaction. A fourteen day</w:t>
      </w:r>
      <w:r>
        <w:rPr>
          <w:spacing w:val="-3"/>
        </w:rPr>
        <w:t> </w:t>
      </w:r>
      <w:r>
        <w:rPr/>
        <w:t>drug pretreatment was performed. Five (5) groups of 5 rats per group were treated</w:t>
      </w:r>
      <w:r>
        <w:rPr>
          <w:spacing w:val="2"/>
        </w:rPr>
        <w:t> </w:t>
      </w:r>
      <w:r>
        <w:rPr/>
        <w:t>orally</w:t>
      </w:r>
      <w:r>
        <w:rPr>
          <w:spacing w:val="-3"/>
        </w:rPr>
        <w:t> </w:t>
      </w:r>
      <w:r>
        <w:rPr/>
        <w:t>with</w:t>
      </w:r>
      <w:r>
        <w:rPr>
          <w:spacing w:val="2"/>
        </w:rPr>
        <w:t> </w:t>
      </w:r>
      <w:r>
        <w:rPr/>
        <w:t>distilled</w:t>
      </w:r>
      <w:r>
        <w:rPr>
          <w:spacing w:val="2"/>
        </w:rPr>
        <w:t> </w:t>
      </w:r>
      <w:r>
        <w:rPr/>
        <w:t>water</w:t>
      </w:r>
      <w:r>
        <w:rPr>
          <w:spacing w:val="3"/>
        </w:rPr>
        <w:t> </w:t>
      </w:r>
      <w:r>
        <w:rPr/>
        <w:t>(1</w:t>
      </w:r>
      <w:r>
        <w:rPr>
          <w:spacing w:val="2"/>
        </w:rPr>
        <w:t> </w:t>
      </w:r>
      <w:r>
        <w:rPr/>
        <w:t>ml/kg),</w:t>
      </w:r>
      <w:r>
        <w:rPr>
          <w:spacing w:val="4"/>
        </w:rPr>
        <w:t> </w:t>
      </w:r>
      <w:r>
        <w:rPr/>
        <w:t>extract</w:t>
      </w:r>
      <w:r>
        <w:rPr>
          <w:spacing w:val="3"/>
        </w:rPr>
        <w:t> </w:t>
      </w:r>
      <w:r>
        <w:rPr/>
        <w:t>doses</w:t>
      </w:r>
      <w:r>
        <w:rPr>
          <w:spacing w:val="1"/>
        </w:rPr>
        <w:t> </w:t>
      </w:r>
      <w:r>
        <w:rPr/>
        <w:t>of</w:t>
      </w:r>
      <w:r>
        <w:rPr>
          <w:spacing w:val="1"/>
        </w:rPr>
        <w:t> </w:t>
      </w:r>
      <w:r>
        <w:rPr/>
        <w:t>50,</w:t>
      </w:r>
      <w:r>
        <w:rPr>
          <w:spacing w:val="2"/>
        </w:rPr>
        <w:t> </w:t>
      </w:r>
      <w:r>
        <w:rPr/>
        <w:t>100</w:t>
      </w:r>
      <w:r>
        <w:rPr>
          <w:spacing w:val="5"/>
        </w:rPr>
        <w:t> </w:t>
      </w:r>
      <w:r>
        <w:rPr/>
        <w:t>and</w:t>
      </w:r>
      <w:r>
        <w:rPr>
          <w:spacing w:val="4"/>
        </w:rPr>
        <w:t> </w:t>
      </w:r>
      <w:r>
        <w:rPr/>
        <w:t>200</w:t>
      </w:r>
      <w:r>
        <w:rPr>
          <w:spacing w:val="2"/>
        </w:rPr>
        <w:t> </w:t>
      </w:r>
      <w:r>
        <w:rPr/>
        <w:t>mg/kg</w:t>
      </w:r>
      <w:r>
        <w:rPr>
          <w:spacing w:val="3"/>
        </w:rPr>
        <w:t> </w:t>
      </w:r>
      <w:r>
        <w:rPr>
          <w:spacing w:val="-5"/>
        </w:rPr>
        <w:t>and</w:t>
      </w:r>
    </w:p>
    <w:p>
      <w:pPr>
        <w:pStyle w:val="BodyText"/>
        <w:spacing w:line="480" w:lineRule="auto" w:before="1"/>
        <w:ind w:left="747" w:right="845"/>
        <w:jc w:val="both"/>
      </w:pPr>
      <w:r>
        <w:rPr/>
        <w:t>0.2 mg/kg dexamethasone respectively.</w:t>
      </w:r>
      <w:r>
        <w:rPr>
          <w:spacing w:val="80"/>
        </w:rPr>
        <w:t> </w:t>
      </w:r>
      <w:r>
        <w:rPr/>
        <w:t>On the 7</w:t>
      </w:r>
      <w:r>
        <w:rPr>
          <w:vertAlign w:val="superscript"/>
        </w:rPr>
        <w:t>th</w:t>
      </w:r>
      <w:r>
        <w:rPr>
          <w:vertAlign w:val="baseline"/>
        </w:rPr>
        <w:t> day of pretreatment, the rats in all</w:t>
      </w:r>
      <w:r>
        <w:rPr>
          <w:spacing w:val="40"/>
          <w:vertAlign w:val="baseline"/>
        </w:rPr>
        <w:t> </w:t>
      </w:r>
      <w:r>
        <w:rPr>
          <w:vertAlign w:val="baseline"/>
        </w:rPr>
        <w:t>the groups were immunized with the SRBC (0.25 ml) </w:t>
      </w:r>
      <w:r>
        <w:rPr>
          <w:i/>
          <w:vertAlign w:val="baseline"/>
        </w:rPr>
        <w:t>i.p </w:t>
      </w:r>
      <w:r>
        <w:rPr>
          <w:vertAlign w:val="baseline"/>
        </w:rPr>
        <w:t>for sensitization and the treatment continued to the 14</w:t>
      </w:r>
      <w:r>
        <w:rPr>
          <w:vertAlign w:val="superscript"/>
        </w:rPr>
        <w:t>th</w:t>
      </w:r>
      <w:r>
        <w:rPr>
          <w:vertAlign w:val="baseline"/>
        </w:rPr>
        <w:t> day. Three hours after the 14</w:t>
      </w:r>
      <w:r>
        <w:rPr>
          <w:vertAlign w:val="superscript"/>
        </w:rPr>
        <w:t>th</w:t>
      </w:r>
      <w:r>
        <w:rPr>
          <w:vertAlign w:val="baseline"/>
        </w:rPr>
        <w:t> day treatment, the right hind foot-paw sizes of all the rats in all groups were measured with a vernier caliper (0 hour) and recorded as control paw volumes. The SRBC (0.25 ml) was again injected,</w:t>
      </w:r>
      <w:r>
        <w:rPr>
          <w:spacing w:val="40"/>
          <w:vertAlign w:val="baseline"/>
        </w:rPr>
        <w:t> </w:t>
      </w:r>
      <w:r>
        <w:rPr>
          <w:vertAlign w:val="baseline"/>
        </w:rPr>
        <w:t>but now into the right hind foot paw of all the rats and the time noted for each rat such that paw measurement is repeated 3 hours and 24 hours later to assess the degree of </w:t>
      </w:r>
      <w:r>
        <w:rPr>
          <w:spacing w:val="-2"/>
          <w:vertAlign w:val="baseline"/>
        </w:rPr>
        <w:t>oedema.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Heading2"/>
        <w:numPr>
          <w:ilvl w:val="2"/>
          <w:numId w:val="18"/>
        </w:numPr>
        <w:tabs>
          <w:tab w:pos="1466" w:val="left" w:leader="none"/>
        </w:tabs>
        <w:spacing w:line="240" w:lineRule="auto" w:before="0" w:after="0"/>
        <w:ind w:left="1466" w:right="0" w:hanging="719"/>
        <w:jc w:val="both"/>
      </w:pPr>
      <w:r>
        <w:rPr/>
        <w:t>Inhibitory</w:t>
      </w:r>
      <w:r>
        <w:rPr>
          <w:spacing w:val="-2"/>
        </w:rPr>
        <w:t> </w:t>
      </w:r>
      <w:r>
        <w:rPr/>
        <w:t>effect</w:t>
      </w:r>
      <w:r>
        <w:rPr>
          <w:spacing w:val="-2"/>
        </w:rPr>
        <w:t> </w:t>
      </w:r>
      <w:r>
        <w:rPr/>
        <w:t>of</w:t>
      </w:r>
      <w:r>
        <w:rPr>
          <w:spacing w:val="-1"/>
        </w:rPr>
        <w:t> </w:t>
      </w:r>
      <w:r>
        <w:rPr/>
        <w:t>the</w:t>
      </w:r>
      <w:r>
        <w:rPr>
          <w:spacing w:val="-3"/>
        </w:rPr>
        <w:t> </w:t>
      </w:r>
      <w:r>
        <w:rPr/>
        <w:t>extract</w:t>
      </w:r>
      <w:r>
        <w:rPr>
          <w:spacing w:val="-1"/>
        </w:rPr>
        <w:t> </w:t>
      </w:r>
      <w:r>
        <w:rPr/>
        <w:t>on</w:t>
      </w:r>
      <w:r>
        <w:rPr>
          <w:spacing w:val="-2"/>
        </w:rPr>
        <w:t> </w:t>
      </w:r>
      <w:r>
        <w:rPr/>
        <w:t>bacterial</w:t>
      </w:r>
      <w:r>
        <w:rPr>
          <w:spacing w:val="-1"/>
        </w:rPr>
        <w:t> </w:t>
      </w:r>
      <w:r>
        <w:rPr>
          <w:spacing w:val="-2"/>
        </w:rPr>
        <w:t>growth</w:t>
      </w:r>
    </w:p>
    <w:p>
      <w:pPr>
        <w:spacing w:after="0" w:line="240" w:lineRule="auto"/>
        <w:jc w:val="both"/>
        <w:sectPr>
          <w:pgSz w:w="11910" w:h="16840"/>
          <w:pgMar w:header="0" w:footer="981" w:top="1320" w:bottom="1180" w:left="1240" w:right="560"/>
        </w:sectPr>
      </w:pPr>
    </w:p>
    <w:p>
      <w:pPr>
        <w:pStyle w:val="BodyText"/>
        <w:spacing w:line="480" w:lineRule="auto" w:before="64"/>
        <w:ind w:left="747" w:right="844"/>
        <w:jc w:val="both"/>
      </w:pPr>
      <w:r>
        <w:rPr/>
        <w:t>Agar plate dilution method according to European Committee on Antimicrobial Susceptibility Testing (EUCAST), 2011 was used for the antimicrobial studies of the extract on two standard organisms, </w:t>
      </w:r>
      <w:r>
        <w:rPr>
          <w:i/>
        </w:rPr>
        <w:t>Escherichia coli </w:t>
      </w:r>
      <w:r>
        <w:rPr/>
        <w:t>(ATCC 11775) and </w:t>
      </w:r>
      <w:r>
        <w:rPr>
          <w:i/>
        </w:rPr>
        <w:t>Staphylococcus aureus </w:t>
      </w:r>
      <w:r>
        <w:rPr/>
        <w:t>(ATCC 021001) and three clinical isolates, </w:t>
      </w:r>
      <w:r>
        <w:rPr>
          <w:i/>
        </w:rPr>
        <w:t>Klebsiella pneumonia, Salmonella typhi </w:t>
      </w:r>
      <w:r>
        <w:rPr/>
        <w:t>and </w:t>
      </w:r>
      <w:r>
        <w:rPr>
          <w:i/>
        </w:rPr>
        <w:t>Proteous mirabilis</w:t>
      </w:r>
      <w:r>
        <w:rPr/>
        <w:t>. The Mc-Farland turbidity standard scale method for assessing microbial strength was used to obtain the strength of the organisms used for this study whereby 9.95 ml of 1% H</w:t>
      </w:r>
      <w:r>
        <w:rPr>
          <w:vertAlign w:val="subscript"/>
        </w:rPr>
        <w:t>2</w:t>
      </w:r>
      <w:r>
        <w:rPr>
          <w:vertAlign w:val="baseline"/>
        </w:rPr>
        <w:t>SO</w:t>
      </w:r>
      <w:r>
        <w:rPr>
          <w:vertAlign w:val="subscript"/>
        </w:rPr>
        <w:t>4</w:t>
      </w:r>
      <w:r>
        <w:rPr>
          <w:vertAlign w:val="baseline"/>
        </w:rPr>
        <w:t> and 0.05 ml of 1% BaCl</w:t>
      </w:r>
      <w:r>
        <w:rPr>
          <w:vertAlign w:val="subscript"/>
        </w:rPr>
        <w:t>2</w:t>
      </w:r>
      <w:r>
        <w:rPr>
          <w:vertAlign w:val="baseline"/>
        </w:rPr>
        <w:t> were mixed in a sample bottle to produce the turbid solution for cross-matching those of the organisms for similar strength.</w:t>
      </w:r>
      <w:r>
        <w:rPr>
          <w:spacing w:val="80"/>
          <w:vertAlign w:val="baseline"/>
        </w:rPr>
        <w:t> </w:t>
      </w:r>
      <w:r>
        <w:rPr>
          <w:vertAlign w:val="baseline"/>
        </w:rPr>
        <w:t>Nutrient broth (20 ml) was poured into each of 5 sterile petri- dishes and allowed to solidify, after which a loop-streak of each organism was made onto the solidified broth surface and labeled for the five organisms, being sure to sterilize the loop over bunsen burner after streak of each organism. The dishes were incubated at 37</w:t>
      </w:r>
      <w:r>
        <w:rPr>
          <w:vertAlign w:val="superscript"/>
        </w:rPr>
        <w:t>o</w:t>
      </w:r>
      <w:r>
        <w:rPr>
          <w:vertAlign w:val="baseline"/>
        </w:rPr>
        <w:t>C for 24 hours to obtain the overnight cultures of the organisms. A sterile loop was used to pick from the overnight culture of each organism and continuously stirred into a 10 ml normal saline until a similar turbid concentration as with that of the Mc-Farland turbid solution was obtained. Another 5 petri-dishes for</w:t>
      </w:r>
      <w:r>
        <w:rPr>
          <w:spacing w:val="40"/>
          <w:vertAlign w:val="baseline"/>
        </w:rPr>
        <w:t> </w:t>
      </w:r>
      <w:r>
        <w:rPr>
          <w:vertAlign w:val="baseline"/>
        </w:rPr>
        <w:t>each of the organisms were again prepared by pouring 20 ml of the previously prepared nutrient broth into each of the petri-dishes together with the 10 ml turbid solution obtained for each organism and allowed to solidify. A cork borer was used to bore 2 holes of 10 mm in each of the solidified petri-dishes and 0.1 ml extract concentrations</w:t>
      </w:r>
      <w:r>
        <w:rPr>
          <w:spacing w:val="80"/>
          <w:vertAlign w:val="baseline"/>
        </w:rPr>
        <w:t> </w:t>
      </w:r>
      <w:r>
        <w:rPr>
          <w:vertAlign w:val="baseline"/>
        </w:rPr>
        <w:t>of 100 and 200 mg/ml were dropped into the bored holes. Four standard antibiotic (Gentamycin, Ciprofloxacin, Ceftriaxone and Meropenem for </w:t>
      </w:r>
      <w:r>
        <w:rPr>
          <w:i/>
          <w:vertAlign w:val="baseline"/>
        </w:rPr>
        <w:t>E. coli</w:t>
      </w:r>
      <w:r>
        <w:rPr>
          <w:vertAlign w:val="baseline"/>
        </w:rPr>
        <w:t>) discs specific for each organism were also placed in the dishes which were then allowed for 2 hours at room</w:t>
      </w:r>
      <w:r>
        <w:rPr>
          <w:spacing w:val="-1"/>
          <w:vertAlign w:val="baseline"/>
        </w:rPr>
        <w:t> </w:t>
      </w:r>
      <w:r>
        <w:rPr>
          <w:vertAlign w:val="baseline"/>
        </w:rPr>
        <w:t>temperature</w:t>
      </w:r>
      <w:r>
        <w:rPr>
          <w:spacing w:val="-1"/>
          <w:vertAlign w:val="baseline"/>
        </w:rPr>
        <w:t> </w:t>
      </w:r>
      <w:r>
        <w:rPr>
          <w:vertAlign w:val="baseline"/>
        </w:rPr>
        <w:t>for</w:t>
      </w:r>
      <w:r>
        <w:rPr>
          <w:spacing w:val="-2"/>
          <w:vertAlign w:val="baseline"/>
        </w:rPr>
        <w:t> </w:t>
      </w:r>
      <w:r>
        <w:rPr>
          <w:vertAlign w:val="baseline"/>
        </w:rPr>
        <w:t>diffusion before</w:t>
      </w:r>
      <w:r>
        <w:rPr>
          <w:spacing w:val="-1"/>
          <w:vertAlign w:val="baseline"/>
        </w:rPr>
        <w:t> </w:t>
      </w:r>
      <w:r>
        <w:rPr>
          <w:vertAlign w:val="baseline"/>
        </w:rPr>
        <w:t>incubation at 37</w:t>
      </w:r>
      <w:r>
        <w:rPr>
          <w:vertAlign w:val="superscript"/>
        </w:rPr>
        <w:t>o</w:t>
      </w:r>
      <w:r>
        <w:rPr>
          <w:vertAlign w:val="baseline"/>
        </w:rPr>
        <w:t>C for</w:t>
      </w:r>
      <w:r>
        <w:rPr>
          <w:spacing w:val="-2"/>
          <w:vertAlign w:val="baseline"/>
        </w:rPr>
        <w:t> </w:t>
      </w:r>
      <w:r>
        <w:rPr>
          <w:vertAlign w:val="baseline"/>
        </w:rPr>
        <w:t>24 hours. The diameters of the</w:t>
      </w:r>
      <w:r>
        <w:rPr>
          <w:spacing w:val="8"/>
          <w:vertAlign w:val="baseline"/>
        </w:rPr>
        <w:t> </w:t>
      </w:r>
      <w:r>
        <w:rPr>
          <w:vertAlign w:val="baseline"/>
        </w:rPr>
        <w:t>zones</w:t>
      </w:r>
      <w:r>
        <w:rPr>
          <w:spacing w:val="11"/>
          <w:vertAlign w:val="baseline"/>
        </w:rPr>
        <w:t> </w:t>
      </w:r>
      <w:r>
        <w:rPr>
          <w:vertAlign w:val="baseline"/>
        </w:rPr>
        <w:t>of</w:t>
      </w:r>
      <w:r>
        <w:rPr>
          <w:spacing w:val="11"/>
          <w:vertAlign w:val="baseline"/>
        </w:rPr>
        <w:t> </w:t>
      </w:r>
      <w:r>
        <w:rPr>
          <w:vertAlign w:val="baseline"/>
        </w:rPr>
        <w:t>inhibition</w:t>
      </w:r>
      <w:r>
        <w:rPr>
          <w:spacing w:val="11"/>
          <w:vertAlign w:val="baseline"/>
        </w:rPr>
        <w:t> </w:t>
      </w:r>
      <w:r>
        <w:rPr>
          <w:vertAlign w:val="baseline"/>
        </w:rPr>
        <w:t>of</w:t>
      </w:r>
      <w:r>
        <w:rPr>
          <w:spacing w:val="10"/>
          <w:vertAlign w:val="baseline"/>
        </w:rPr>
        <w:t> </w:t>
      </w:r>
      <w:r>
        <w:rPr>
          <w:vertAlign w:val="baseline"/>
        </w:rPr>
        <w:t>the</w:t>
      </w:r>
      <w:r>
        <w:rPr>
          <w:spacing w:val="11"/>
          <w:vertAlign w:val="baseline"/>
        </w:rPr>
        <w:t> </w:t>
      </w:r>
      <w:r>
        <w:rPr>
          <w:vertAlign w:val="baseline"/>
        </w:rPr>
        <w:t>organisms</w:t>
      </w:r>
      <w:r>
        <w:rPr>
          <w:spacing w:val="11"/>
          <w:vertAlign w:val="baseline"/>
        </w:rPr>
        <w:t> </w:t>
      </w:r>
      <w:r>
        <w:rPr>
          <w:vertAlign w:val="baseline"/>
        </w:rPr>
        <w:t>were</w:t>
      </w:r>
      <w:r>
        <w:rPr>
          <w:spacing w:val="9"/>
          <w:vertAlign w:val="baseline"/>
        </w:rPr>
        <w:t> </w:t>
      </w:r>
      <w:r>
        <w:rPr>
          <w:vertAlign w:val="baseline"/>
        </w:rPr>
        <w:t>then</w:t>
      </w:r>
      <w:r>
        <w:rPr>
          <w:spacing w:val="11"/>
          <w:vertAlign w:val="baseline"/>
        </w:rPr>
        <w:t> </w:t>
      </w:r>
      <w:r>
        <w:rPr>
          <w:vertAlign w:val="baseline"/>
        </w:rPr>
        <w:t>measured</w:t>
      </w:r>
      <w:r>
        <w:rPr>
          <w:spacing w:val="17"/>
          <w:vertAlign w:val="baseline"/>
        </w:rPr>
        <w:t> </w:t>
      </w:r>
      <w:r>
        <w:rPr>
          <w:vertAlign w:val="baseline"/>
        </w:rPr>
        <w:t>and</w:t>
      </w:r>
      <w:r>
        <w:rPr>
          <w:spacing w:val="10"/>
          <w:vertAlign w:val="baseline"/>
        </w:rPr>
        <w:t> </w:t>
      </w:r>
      <w:r>
        <w:rPr>
          <w:vertAlign w:val="baseline"/>
        </w:rPr>
        <w:t>those</w:t>
      </w:r>
      <w:r>
        <w:rPr>
          <w:spacing w:val="11"/>
          <w:vertAlign w:val="baseline"/>
        </w:rPr>
        <w:t> </w:t>
      </w:r>
      <w:r>
        <w:rPr>
          <w:vertAlign w:val="baseline"/>
        </w:rPr>
        <w:t>of</w:t>
      </w:r>
      <w:r>
        <w:rPr>
          <w:spacing w:val="10"/>
          <w:vertAlign w:val="baseline"/>
        </w:rPr>
        <w:t> </w:t>
      </w:r>
      <w:r>
        <w:rPr>
          <w:vertAlign w:val="baseline"/>
        </w:rPr>
        <w:t>the</w:t>
      </w:r>
      <w:r>
        <w:rPr>
          <w:spacing w:val="11"/>
          <w:vertAlign w:val="baseline"/>
        </w:rPr>
        <w:t> </w:t>
      </w:r>
      <w:r>
        <w:rPr>
          <w:spacing w:val="-2"/>
          <w:vertAlign w:val="baseline"/>
        </w:rPr>
        <w:t>antibiotic</w:t>
      </w:r>
    </w:p>
    <w:p>
      <w:pPr>
        <w:spacing w:after="0" w:line="480" w:lineRule="auto"/>
        <w:jc w:val="both"/>
        <w:sectPr>
          <w:pgSz w:w="11910" w:h="16840"/>
          <w:pgMar w:header="0" w:footer="981" w:top="1320" w:bottom="1180" w:left="1240" w:right="560"/>
        </w:sectPr>
      </w:pPr>
    </w:p>
    <w:p>
      <w:pPr>
        <w:pStyle w:val="BodyText"/>
        <w:spacing w:line="480" w:lineRule="auto" w:before="64"/>
        <w:ind w:left="747" w:right="854"/>
        <w:jc w:val="both"/>
      </w:pPr>
      <w:r>
        <w:rPr/>
        <w:t>standards compared with those of the two extract doses using the interpretation criteria of EUCAST, (2011).</w:t>
      </w:r>
    </w:p>
    <w:p>
      <w:pPr>
        <w:pStyle w:val="BodyText"/>
      </w:pPr>
    </w:p>
    <w:p>
      <w:pPr>
        <w:pStyle w:val="BodyText"/>
        <w:spacing w:before="6"/>
      </w:pPr>
    </w:p>
    <w:p>
      <w:pPr>
        <w:pStyle w:val="Heading2"/>
        <w:numPr>
          <w:ilvl w:val="2"/>
          <w:numId w:val="18"/>
        </w:numPr>
        <w:tabs>
          <w:tab w:pos="1466" w:val="left" w:leader="none"/>
        </w:tabs>
        <w:spacing w:line="240" w:lineRule="auto" w:before="0" w:after="0"/>
        <w:ind w:left="1466" w:right="0" w:hanging="719"/>
        <w:jc w:val="both"/>
      </w:pPr>
      <w:r>
        <w:rPr/>
        <w:t>Statistical</w:t>
      </w:r>
      <w:r>
        <w:rPr>
          <w:spacing w:val="-2"/>
        </w:rPr>
        <w:t> analysis</w:t>
      </w:r>
    </w:p>
    <w:p>
      <w:pPr>
        <w:pStyle w:val="BodyText"/>
        <w:spacing w:line="480" w:lineRule="auto" w:before="271"/>
        <w:ind w:left="747" w:right="845"/>
        <w:jc w:val="both"/>
      </w:pPr>
      <w:r>
        <w:rPr/>
        <w:t>The research results obtained were expressed as mean and standard error of mean (SEM). Differences between control and treated mean values were analyzed using one way analysis of variance (ANOVA),</w:t>
      </w:r>
      <w:r>
        <w:rPr>
          <w:spacing w:val="40"/>
        </w:rPr>
        <w:t> </w:t>
      </w:r>
      <w:r>
        <w:rPr/>
        <w:t>with appropriate post hoc test for multiple comparisms and the levels of significance obtained were stated at P ≤ 0.05. The results were presented in tabular form.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Heading1"/>
        <w:ind w:right="102"/>
      </w:pPr>
      <w:r>
        <w:rPr/>
        <w:t>CHAPTER</w:t>
      </w:r>
      <w:r>
        <w:rPr>
          <w:spacing w:val="-5"/>
        </w:rPr>
        <w:t> </w:t>
      </w:r>
      <w:r>
        <w:rPr>
          <w:spacing w:val="-4"/>
        </w:rPr>
        <w:t>FOUR</w:t>
      </w:r>
    </w:p>
    <w:p>
      <w:pPr>
        <w:spacing w:after="0"/>
        <w:sectPr>
          <w:pgSz w:w="11910" w:h="16840"/>
          <w:pgMar w:header="0" w:footer="981" w:top="1320" w:bottom="1180" w:left="1240" w:right="560"/>
        </w:sectPr>
      </w:pPr>
    </w:p>
    <w:p>
      <w:pPr>
        <w:pStyle w:val="ListParagraph"/>
        <w:numPr>
          <w:ilvl w:val="1"/>
          <w:numId w:val="20"/>
        </w:numPr>
        <w:tabs>
          <w:tab w:pos="4814" w:val="left" w:leader="none"/>
        </w:tabs>
        <w:spacing w:line="240" w:lineRule="auto" w:before="69" w:after="0"/>
        <w:ind w:left="4814" w:right="0" w:hanging="721"/>
        <w:jc w:val="left"/>
        <w:rPr>
          <w:b/>
          <w:sz w:val="24"/>
        </w:rPr>
      </w:pPr>
      <w:r>
        <w:rPr>
          <w:b/>
          <w:spacing w:val="-2"/>
          <w:sz w:val="24"/>
        </w:rPr>
        <w:t>RESULTS</w:t>
      </w:r>
    </w:p>
    <w:p>
      <w:pPr>
        <w:pStyle w:val="BodyText"/>
        <w:rPr>
          <w:b/>
        </w:rPr>
      </w:pPr>
    </w:p>
    <w:p>
      <w:pPr>
        <w:pStyle w:val="Heading2"/>
        <w:numPr>
          <w:ilvl w:val="1"/>
          <w:numId w:val="20"/>
        </w:numPr>
        <w:tabs>
          <w:tab w:pos="4048" w:val="left" w:leader="none"/>
        </w:tabs>
        <w:spacing w:line="240" w:lineRule="auto" w:before="1" w:after="0"/>
        <w:ind w:left="4048" w:right="0" w:hanging="720"/>
        <w:jc w:val="both"/>
      </w:pPr>
      <w:r>
        <w:rPr/>
        <w:t>Yield</w:t>
      </w:r>
      <w:r>
        <w:rPr>
          <w:spacing w:val="-1"/>
        </w:rPr>
        <w:t> </w:t>
      </w:r>
      <w:r>
        <w:rPr/>
        <w:t>of the</w:t>
      </w:r>
      <w:r>
        <w:rPr>
          <w:spacing w:val="-1"/>
        </w:rPr>
        <w:t> </w:t>
      </w:r>
      <w:r>
        <w:rPr/>
        <w:t>Plant</w:t>
      </w:r>
      <w:r>
        <w:rPr>
          <w:spacing w:val="-1"/>
        </w:rPr>
        <w:t> </w:t>
      </w:r>
      <w:r>
        <w:rPr>
          <w:spacing w:val="-2"/>
        </w:rPr>
        <w:t>Extract</w:t>
      </w:r>
    </w:p>
    <w:p>
      <w:pPr>
        <w:pStyle w:val="BodyText"/>
        <w:spacing w:line="480" w:lineRule="auto" w:before="271"/>
        <w:ind w:left="747" w:right="847"/>
        <w:jc w:val="both"/>
      </w:pPr>
      <w:r>
        <w:rPr/>
        <w:t>The weight of the powdered material obtained was 500g, while the weight of the concentrate was 64.6g. The calculated Percentage yield of the extract was 12.92%. This was sufficient for the entire study.</w:t>
      </w:r>
    </w:p>
    <w:p>
      <w:pPr>
        <w:pStyle w:val="BodyText"/>
      </w:pPr>
    </w:p>
    <w:p>
      <w:pPr>
        <w:pStyle w:val="BodyText"/>
        <w:spacing w:before="5"/>
      </w:pPr>
    </w:p>
    <w:p>
      <w:pPr>
        <w:pStyle w:val="Heading2"/>
        <w:numPr>
          <w:ilvl w:val="1"/>
          <w:numId w:val="20"/>
        </w:numPr>
        <w:tabs>
          <w:tab w:pos="4348" w:val="left" w:leader="none"/>
        </w:tabs>
        <w:spacing w:line="240" w:lineRule="auto" w:before="0" w:after="0"/>
        <w:ind w:left="4348" w:right="0" w:hanging="1080"/>
        <w:jc w:val="both"/>
      </w:pPr>
      <w:r>
        <w:rPr/>
        <w:t>Acute</w:t>
      </w:r>
      <w:r>
        <w:rPr>
          <w:spacing w:val="-4"/>
        </w:rPr>
        <w:t> </w:t>
      </w:r>
      <w:r>
        <w:rPr/>
        <w:t>Toxicity</w:t>
      </w:r>
      <w:r>
        <w:rPr>
          <w:spacing w:val="-1"/>
        </w:rPr>
        <w:t> </w:t>
      </w:r>
      <w:r>
        <w:rPr>
          <w:spacing w:val="-2"/>
        </w:rPr>
        <w:t>Study</w:t>
      </w:r>
    </w:p>
    <w:p>
      <w:pPr>
        <w:pStyle w:val="BodyText"/>
        <w:spacing w:line="480" w:lineRule="auto" w:before="272"/>
        <w:ind w:left="747" w:right="846"/>
        <w:jc w:val="both"/>
      </w:pPr>
      <w:r>
        <w:rPr/>
        <w:t>The LD</w:t>
      </w:r>
      <w:r>
        <w:rPr>
          <w:vertAlign w:val="subscript"/>
        </w:rPr>
        <w:t>50</w:t>
      </w:r>
      <w:r>
        <w:rPr>
          <w:spacing w:val="-13"/>
          <w:vertAlign w:val="baseline"/>
        </w:rPr>
        <w:t> </w:t>
      </w:r>
      <w:r>
        <w:rPr>
          <w:vertAlign w:val="baseline"/>
        </w:rPr>
        <w:t>obtained for the aqueous ethanol leaf extract of </w:t>
      </w:r>
      <w:r>
        <w:rPr>
          <w:i/>
          <w:vertAlign w:val="baseline"/>
        </w:rPr>
        <w:t>Combretum micranthum </w:t>
      </w:r>
      <w:r>
        <w:rPr>
          <w:vertAlign w:val="baseline"/>
        </w:rPr>
        <w:t>were 3807.9 mg/kg per oral and 2154.1 mg/kg intraperitoneal (</w:t>
      </w:r>
      <w:r>
        <w:rPr>
          <w:i/>
          <w:vertAlign w:val="baseline"/>
        </w:rPr>
        <w:t>i.p.</w:t>
      </w:r>
      <w:r>
        <w:rPr>
          <w:vertAlign w:val="baseline"/>
        </w:rPr>
        <w:t>) administrations in mice, while</w:t>
      </w:r>
      <w:r>
        <w:rPr>
          <w:spacing w:val="-1"/>
          <w:vertAlign w:val="baseline"/>
        </w:rPr>
        <w:t> </w:t>
      </w:r>
      <w:r>
        <w:rPr>
          <w:vertAlign w:val="baseline"/>
        </w:rPr>
        <w:t>that</w:t>
      </w:r>
      <w:r>
        <w:rPr>
          <w:spacing w:val="-1"/>
          <w:vertAlign w:val="baseline"/>
        </w:rPr>
        <w:t> </w:t>
      </w:r>
      <w:r>
        <w:rPr>
          <w:vertAlign w:val="baseline"/>
        </w:rPr>
        <w:t>in</w:t>
      </w:r>
      <w:r>
        <w:rPr>
          <w:spacing w:val="-1"/>
          <w:vertAlign w:val="baseline"/>
        </w:rPr>
        <w:t> </w:t>
      </w:r>
      <w:r>
        <w:rPr>
          <w:vertAlign w:val="baseline"/>
        </w:rPr>
        <w:t>rat was</w:t>
      </w:r>
      <w:r>
        <w:rPr>
          <w:spacing w:val="-1"/>
          <w:vertAlign w:val="baseline"/>
        </w:rPr>
        <w:t> </w:t>
      </w:r>
      <w:r>
        <w:rPr>
          <w:vertAlign w:val="baseline"/>
        </w:rPr>
        <w:t>found</w:t>
      </w:r>
      <w:r>
        <w:rPr>
          <w:spacing w:val="-1"/>
          <w:vertAlign w:val="baseline"/>
        </w:rPr>
        <w:t> </w:t>
      </w:r>
      <w:r>
        <w:rPr>
          <w:vertAlign w:val="baseline"/>
        </w:rPr>
        <w:t>to</w:t>
      </w:r>
      <w:r>
        <w:rPr>
          <w:spacing w:val="-1"/>
          <w:vertAlign w:val="baseline"/>
        </w:rPr>
        <w:t> </w:t>
      </w:r>
      <w:r>
        <w:rPr>
          <w:vertAlign w:val="baseline"/>
        </w:rPr>
        <w:t>be</w:t>
      </w:r>
      <w:r>
        <w:rPr>
          <w:spacing w:val="-1"/>
          <w:vertAlign w:val="baseline"/>
        </w:rPr>
        <w:t> </w:t>
      </w:r>
      <w:r>
        <w:rPr>
          <w:vertAlign w:val="baseline"/>
        </w:rPr>
        <w:t>greater</w:t>
      </w:r>
      <w:r>
        <w:rPr>
          <w:spacing w:val="-1"/>
          <w:vertAlign w:val="baseline"/>
        </w:rPr>
        <w:t> </w:t>
      </w:r>
      <w:r>
        <w:rPr>
          <w:vertAlign w:val="baseline"/>
        </w:rPr>
        <w:t>than</w:t>
      </w:r>
      <w:r>
        <w:rPr>
          <w:spacing w:val="-1"/>
          <w:vertAlign w:val="baseline"/>
        </w:rPr>
        <w:t> </w:t>
      </w:r>
      <w:r>
        <w:rPr>
          <w:vertAlign w:val="baseline"/>
        </w:rPr>
        <w:t>5000 mg/kg</w:t>
      </w:r>
      <w:r>
        <w:rPr>
          <w:spacing w:val="-4"/>
          <w:vertAlign w:val="baseline"/>
        </w:rPr>
        <w:t> </w:t>
      </w:r>
      <w:r>
        <w:rPr>
          <w:vertAlign w:val="baseline"/>
        </w:rPr>
        <w:t>per</w:t>
      </w:r>
      <w:r>
        <w:rPr>
          <w:spacing w:val="-1"/>
          <w:vertAlign w:val="baseline"/>
        </w:rPr>
        <w:t> </w:t>
      </w:r>
      <w:r>
        <w:rPr>
          <w:vertAlign w:val="baseline"/>
        </w:rPr>
        <w:t>oral</w:t>
      </w:r>
      <w:r>
        <w:rPr>
          <w:spacing w:val="-1"/>
          <w:vertAlign w:val="baseline"/>
        </w:rPr>
        <w:t> </w:t>
      </w:r>
      <w:r>
        <w:rPr>
          <w:vertAlign w:val="baseline"/>
        </w:rPr>
        <w:t>and</w:t>
      </w:r>
      <w:r>
        <w:rPr>
          <w:spacing w:val="-1"/>
          <w:vertAlign w:val="baseline"/>
        </w:rPr>
        <w:t> </w:t>
      </w:r>
      <w:r>
        <w:rPr>
          <w:vertAlign w:val="baseline"/>
        </w:rPr>
        <w:t>3807.9</w:t>
      </w:r>
      <w:r>
        <w:rPr>
          <w:spacing w:val="-1"/>
          <w:vertAlign w:val="baseline"/>
        </w:rPr>
        <w:t> </w:t>
      </w:r>
      <w:r>
        <w:rPr>
          <w:vertAlign w:val="baseline"/>
        </w:rPr>
        <w:t>mg/kg </w:t>
      </w:r>
      <w:r>
        <w:rPr>
          <w:i/>
          <w:vertAlign w:val="baseline"/>
        </w:rPr>
        <w:t>i.p. </w:t>
      </w:r>
      <w:r>
        <w:rPr>
          <w:vertAlign w:val="baseline"/>
        </w:rPr>
        <w:t>No observable behavioural changes were seen.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Heading2"/>
        <w:numPr>
          <w:ilvl w:val="1"/>
          <w:numId w:val="21"/>
        </w:numPr>
        <w:tabs>
          <w:tab w:pos="3628" w:val="left" w:leader="none"/>
        </w:tabs>
        <w:spacing w:line="240" w:lineRule="auto" w:before="0" w:after="0"/>
        <w:ind w:left="3628" w:right="0" w:hanging="1020"/>
        <w:jc w:val="left"/>
      </w:pPr>
      <w:r>
        <w:rPr/>
        <w:t>Preliminary</w:t>
      </w:r>
      <w:r>
        <w:rPr>
          <w:spacing w:val="-3"/>
        </w:rPr>
        <w:t> </w:t>
      </w:r>
      <w:r>
        <w:rPr/>
        <w:t>Phytochemical</w:t>
      </w:r>
      <w:r>
        <w:rPr>
          <w:spacing w:val="-2"/>
        </w:rPr>
        <w:t> Constituents</w:t>
      </w:r>
    </w:p>
    <w:p>
      <w:pPr>
        <w:spacing w:after="0" w:line="240" w:lineRule="auto"/>
        <w:jc w:val="left"/>
        <w:sectPr>
          <w:pgSz w:w="11910" w:h="16840"/>
          <w:pgMar w:header="0" w:footer="981" w:top="1320" w:bottom="1180" w:left="1240" w:right="560"/>
        </w:sectPr>
      </w:pPr>
    </w:p>
    <w:p>
      <w:pPr>
        <w:pStyle w:val="BodyText"/>
        <w:spacing w:line="482" w:lineRule="auto" w:before="64"/>
        <w:ind w:left="747" w:right="842"/>
      </w:pPr>
      <w:r>
        <w:rPr/>
        <w:t>The</w:t>
      </w:r>
      <w:r>
        <w:rPr>
          <w:spacing w:val="39"/>
        </w:rPr>
        <w:t> </w:t>
      </w:r>
      <w:r>
        <w:rPr/>
        <w:t>phytochemical</w:t>
      </w:r>
      <w:r>
        <w:rPr>
          <w:spacing w:val="40"/>
        </w:rPr>
        <w:t> </w:t>
      </w:r>
      <w:r>
        <w:rPr/>
        <w:t>screening</w:t>
      </w:r>
      <w:r>
        <w:rPr>
          <w:spacing w:val="40"/>
        </w:rPr>
        <w:t> </w:t>
      </w:r>
      <w:r>
        <w:rPr/>
        <w:t>of</w:t>
      </w:r>
      <w:r>
        <w:rPr>
          <w:spacing w:val="40"/>
        </w:rPr>
        <w:t> </w:t>
      </w:r>
      <w:r>
        <w:rPr/>
        <w:t>the</w:t>
      </w:r>
      <w:r>
        <w:rPr>
          <w:spacing w:val="40"/>
        </w:rPr>
        <w:t> </w:t>
      </w:r>
      <w:r>
        <w:rPr/>
        <w:t>extract</w:t>
      </w:r>
      <w:r>
        <w:rPr>
          <w:spacing w:val="40"/>
        </w:rPr>
        <w:t> </w:t>
      </w:r>
      <w:r>
        <w:rPr/>
        <w:t>of</w:t>
      </w:r>
      <w:r>
        <w:rPr>
          <w:spacing w:val="40"/>
        </w:rPr>
        <w:t> </w:t>
      </w:r>
      <w:r>
        <w:rPr>
          <w:i/>
        </w:rPr>
        <w:t>C.</w:t>
      </w:r>
      <w:r>
        <w:rPr>
          <w:i/>
          <w:spacing w:val="40"/>
        </w:rPr>
        <w:t> </w:t>
      </w:r>
      <w:r>
        <w:rPr>
          <w:i/>
        </w:rPr>
        <w:t>micranthum</w:t>
      </w:r>
      <w:r>
        <w:rPr>
          <w:i/>
          <w:spacing w:val="40"/>
        </w:rPr>
        <w:t> </w:t>
      </w:r>
      <w:r>
        <w:rPr/>
        <w:t>was</w:t>
      </w:r>
      <w:r>
        <w:rPr>
          <w:spacing w:val="40"/>
        </w:rPr>
        <w:t> </w:t>
      </w:r>
      <w:r>
        <w:rPr/>
        <w:t>found</w:t>
      </w:r>
      <w:r>
        <w:rPr>
          <w:spacing w:val="40"/>
        </w:rPr>
        <w:t> </w:t>
      </w:r>
      <w:r>
        <w:rPr/>
        <w:t>to</w:t>
      </w:r>
      <w:r>
        <w:rPr>
          <w:spacing w:val="40"/>
        </w:rPr>
        <w:t> </w:t>
      </w:r>
      <w:r>
        <w:rPr/>
        <w:t>contain chemical constituents as presented in Table 4.1.</w:t>
      </w:r>
    </w:p>
    <w:p>
      <w:pPr>
        <w:pStyle w:val="Heading2"/>
        <w:spacing w:before="199"/>
        <w:ind w:left="747" w:firstLine="0"/>
        <w:rPr>
          <w:i/>
        </w:rPr>
      </w:pPr>
      <w:r>
        <w:rPr/>
        <w:t>Table</w:t>
      </w:r>
      <w:r>
        <w:rPr>
          <w:spacing w:val="-4"/>
        </w:rPr>
        <w:t> </w:t>
      </w:r>
      <w:r>
        <w:rPr/>
        <w:t>4.1:</w:t>
      </w:r>
      <w:r>
        <w:rPr>
          <w:spacing w:val="-2"/>
        </w:rPr>
        <w:t> </w:t>
      </w:r>
      <w:r>
        <w:rPr/>
        <w:t>Phytochemical</w:t>
      </w:r>
      <w:r>
        <w:rPr>
          <w:spacing w:val="-2"/>
        </w:rPr>
        <w:t> </w:t>
      </w:r>
      <w:r>
        <w:rPr/>
        <w:t>Constituents</w:t>
      </w:r>
      <w:r>
        <w:rPr>
          <w:spacing w:val="1"/>
        </w:rPr>
        <w:t> </w:t>
      </w:r>
      <w:r>
        <w:rPr/>
        <w:t>of the</w:t>
      </w:r>
      <w:r>
        <w:rPr>
          <w:spacing w:val="-3"/>
        </w:rPr>
        <w:t> </w:t>
      </w:r>
      <w:r>
        <w:rPr/>
        <w:t>Leaf Extract</w:t>
      </w:r>
      <w:r>
        <w:rPr>
          <w:spacing w:val="-2"/>
        </w:rPr>
        <w:t> </w:t>
      </w:r>
      <w:r>
        <w:rPr/>
        <w:t>of</w:t>
      </w:r>
      <w:r>
        <w:rPr>
          <w:spacing w:val="1"/>
        </w:rPr>
        <w:t> </w:t>
      </w:r>
      <w:r>
        <w:rPr>
          <w:i/>
        </w:rPr>
        <w:t>C.</w:t>
      </w:r>
      <w:r>
        <w:rPr>
          <w:i/>
          <w:spacing w:val="-1"/>
        </w:rPr>
        <w:t> </w:t>
      </w:r>
      <w:r>
        <w:rPr>
          <w:i/>
          <w:spacing w:val="-2"/>
        </w:rPr>
        <w:t>micranthum</w:t>
      </w:r>
    </w:p>
    <w:p>
      <w:pPr>
        <w:pStyle w:val="BodyText"/>
        <w:spacing w:before="189"/>
        <w:rPr>
          <w:b/>
          <w:i/>
          <w:sz w:val="20"/>
        </w:rPr>
      </w:pP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7"/>
        <w:gridCol w:w="2976"/>
      </w:tblGrid>
      <w:tr>
        <w:trPr>
          <w:trHeight w:val="412" w:hRule="atLeast"/>
        </w:trPr>
        <w:tc>
          <w:tcPr>
            <w:tcW w:w="5757"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Constituents</w:t>
            </w:r>
          </w:p>
        </w:tc>
        <w:tc>
          <w:tcPr>
            <w:tcW w:w="2976" w:type="dxa"/>
            <w:tcBorders>
              <w:top w:val="single" w:sz="4" w:space="0" w:color="000000"/>
              <w:bottom w:val="single" w:sz="4" w:space="0" w:color="000000"/>
            </w:tcBorders>
          </w:tcPr>
          <w:p>
            <w:pPr>
              <w:pStyle w:val="TableParagraph"/>
              <w:spacing w:line="275" w:lineRule="exact"/>
              <w:ind w:right="1298"/>
              <w:jc w:val="right"/>
              <w:rPr>
                <w:b/>
                <w:sz w:val="24"/>
              </w:rPr>
            </w:pPr>
            <w:r>
              <w:rPr>
                <w:b/>
                <w:spacing w:val="-2"/>
                <w:sz w:val="24"/>
              </w:rPr>
              <w:t>Remark</w:t>
            </w:r>
          </w:p>
        </w:tc>
      </w:tr>
      <w:tr>
        <w:trPr>
          <w:trHeight w:val="346" w:hRule="atLeast"/>
        </w:trPr>
        <w:tc>
          <w:tcPr>
            <w:tcW w:w="5757" w:type="dxa"/>
            <w:tcBorders>
              <w:top w:val="single" w:sz="4" w:space="0" w:color="000000"/>
            </w:tcBorders>
          </w:tcPr>
          <w:p>
            <w:pPr>
              <w:pStyle w:val="TableParagraph"/>
              <w:tabs>
                <w:tab w:pos="2395" w:val="left" w:leader="none"/>
              </w:tabs>
              <w:spacing w:line="273" w:lineRule="exact"/>
              <w:ind w:left="115"/>
              <w:rPr>
                <w:sz w:val="24"/>
              </w:rPr>
            </w:pPr>
            <w:r>
              <w:rPr>
                <w:spacing w:val="-2"/>
                <w:sz w:val="24"/>
              </w:rPr>
              <w:t>Alkaloid</w:t>
            </w:r>
            <w:r>
              <w:rPr>
                <w:sz w:val="24"/>
              </w:rPr>
              <w:tab/>
              <w:t>Mayer,s</w:t>
            </w:r>
            <w:r>
              <w:rPr>
                <w:spacing w:val="-4"/>
                <w:sz w:val="24"/>
              </w:rPr>
              <w:t> </w:t>
            </w:r>
            <w:r>
              <w:rPr>
                <w:sz w:val="24"/>
              </w:rPr>
              <w:t>reagent</w:t>
            </w:r>
            <w:r>
              <w:rPr>
                <w:spacing w:val="-3"/>
                <w:sz w:val="24"/>
              </w:rPr>
              <w:t> </w:t>
            </w:r>
            <w:r>
              <w:rPr>
                <w:spacing w:val="-4"/>
                <w:sz w:val="24"/>
              </w:rPr>
              <w:t>test</w:t>
            </w:r>
          </w:p>
        </w:tc>
        <w:tc>
          <w:tcPr>
            <w:tcW w:w="2976" w:type="dxa"/>
            <w:tcBorders>
              <w:top w:val="single" w:sz="4" w:space="0" w:color="000000"/>
            </w:tcBorders>
          </w:tcPr>
          <w:p>
            <w:pPr>
              <w:pStyle w:val="TableParagraph"/>
              <w:spacing w:line="273" w:lineRule="exact"/>
              <w:ind w:right="1285"/>
              <w:jc w:val="right"/>
              <w:rPr>
                <w:sz w:val="24"/>
              </w:rPr>
            </w:pPr>
            <w:r>
              <w:rPr>
                <w:spacing w:val="-2"/>
                <w:sz w:val="24"/>
              </w:rPr>
              <w:t>Present</w:t>
            </w:r>
          </w:p>
        </w:tc>
      </w:tr>
      <w:tr>
        <w:trPr>
          <w:trHeight w:val="412" w:hRule="atLeast"/>
        </w:trPr>
        <w:tc>
          <w:tcPr>
            <w:tcW w:w="5757" w:type="dxa"/>
          </w:tcPr>
          <w:p>
            <w:pPr>
              <w:pStyle w:val="TableParagraph"/>
              <w:spacing w:before="63"/>
              <w:ind w:left="2335"/>
              <w:rPr>
                <w:sz w:val="24"/>
              </w:rPr>
            </w:pPr>
            <w:r>
              <w:rPr>
                <w:sz w:val="24"/>
              </w:rPr>
              <w:t>Wagner,s</w:t>
            </w:r>
            <w:r>
              <w:rPr>
                <w:spacing w:val="-4"/>
                <w:sz w:val="24"/>
              </w:rPr>
              <w:t> </w:t>
            </w:r>
            <w:r>
              <w:rPr>
                <w:sz w:val="24"/>
              </w:rPr>
              <w:t>reagent</w:t>
            </w:r>
            <w:r>
              <w:rPr>
                <w:spacing w:val="-4"/>
                <w:sz w:val="24"/>
              </w:rPr>
              <w:t> test</w:t>
            </w:r>
          </w:p>
        </w:tc>
        <w:tc>
          <w:tcPr>
            <w:tcW w:w="2976" w:type="dxa"/>
          </w:tcPr>
          <w:p>
            <w:pPr>
              <w:pStyle w:val="TableParagraph"/>
              <w:spacing w:before="63"/>
              <w:ind w:right="1285"/>
              <w:jc w:val="right"/>
              <w:rPr>
                <w:sz w:val="24"/>
              </w:rPr>
            </w:pPr>
            <w:r>
              <w:rPr>
                <w:spacing w:val="-2"/>
                <w:sz w:val="24"/>
              </w:rPr>
              <w:t>Present</w:t>
            </w:r>
          </w:p>
        </w:tc>
      </w:tr>
      <w:tr>
        <w:trPr>
          <w:trHeight w:val="414" w:hRule="atLeast"/>
        </w:trPr>
        <w:tc>
          <w:tcPr>
            <w:tcW w:w="5757" w:type="dxa"/>
          </w:tcPr>
          <w:p>
            <w:pPr>
              <w:pStyle w:val="TableParagraph"/>
              <w:spacing w:before="63"/>
              <w:ind w:left="2335"/>
              <w:rPr>
                <w:sz w:val="24"/>
              </w:rPr>
            </w:pPr>
            <w:r>
              <w:rPr>
                <w:sz w:val="24"/>
              </w:rPr>
              <w:t>Drangendorff</w:t>
            </w:r>
            <w:r>
              <w:rPr>
                <w:spacing w:val="-6"/>
                <w:sz w:val="24"/>
              </w:rPr>
              <w:t> </w:t>
            </w:r>
            <w:r>
              <w:rPr>
                <w:spacing w:val="-4"/>
                <w:sz w:val="24"/>
              </w:rPr>
              <w:t>test</w:t>
            </w:r>
          </w:p>
        </w:tc>
        <w:tc>
          <w:tcPr>
            <w:tcW w:w="2976" w:type="dxa"/>
          </w:tcPr>
          <w:p>
            <w:pPr>
              <w:pStyle w:val="TableParagraph"/>
              <w:spacing w:before="63"/>
              <w:ind w:right="1285"/>
              <w:jc w:val="right"/>
              <w:rPr>
                <w:sz w:val="24"/>
              </w:rPr>
            </w:pPr>
            <w:r>
              <w:rPr>
                <w:spacing w:val="-2"/>
                <w:sz w:val="24"/>
              </w:rPr>
              <w:t>Present</w:t>
            </w:r>
          </w:p>
        </w:tc>
      </w:tr>
      <w:tr>
        <w:trPr>
          <w:trHeight w:val="414" w:hRule="atLeast"/>
        </w:trPr>
        <w:tc>
          <w:tcPr>
            <w:tcW w:w="5757" w:type="dxa"/>
          </w:tcPr>
          <w:p>
            <w:pPr>
              <w:pStyle w:val="TableParagraph"/>
              <w:tabs>
                <w:tab w:pos="2335" w:val="left" w:leader="none"/>
              </w:tabs>
              <w:spacing w:before="65"/>
              <w:ind w:left="115"/>
              <w:rPr>
                <w:sz w:val="24"/>
              </w:rPr>
            </w:pPr>
            <w:r>
              <w:rPr>
                <w:spacing w:val="-2"/>
                <w:sz w:val="24"/>
              </w:rPr>
              <w:t>Anthraquinone</w:t>
            </w:r>
            <w:r>
              <w:rPr>
                <w:sz w:val="24"/>
              </w:rPr>
              <w:tab/>
              <w:t>Bornstrager,s</w:t>
            </w:r>
            <w:r>
              <w:rPr>
                <w:spacing w:val="-4"/>
                <w:sz w:val="24"/>
              </w:rPr>
              <w:t> test</w:t>
            </w:r>
          </w:p>
        </w:tc>
        <w:tc>
          <w:tcPr>
            <w:tcW w:w="2976" w:type="dxa"/>
          </w:tcPr>
          <w:p>
            <w:pPr>
              <w:pStyle w:val="TableParagraph"/>
              <w:spacing w:before="65"/>
              <w:ind w:right="1285"/>
              <w:jc w:val="right"/>
              <w:rPr>
                <w:sz w:val="24"/>
              </w:rPr>
            </w:pPr>
            <w:r>
              <w:rPr>
                <w:spacing w:val="-2"/>
                <w:sz w:val="24"/>
              </w:rPr>
              <w:t>Present</w:t>
            </w:r>
          </w:p>
        </w:tc>
      </w:tr>
      <w:tr>
        <w:trPr>
          <w:trHeight w:val="413" w:hRule="atLeast"/>
        </w:trPr>
        <w:tc>
          <w:tcPr>
            <w:tcW w:w="5757" w:type="dxa"/>
          </w:tcPr>
          <w:p>
            <w:pPr>
              <w:pStyle w:val="TableParagraph"/>
              <w:tabs>
                <w:tab w:pos="2352" w:val="left" w:leader="none"/>
              </w:tabs>
              <w:spacing w:before="63"/>
              <w:ind w:left="115"/>
              <w:rPr>
                <w:sz w:val="24"/>
              </w:rPr>
            </w:pPr>
            <w:r>
              <w:rPr>
                <w:spacing w:val="-2"/>
                <w:sz w:val="24"/>
              </w:rPr>
              <w:t>Carbohydrates</w:t>
            </w:r>
            <w:r>
              <w:rPr>
                <w:sz w:val="24"/>
              </w:rPr>
              <w:tab/>
              <w:t>Molisch</w:t>
            </w:r>
            <w:r>
              <w:rPr>
                <w:spacing w:val="-4"/>
                <w:sz w:val="24"/>
              </w:rPr>
              <w:t> </w:t>
            </w:r>
            <w:r>
              <w:rPr>
                <w:sz w:val="24"/>
              </w:rPr>
              <w:t>reagent</w:t>
            </w:r>
            <w:r>
              <w:rPr>
                <w:spacing w:val="-2"/>
                <w:sz w:val="24"/>
              </w:rPr>
              <w:t> </w:t>
            </w:r>
            <w:r>
              <w:rPr>
                <w:spacing w:val="-4"/>
                <w:sz w:val="24"/>
              </w:rPr>
              <w:t>test</w:t>
            </w:r>
          </w:p>
        </w:tc>
        <w:tc>
          <w:tcPr>
            <w:tcW w:w="2976" w:type="dxa"/>
          </w:tcPr>
          <w:p>
            <w:pPr>
              <w:pStyle w:val="TableParagraph"/>
              <w:spacing w:before="63"/>
              <w:ind w:right="1285"/>
              <w:jc w:val="right"/>
              <w:rPr>
                <w:sz w:val="24"/>
              </w:rPr>
            </w:pPr>
            <w:r>
              <w:rPr>
                <w:spacing w:val="-2"/>
                <w:sz w:val="24"/>
              </w:rPr>
              <w:t>Present</w:t>
            </w:r>
          </w:p>
        </w:tc>
      </w:tr>
      <w:tr>
        <w:trPr>
          <w:trHeight w:val="413" w:hRule="atLeast"/>
        </w:trPr>
        <w:tc>
          <w:tcPr>
            <w:tcW w:w="5757" w:type="dxa"/>
          </w:tcPr>
          <w:p>
            <w:pPr>
              <w:pStyle w:val="TableParagraph"/>
              <w:tabs>
                <w:tab w:pos="2414" w:val="left" w:leader="none"/>
              </w:tabs>
              <w:spacing w:before="64"/>
              <w:ind w:left="115"/>
              <w:rPr>
                <w:sz w:val="24"/>
              </w:rPr>
            </w:pPr>
            <w:r>
              <w:rPr>
                <w:sz w:val="24"/>
              </w:rPr>
              <w:t>Cardiac</w:t>
            </w:r>
            <w:r>
              <w:rPr>
                <w:spacing w:val="-2"/>
                <w:sz w:val="24"/>
              </w:rPr>
              <w:t> glycosides</w:t>
            </w:r>
            <w:r>
              <w:rPr>
                <w:sz w:val="24"/>
              </w:rPr>
              <w:tab/>
              <w:t>Kella-Killiani</w:t>
            </w:r>
            <w:r>
              <w:rPr>
                <w:spacing w:val="-6"/>
                <w:sz w:val="24"/>
              </w:rPr>
              <w:t> </w:t>
            </w:r>
            <w:r>
              <w:rPr>
                <w:spacing w:val="-4"/>
                <w:sz w:val="24"/>
              </w:rPr>
              <w:t>test</w:t>
            </w:r>
          </w:p>
        </w:tc>
        <w:tc>
          <w:tcPr>
            <w:tcW w:w="2976" w:type="dxa"/>
          </w:tcPr>
          <w:p>
            <w:pPr>
              <w:pStyle w:val="TableParagraph"/>
              <w:spacing w:before="64"/>
              <w:ind w:right="1285"/>
              <w:jc w:val="right"/>
              <w:rPr>
                <w:sz w:val="24"/>
              </w:rPr>
            </w:pPr>
            <w:r>
              <w:rPr>
                <w:spacing w:val="-2"/>
                <w:sz w:val="24"/>
              </w:rPr>
              <w:t>Present</w:t>
            </w:r>
          </w:p>
        </w:tc>
      </w:tr>
      <w:tr>
        <w:trPr>
          <w:trHeight w:val="414" w:hRule="atLeast"/>
        </w:trPr>
        <w:tc>
          <w:tcPr>
            <w:tcW w:w="5757" w:type="dxa"/>
          </w:tcPr>
          <w:p>
            <w:pPr>
              <w:pStyle w:val="TableParagraph"/>
              <w:spacing w:before="63"/>
              <w:ind w:left="85"/>
              <w:jc w:val="center"/>
              <w:rPr>
                <w:sz w:val="24"/>
              </w:rPr>
            </w:pPr>
            <w:r>
              <w:rPr>
                <w:sz w:val="24"/>
              </w:rPr>
              <w:t>Kedde,s</w:t>
            </w:r>
            <w:r>
              <w:rPr>
                <w:spacing w:val="-3"/>
                <w:sz w:val="24"/>
              </w:rPr>
              <w:t> </w:t>
            </w:r>
            <w:r>
              <w:rPr>
                <w:spacing w:val="-4"/>
                <w:sz w:val="24"/>
              </w:rPr>
              <w:t>test</w:t>
            </w:r>
          </w:p>
        </w:tc>
        <w:tc>
          <w:tcPr>
            <w:tcW w:w="2976" w:type="dxa"/>
          </w:tcPr>
          <w:p>
            <w:pPr>
              <w:pStyle w:val="TableParagraph"/>
              <w:spacing w:before="63"/>
              <w:ind w:right="1285"/>
              <w:jc w:val="right"/>
              <w:rPr>
                <w:sz w:val="24"/>
              </w:rPr>
            </w:pPr>
            <w:r>
              <w:rPr>
                <w:spacing w:val="-2"/>
                <w:sz w:val="24"/>
              </w:rPr>
              <w:t>Present</w:t>
            </w:r>
          </w:p>
        </w:tc>
      </w:tr>
      <w:tr>
        <w:trPr>
          <w:trHeight w:val="413" w:hRule="atLeast"/>
        </w:trPr>
        <w:tc>
          <w:tcPr>
            <w:tcW w:w="5757" w:type="dxa"/>
          </w:tcPr>
          <w:p>
            <w:pPr>
              <w:pStyle w:val="TableParagraph"/>
              <w:tabs>
                <w:tab w:pos="2381" w:val="left" w:leader="none"/>
              </w:tabs>
              <w:spacing w:before="64"/>
              <w:ind w:left="115"/>
              <w:rPr>
                <w:sz w:val="24"/>
              </w:rPr>
            </w:pPr>
            <w:r>
              <w:rPr>
                <w:spacing w:val="-2"/>
                <w:sz w:val="24"/>
              </w:rPr>
              <w:t>Flavonoids</w:t>
            </w:r>
            <w:r>
              <w:rPr>
                <w:sz w:val="24"/>
              </w:rPr>
              <w:tab/>
              <w:t>Shinoda </w:t>
            </w:r>
            <w:r>
              <w:rPr>
                <w:spacing w:val="-4"/>
                <w:sz w:val="24"/>
              </w:rPr>
              <w:t>test</w:t>
            </w:r>
          </w:p>
        </w:tc>
        <w:tc>
          <w:tcPr>
            <w:tcW w:w="2976" w:type="dxa"/>
          </w:tcPr>
          <w:p>
            <w:pPr>
              <w:pStyle w:val="TableParagraph"/>
              <w:spacing w:before="64"/>
              <w:ind w:right="1285"/>
              <w:jc w:val="right"/>
              <w:rPr>
                <w:sz w:val="24"/>
              </w:rPr>
            </w:pPr>
            <w:r>
              <w:rPr>
                <w:spacing w:val="-2"/>
                <w:sz w:val="24"/>
              </w:rPr>
              <w:t>Present</w:t>
            </w:r>
          </w:p>
        </w:tc>
      </w:tr>
      <w:tr>
        <w:trPr>
          <w:trHeight w:val="413" w:hRule="atLeast"/>
        </w:trPr>
        <w:tc>
          <w:tcPr>
            <w:tcW w:w="5757" w:type="dxa"/>
          </w:tcPr>
          <w:p>
            <w:pPr>
              <w:pStyle w:val="TableParagraph"/>
              <w:spacing w:before="63"/>
              <w:ind w:left="2335"/>
              <w:rPr>
                <w:sz w:val="24"/>
              </w:rPr>
            </w:pPr>
            <w:r>
              <w:rPr>
                <w:sz w:val="24"/>
              </w:rPr>
              <w:t>Sodium</w:t>
            </w:r>
            <w:r>
              <w:rPr>
                <w:spacing w:val="-4"/>
                <w:sz w:val="24"/>
              </w:rPr>
              <w:t> </w:t>
            </w:r>
            <w:r>
              <w:rPr>
                <w:sz w:val="24"/>
              </w:rPr>
              <w:t>Hydroxide</w:t>
            </w:r>
            <w:r>
              <w:rPr>
                <w:spacing w:val="-1"/>
                <w:sz w:val="24"/>
              </w:rPr>
              <w:t> </w:t>
            </w:r>
            <w:r>
              <w:rPr>
                <w:spacing w:val="-4"/>
                <w:sz w:val="24"/>
              </w:rPr>
              <w:t>test</w:t>
            </w:r>
          </w:p>
        </w:tc>
        <w:tc>
          <w:tcPr>
            <w:tcW w:w="2976" w:type="dxa"/>
          </w:tcPr>
          <w:p>
            <w:pPr>
              <w:pStyle w:val="TableParagraph"/>
              <w:spacing w:before="63"/>
              <w:ind w:right="1285"/>
              <w:jc w:val="right"/>
              <w:rPr>
                <w:sz w:val="24"/>
              </w:rPr>
            </w:pPr>
            <w:r>
              <w:rPr>
                <w:spacing w:val="-2"/>
                <w:sz w:val="24"/>
              </w:rPr>
              <w:t>Present</w:t>
            </w:r>
          </w:p>
        </w:tc>
      </w:tr>
      <w:tr>
        <w:trPr>
          <w:trHeight w:val="414" w:hRule="atLeast"/>
        </w:trPr>
        <w:tc>
          <w:tcPr>
            <w:tcW w:w="5757" w:type="dxa"/>
          </w:tcPr>
          <w:p>
            <w:pPr>
              <w:pStyle w:val="TableParagraph"/>
              <w:tabs>
                <w:tab w:pos="2376" w:val="left" w:leader="none"/>
              </w:tabs>
              <w:spacing w:before="64"/>
              <w:ind w:left="115"/>
              <w:rPr>
                <w:sz w:val="24"/>
              </w:rPr>
            </w:pPr>
            <w:r>
              <w:rPr>
                <w:spacing w:val="-2"/>
                <w:sz w:val="24"/>
              </w:rPr>
              <w:t>Saponins</w:t>
            </w:r>
            <w:r>
              <w:rPr>
                <w:sz w:val="24"/>
              </w:rPr>
              <w:tab/>
              <w:t>Frothing</w:t>
            </w:r>
            <w:r>
              <w:rPr>
                <w:spacing w:val="-7"/>
                <w:sz w:val="24"/>
              </w:rPr>
              <w:t> </w:t>
            </w:r>
            <w:r>
              <w:rPr>
                <w:spacing w:val="-4"/>
                <w:sz w:val="24"/>
              </w:rPr>
              <w:t>test</w:t>
            </w:r>
          </w:p>
        </w:tc>
        <w:tc>
          <w:tcPr>
            <w:tcW w:w="2976" w:type="dxa"/>
          </w:tcPr>
          <w:p>
            <w:pPr>
              <w:pStyle w:val="TableParagraph"/>
              <w:spacing w:before="64"/>
              <w:ind w:right="1285"/>
              <w:jc w:val="right"/>
              <w:rPr>
                <w:sz w:val="24"/>
              </w:rPr>
            </w:pPr>
            <w:r>
              <w:rPr>
                <w:spacing w:val="-2"/>
                <w:sz w:val="24"/>
              </w:rPr>
              <w:t>Present</w:t>
            </w:r>
          </w:p>
        </w:tc>
      </w:tr>
      <w:tr>
        <w:trPr>
          <w:trHeight w:val="414" w:hRule="atLeast"/>
        </w:trPr>
        <w:tc>
          <w:tcPr>
            <w:tcW w:w="5757" w:type="dxa"/>
          </w:tcPr>
          <w:p>
            <w:pPr>
              <w:pStyle w:val="TableParagraph"/>
              <w:tabs>
                <w:tab w:pos="2402" w:val="left" w:leader="none"/>
              </w:tabs>
              <w:spacing w:before="63"/>
              <w:ind w:left="115"/>
              <w:rPr>
                <w:sz w:val="24"/>
              </w:rPr>
            </w:pPr>
            <w:r>
              <w:rPr>
                <w:spacing w:val="-2"/>
                <w:sz w:val="24"/>
              </w:rPr>
              <w:t>Steroids</w:t>
            </w:r>
            <w:r>
              <w:rPr>
                <w:sz w:val="24"/>
              </w:rPr>
              <w:tab/>
              <w:t>Salkowsky</w:t>
            </w:r>
            <w:r>
              <w:rPr>
                <w:spacing w:val="-6"/>
                <w:sz w:val="24"/>
              </w:rPr>
              <w:t> </w:t>
            </w:r>
            <w:r>
              <w:rPr>
                <w:spacing w:val="-4"/>
                <w:sz w:val="24"/>
              </w:rPr>
              <w:t>test</w:t>
            </w:r>
          </w:p>
        </w:tc>
        <w:tc>
          <w:tcPr>
            <w:tcW w:w="2976" w:type="dxa"/>
          </w:tcPr>
          <w:p>
            <w:pPr>
              <w:pStyle w:val="TableParagraph"/>
              <w:spacing w:before="63"/>
              <w:ind w:right="1285"/>
              <w:jc w:val="right"/>
              <w:rPr>
                <w:sz w:val="24"/>
              </w:rPr>
            </w:pPr>
            <w:r>
              <w:rPr>
                <w:spacing w:val="-2"/>
                <w:sz w:val="24"/>
              </w:rPr>
              <w:t>Present</w:t>
            </w:r>
          </w:p>
        </w:tc>
      </w:tr>
      <w:tr>
        <w:trPr>
          <w:trHeight w:val="414" w:hRule="atLeast"/>
        </w:trPr>
        <w:tc>
          <w:tcPr>
            <w:tcW w:w="5757" w:type="dxa"/>
          </w:tcPr>
          <w:p>
            <w:pPr>
              <w:pStyle w:val="TableParagraph"/>
              <w:tabs>
                <w:tab w:pos="2390" w:val="left" w:leader="none"/>
              </w:tabs>
              <w:spacing w:before="64"/>
              <w:ind w:left="115"/>
              <w:rPr>
                <w:sz w:val="24"/>
              </w:rPr>
            </w:pPr>
            <w:r>
              <w:rPr>
                <w:spacing w:val="-2"/>
                <w:sz w:val="24"/>
              </w:rPr>
              <w:t>Tannins</w:t>
            </w:r>
            <w:r>
              <w:rPr>
                <w:sz w:val="24"/>
              </w:rPr>
              <w:tab/>
              <w:t>Lead-subacetate</w:t>
            </w:r>
            <w:r>
              <w:rPr>
                <w:spacing w:val="-8"/>
                <w:sz w:val="24"/>
              </w:rPr>
              <w:t> </w:t>
            </w:r>
            <w:r>
              <w:rPr>
                <w:spacing w:val="-4"/>
                <w:sz w:val="24"/>
              </w:rPr>
              <w:t>test</w:t>
            </w:r>
          </w:p>
        </w:tc>
        <w:tc>
          <w:tcPr>
            <w:tcW w:w="2976" w:type="dxa"/>
          </w:tcPr>
          <w:p>
            <w:pPr>
              <w:pStyle w:val="TableParagraph"/>
              <w:spacing w:before="64"/>
              <w:ind w:right="1285"/>
              <w:jc w:val="right"/>
              <w:rPr>
                <w:sz w:val="24"/>
              </w:rPr>
            </w:pPr>
            <w:r>
              <w:rPr>
                <w:spacing w:val="-2"/>
                <w:sz w:val="24"/>
              </w:rPr>
              <w:t>Present</w:t>
            </w:r>
          </w:p>
        </w:tc>
      </w:tr>
      <w:tr>
        <w:trPr>
          <w:trHeight w:val="414" w:hRule="atLeast"/>
        </w:trPr>
        <w:tc>
          <w:tcPr>
            <w:tcW w:w="5757" w:type="dxa"/>
          </w:tcPr>
          <w:p>
            <w:pPr>
              <w:pStyle w:val="TableParagraph"/>
              <w:spacing w:before="63"/>
              <w:ind w:left="2335"/>
              <w:rPr>
                <w:sz w:val="24"/>
              </w:rPr>
            </w:pPr>
            <w:r>
              <w:rPr>
                <w:sz w:val="24"/>
              </w:rPr>
              <w:t>Ferric</w:t>
            </w:r>
            <w:r>
              <w:rPr>
                <w:spacing w:val="-4"/>
                <w:sz w:val="24"/>
              </w:rPr>
              <w:t> </w:t>
            </w:r>
            <w:r>
              <w:rPr>
                <w:sz w:val="24"/>
              </w:rPr>
              <w:t>Chloride</w:t>
            </w:r>
            <w:r>
              <w:rPr>
                <w:spacing w:val="-2"/>
                <w:sz w:val="24"/>
              </w:rPr>
              <w:t> </w:t>
            </w:r>
            <w:r>
              <w:rPr>
                <w:spacing w:val="-4"/>
                <w:sz w:val="24"/>
              </w:rPr>
              <w:t>test</w:t>
            </w:r>
          </w:p>
        </w:tc>
        <w:tc>
          <w:tcPr>
            <w:tcW w:w="2976" w:type="dxa"/>
          </w:tcPr>
          <w:p>
            <w:pPr>
              <w:pStyle w:val="TableParagraph"/>
              <w:spacing w:before="63"/>
              <w:ind w:right="1285"/>
              <w:jc w:val="right"/>
              <w:rPr>
                <w:sz w:val="24"/>
              </w:rPr>
            </w:pPr>
            <w:r>
              <w:rPr>
                <w:spacing w:val="-2"/>
                <w:sz w:val="24"/>
              </w:rPr>
              <w:t>Present</w:t>
            </w:r>
          </w:p>
        </w:tc>
      </w:tr>
      <w:tr>
        <w:trPr>
          <w:trHeight w:val="482" w:hRule="atLeast"/>
        </w:trPr>
        <w:tc>
          <w:tcPr>
            <w:tcW w:w="5757" w:type="dxa"/>
            <w:tcBorders>
              <w:bottom w:val="single" w:sz="4" w:space="0" w:color="000000"/>
            </w:tcBorders>
          </w:tcPr>
          <w:p>
            <w:pPr>
              <w:pStyle w:val="TableParagraph"/>
              <w:tabs>
                <w:tab w:pos="2395" w:val="left" w:leader="none"/>
              </w:tabs>
              <w:spacing w:before="64"/>
              <w:ind w:left="115"/>
              <w:rPr>
                <w:sz w:val="24"/>
              </w:rPr>
            </w:pPr>
            <w:r>
              <w:rPr>
                <w:spacing w:val="-2"/>
                <w:sz w:val="24"/>
              </w:rPr>
              <w:t>Terpenoids</w:t>
            </w:r>
            <w:r>
              <w:rPr>
                <w:sz w:val="24"/>
              </w:rPr>
              <w:tab/>
              <w:t>Liebermann-Burchard</w:t>
            </w:r>
            <w:r>
              <w:rPr>
                <w:spacing w:val="-5"/>
                <w:sz w:val="24"/>
              </w:rPr>
              <w:t> </w:t>
            </w:r>
            <w:r>
              <w:rPr>
                <w:spacing w:val="-4"/>
                <w:sz w:val="24"/>
              </w:rPr>
              <w:t>test</w:t>
            </w:r>
          </w:p>
        </w:tc>
        <w:tc>
          <w:tcPr>
            <w:tcW w:w="2976" w:type="dxa"/>
            <w:tcBorders>
              <w:bottom w:val="single" w:sz="4" w:space="0" w:color="000000"/>
            </w:tcBorders>
          </w:tcPr>
          <w:p>
            <w:pPr>
              <w:pStyle w:val="TableParagraph"/>
              <w:spacing w:before="64"/>
              <w:ind w:right="1285"/>
              <w:jc w:val="right"/>
              <w:rPr>
                <w:sz w:val="24"/>
              </w:rPr>
            </w:pPr>
            <w:r>
              <w:rPr>
                <w:spacing w:val="-2"/>
                <w:sz w:val="24"/>
              </w:rPr>
              <w:t>Present</w:t>
            </w:r>
          </w:p>
        </w:tc>
      </w:tr>
    </w:tbl>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4"/>
        <w:rPr>
          <w:b/>
          <w:i/>
        </w:rPr>
      </w:pPr>
    </w:p>
    <w:p>
      <w:pPr>
        <w:pStyle w:val="ListParagraph"/>
        <w:numPr>
          <w:ilvl w:val="1"/>
          <w:numId w:val="21"/>
        </w:numPr>
        <w:tabs>
          <w:tab w:pos="2908" w:val="left" w:leader="none"/>
          <w:tab w:pos="3990" w:val="left" w:leader="none"/>
        </w:tabs>
        <w:spacing w:line="480" w:lineRule="auto" w:before="0" w:after="0"/>
        <w:ind w:left="2908" w:right="846" w:hanging="720"/>
        <w:jc w:val="left"/>
        <w:rPr>
          <w:b/>
          <w:sz w:val="24"/>
        </w:rPr>
      </w:pPr>
      <w:r>
        <w:rPr>
          <w:b/>
          <w:sz w:val="24"/>
        </w:rPr>
        <w:t>Effect</w:t>
      </w:r>
      <w:r>
        <w:rPr>
          <w:b/>
          <w:spacing w:val="80"/>
          <w:sz w:val="24"/>
        </w:rPr>
        <w:t> </w:t>
      </w:r>
      <w:r>
        <w:rPr>
          <w:b/>
          <w:sz w:val="24"/>
        </w:rPr>
        <w:t>of</w:t>
      </w:r>
      <w:r>
        <w:rPr>
          <w:b/>
          <w:spacing w:val="80"/>
          <w:sz w:val="24"/>
        </w:rPr>
        <w:t> </w:t>
      </w:r>
      <w:r>
        <w:rPr>
          <w:b/>
          <w:i/>
          <w:sz w:val="24"/>
        </w:rPr>
        <w:t>C.</w:t>
      </w:r>
      <w:r>
        <w:rPr>
          <w:b/>
          <w:i/>
          <w:spacing w:val="80"/>
          <w:sz w:val="24"/>
        </w:rPr>
        <w:t> </w:t>
      </w:r>
      <w:r>
        <w:rPr>
          <w:b/>
          <w:i/>
          <w:sz w:val="24"/>
        </w:rPr>
        <w:t>micranthum</w:t>
      </w:r>
      <w:r>
        <w:rPr>
          <w:b/>
          <w:i/>
          <w:spacing w:val="80"/>
          <w:sz w:val="24"/>
        </w:rPr>
        <w:t> </w:t>
      </w:r>
      <w:r>
        <w:rPr>
          <w:b/>
          <w:sz w:val="24"/>
        </w:rPr>
        <w:t>Extract</w:t>
      </w:r>
      <w:r>
        <w:rPr>
          <w:b/>
          <w:spacing w:val="80"/>
          <w:sz w:val="24"/>
        </w:rPr>
        <w:t> </w:t>
      </w:r>
      <w:r>
        <w:rPr>
          <w:b/>
          <w:sz w:val="24"/>
        </w:rPr>
        <w:t>on</w:t>
      </w:r>
      <w:r>
        <w:rPr>
          <w:b/>
          <w:spacing w:val="80"/>
          <w:sz w:val="24"/>
        </w:rPr>
        <w:t> </w:t>
      </w:r>
      <w:r>
        <w:rPr>
          <w:b/>
          <w:sz w:val="24"/>
        </w:rPr>
        <w:t>Cyclophosphamide- </w:t>
      </w:r>
      <w:r>
        <w:rPr>
          <w:b/>
          <w:spacing w:val="-2"/>
          <w:sz w:val="24"/>
        </w:rPr>
        <w:t>Induced</w:t>
      </w:r>
      <w:r>
        <w:rPr>
          <w:b/>
          <w:sz w:val="24"/>
        </w:rPr>
        <w:tab/>
      </w:r>
      <w:r>
        <w:rPr>
          <w:b/>
          <w:spacing w:val="-2"/>
          <w:sz w:val="24"/>
        </w:rPr>
        <w:t>Neutropenia</w:t>
      </w:r>
    </w:p>
    <w:p>
      <w:pPr>
        <w:spacing w:after="0" w:line="480" w:lineRule="auto"/>
        <w:jc w:val="left"/>
        <w:rPr>
          <w:sz w:val="24"/>
        </w:rPr>
        <w:sectPr>
          <w:pgSz w:w="11910" w:h="16840"/>
          <w:pgMar w:header="0" w:footer="981" w:top="1320" w:bottom="1180" w:left="1240" w:right="560"/>
        </w:sectPr>
      </w:pPr>
    </w:p>
    <w:p>
      <w:pPr>
        <w:pStyle w:val="BodyText"/>
        <w:spacing w:line="480" w:lineRule="auto" w:before="64"/>
        <w:ind w:left="747" w:right="845"/>
        <w:jc w:val="both"/>
      </w:pPr>
      <w:r>
        <w:rPr/>
        <w:t>The extract pretreatment prior to cyclophosphamide injection showed slight, but insignificant increase in WBC count compared to the control group as presented in</w:t>
      </w:r>
      <w:r>
        <w:rPr>
          <w:spacing w:val="40"/>
        </w:rPr>
        <w:t> </w:t>
      </w:r>
      <w:r>
        <w:rPr/>
        <w:t>Table 4.2. In this study, a pronounced neutropenic effect of cylophosphamide on haematological parameters was observed and the effect was in such a manner that the pre-count values were significantly reduced (P&lt;0.05) for some (WBC, RBC, HCT,</w:t>
      </w:r>
      <w:r>
        <w:rPr>
          <w:spacing w:val="40"/>
        </w:rPr>
        <w:t> </w:t>
      </w:r>
      <w:r>
        <w:rPr/>
        <w:t>HGB and ANC), but not significantly for MCHC; while for percent (%) lymphocytes, the precount values decreased for both the control and the lowest extract-dose groups, but increased for the two higher extract-dose groups. The precount percent (%) neutrophil also increased for the control group and the first two extract-doses, but reduced for the highest dose of extract (200 mg/kg). Although the platelet also significantly decreased from their precount values, the precount value of platelet for the 200 mg/kg was quite reduced in relation to the other groups.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p>
    <w:p>
      <w:pPr>
        <w:pStyle w:val="Heading2"/>
        <w:ind w:left="1887" w:right="842" w:hanging="1140"/>
      </w:pPr>
      <w:r>
        <w:rPr/>
        <w:t>Table 4.2: The Effect of Oral </w:t>
      </w:r>
      <w:r>
        <w:rPr>
          <w:i/>
        </w:rPr>
        <w:t>C. micranthum </w:t>
      </w:r>
      <w:r>
        <w:rPr/>
        <w:t>Pretreatment on Haematological Parameters</w:t>
      </w:r>
      <w:r>
        <w:rPr>
          <w:spacing w:val="40"/>
        </w:rPr>
        <w:t> </w:t>
      </w:r>
      <w:r>
        <w:rPr/>
        <w:t>in</w:t>
      </w:r>
      <w:r>
        <w:rPr>
          <w:spacing w:val="40"/>
        </w:rPr>
        <w:t> </w:t>
      </w:r>
      <w:r>
        <w:rPr/>
        <w:t>Rats</w:t>
      </w:r>
      <w:r>
        <w:rPr>
          <w:spacing w:val="40"/>
        </w:rPr>
        <w:t> </w:t>
      </w:r>
      <w:r>
        <w:rPr/>
        <w:t>before</w:t>
      </w:r>
      <w:r>
        <w:rPr>
          <w:spacing w:val="40"/>
        </w:rPr>
        <w:t> </w:t>
      </w:r>
      <w:r>
        <w:rPr/>
        <w:t>(Upper</w:t>
      </w:r>
      <w:r>
        <w:rPr>
          <w:spacing w:val="40"/>
        </w:rPr>
        <w:t> </w:t>
      </w:r>
      <w:r>
        <w:rPr/>
        <w:t>vaues)</w:t>
      </w:r>
      <w:r>
        <w:rPr>
          <w:spacing w:val="40"/>
        </w:rPr>
        <w:t> </w:t>
      </w:r>
      <w:r>
        <w:rPr/>
        <w:t>and</w:t>
      </w:r>
      <w:r>
        <w:rPr>
          <w:spacing w:val="40"/>
        </w:rPr>
        <w:t> </w:t>
      </w:r>
      <w:r>
        <w:rPr/>
        <w:t>after</w:t>
      </w:r>
      <w:r>
        <w:rPr>
          <w:spacing w:val="40"/>
        </w:rPr>
        <w:t> </w:t>
      </w:r>
      <w:r>
        <w:rPr/>
        <w:t>(Lower</w:t>
      </w:r>
      <w:r>
        <w:rPr>
          <w:spacing w:val="40"/>
        </w:rPr>
        <w:t> </w:t>
      </w:r>
      <w:r>
        <w:rPr/>
        <w:t>values) Cyclophosphamide Treatment</w:t>
      </w:r>
    </w:p>
    <w:p>
      <w:pPr>
        <w:spacing w:after="0"/>
        <w:sectPr>
          <w:pgSz w:w="11910" w:h="16840"/>
          <w:pgMar w:header="0" w:footer="981" w:top="1320" w:bottom="1180" w:left="1240" w:right="560"/>
        </w:sectPr>
      </w:pPr>
    </w:p>
    <w:p>
      <w:pPr>
        <w:pStyle w:val="BodyText"/>
        <w:spacing w:line="20" w:lineRule="exact"/>
        <w:ind w:left="116"/>
        <w:rPr>
          <w:sz w:val="2"/>
        </w:rPr>
      </w:pPr>
      <w:r>
        <w:rPr>
          <w:sz w:val="2"/>
        </w:rPr>
        <mc:AlternateContent>
          <mc:Choice Requires="wps">
            <w:drawing>
              <wp:inline distT="0" distB="0" distL="0" distR="0">
                <wp:extent cx="6280150" cy="6350"/>
                <wp:effectExtent l="0" t="0" r="0" b="0"/>
                <wp:docPr id="22" name="Group 22"/>
                <wp:cNvGraphicFramePr>
                  <a:graphicFrameLocks/>
                </wp:cNvGraphicFramePr>
                <a:graphic>
                  <a:graphicData uri="http://schemas.microsoft.com/office/word/2010/wordprocessingGroup">
                    <wpg:wgp>
                      <wpg:cNvPr id="22" name="Group 22"/>
                      <wpg:cNvGrpSpPr/>
                      <wpg:grpSpPr>
                        <a:xfrm>
                          <a:off x="0" y="0"/>
                          <a:ext cx="6280150" cy="6350"/>
                          <a:chExt cx="6280150" cy="6350"/>
                        </a:xfrm>
                      </wpg:grpSpPr>
                      <wps:wsp>
                        <wps:cNvPr id="23" name="Graphic 23"/>
                        <wps:cNvSpPr/>
                        <wps:spPr>
                          <a:xfrm>
                            <a:off x="0" y="0"/>
                            <a:ext cx="6280150" cy="6350"/>
                          </a:xfrm>
                          <a:custGeom>
                            <a:avLst/>
                            <a:gdLst/>
                            <a:ahLst/>
                            <a:cxnLst/>
                            <a:rect l="l" t="t" r="r" b="b"/>
                            <a:pathLst>
                              <a:path w="6280150" h="6350">
                                <a:moveTo>
                                  <a:pt x="1206944" y="0"/>
                                </a:moveTo>
                                <a:lnTo>
                                  <a:pt x="1200912" y="0"/>
                                </a:lnTo>
                                <a:lnTo>
                                  <a:pt x="0" y="0"/>
                                </a:lnTo>
                                <a:lnTo>
                                  <a:pt x="0" y="6096"/>
                                </a:lnTo>
                                <a:lnTo>
                                  <a:pt x="1200861" y="6096"/>
                                </a:lnTo>
                                <a:lnTo>
                                  <a:pt x="1206944" y="6096"/>
                                </a:lnTo>
                                <a:lnTo>
                                  <a:pt x="1206944" y="0"/>
                                </a:lnTo>
                                <a:close/>
                              </a:path>
                              <a:path w="6280150" h="6350">
                                <a:moveTo>
                                  <a:pt x="6280086" y="0"/>
                                </a:moveTo>
                                <a:lnTo>
                                  <a:pt x="1206957" y="0"/>
                                </a:lnTo>
                                <a:lnTo>
                                  <a:pt x="1206957" y="6096"/>
                                </a:lnTo>
                                <a:lnTo>
                                  <a:pt x="6280086" y="6096"/>
                                </a:lnTo>
                                <a:lnTo>
                                  <a:pt x="628008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4.5pt;height:.5pt;mso-position-horizontal-relative:char;mso-position-vertical-relative:line" id="docshapegroup17" coordorigin="0,0" coordsize="9890,10">
                <v:shape style="position:absolute;left:0;top:0;width:9890;height:10" id="docshape18" coordorigin="0,0" coordsize="9890,10" path="m1901,0l1891,0,1891,0,0,0,0,10,1891,10,1891,10,1901,10,1901,0xm9890,0l1901,0,1901,10,9890,10,9890,0xe" filled="true" fillcolor="#000000" stroked="false">
                  <v:path arrowok="t"/>
                  <v:fill type="solid"/>
                </v:shape>
              </v:group>
            </w:pict>
          </mc:Fallback>
        </mc:AlternateContent>
      </w:r>
      <w:r>
        <w:rPr>
          <w:sz w:val="2"/>
        </w:rPr>
      </w:r>
    </w:p>
    <w:p>
      <w:pPr>
        <w:pStyle w:val="BodyText"/>
        <w:spacing w:before="2"/>
        <w:rPr>
          <w:b/>
          <w:sz w:val="20"/>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6"/>
        <w:gridCol w:w="1898"/>
        <w:gridCol w:w="2010"/>
        <w:gridCol w:w="1979"/>
        <w:gridCol w:w="2140"/>
      </w:tblGrid>
      <w:tr>
        <w:trPr>
          <w:trHeight w:val="667" w:hRule="atLeast"/>
        </w:trPr>
        <w:tc>
          <w:tcPr>
            <w:tcW w:w="1876" w:type="dxa"/>
          </w:tcPr>
          <w:p>
            <w:pPr>
              <w:pStyle w:val="TableParagraph"/>
              <w:spacing w:line="266" w:lineRule="exact"/>
              <w:ind w:left="122"/>
              <w:rPr>
                <w:b/>
                <w:sz w:val="24"/>
              </w:rPr>
            </w:pPr>
            <w:r>
              <w:rPr>
                <w:b/>
                <w:spacing w:val="-2"/>
                <w:sz w:val="24"/>
              </w:rPr>
              <w:t>Haematological</w:t>
            </w:r>
          </w:p>
          <w:p>
            <w:pPr>
              <w:pStyle w:val="TableParagraph"/>
              <w:spacing w:line="242" w:lineRule="exact" w:before="139"/>
              <w:ind w:left="122"/>
              <w:rPr>
                <w:b/>
                <w:sz w:val="24"/>
              </w:rPr>
            </w:pPr>
            <w:r>
              <w:rPr>
                <w:b/>
                <w:spacing w:val="-2"/>
                <w:sz w:val="24"/>
              </w:rPr>
              <w:t>Indices</w:t>
            </w:r>
          </w:p>
        </w:tc>
        <w:tc>
          <w:tcPr>
            <w:tcW w:w="8027" w:type="dxa"/>
            <w:gridSpan w:val="4"/>
          </w:tcPr>
          <w:p>
            <w:pPr>
              <w:pStyle w:val="TableParagraph"/>
              <w:spacing w:line="266" w:lineRule="exact"/>
              <w:ind w:left="29"/>
              <w:jc w:val="center"/>
              <w:rPr>
                <w:b/>
                <w:sz w:val="24"/>
              </w:rPr>
            </w:pPr>
            <w:r>
              <w:rPr/>
              <mc:AlternateContent>
                <mc:Choice Requires="wps">
                  <w:drawing>
                    <wp:anchor distT="0" distB="0" distL="0" distR="0" allowOverlap="1" layoutInCell="1" locked="0" behindDoc="1" simplePos="0" relativeHeight="485818368">
                      <wp:simplePos x="0" y="0"/>
                      <wp:positionH relativeFrom="column">
                        <wp:posOffset>18718</wp:posOffset>
                      </wp:positionH>
                      <wp:positionV relativeFrom="paragraph">
                        <wp:posOffset>257725</wp:posOffset>
                      </wp:positionV>
                      <wp:extent cx="5079365" cy="635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079365" cy="6350"/>
                                <a:chExt cx="5079365" cy="6350"/>
                              </a:xfrm>
                            </wpg:grpSpPr>
                            <wps:wsp>
                              <wps:cNvPr id="25" name="Graphic 25"/>
                              <wps:cNvSpPr/>
                              <wps:spPr>
                                <a:xfrm>
                                  <a:off x="0" y="0"/>
                                  <a:ext cx="5079365" cy="6350"/>
                                </a:xfrm>
                                <a:custGeom>
                                  <a:avLst/>
                                  <a:gdLst/>
                                  <a:ahLst/>
                                  <a:cxnLst/>
                                  <a:rect l="l" t="t" r="r" b="b"/>
                                  <a:pathLst>
                                    <a:path w="5079365" h="6350">
                                      <a:moveTo>
                                        <a:pt x="1315466" y="0"/>
                                      </a:moveTo>
                                      <a:lnTo>
                                        <a:pt x="0" y="0"/>
                                      </a:lnTo>
                                      <a:lnTo>
                                        <a:pt x="0" y="6096"/>
                                      </a:lnTo>
                                      <a:lnTo>
                                        <a:pt x="1315466" y="6096"/>
                                      </a:lnTo>
                                      <a:lnTo>
                                        <a:pt x="1315466" y="0"/>
                                      </a:lnTo>
                                      <a:close/>
                                    </a:path>
                                    <a:path w="5079365" h="6350">
                                      <a:moveTo>
                                        <a:pt x="3772839" y="0"/>
                                      </a:moveTo>
                                      <a:lnTo>
                                        <a:pt x="3772839" y="0"/>
                                      </a:lnTo>
                                      <a:lnTo>
                                        <a:pt x="1315593" y="0"/>
                                      </a:lnTo>
                                      <a:lnTo>
                                        <a:pt x="1315593" y="6096"/>
                                      </a:lnTo>
                                      <a:lnTo>
                                        <a:pt x="3772839" y="6096"/>
                                      </a:lnTo>
                                      <a:lnTo>
                                        <a:pt x="3772839" y="0"/>
                                      </a:lnTo>
                                      <a:close/>
                                    </a:path>
                                    <a:path w="5079365" h="6350">
                                      <a:moveTo>
                                        <a:pt x="5079225" y="0"/>
                                      </a:moveTo>
                                      <a:lnTo>
                                        <a:pt x="3779012" y="0"/>
                                      </a:lnTo>
                                      <a:lnTo>
                                        <a:pt x="3772916" y="0"/>
                                      </a:lnTo>
                                      <a:lnTo>
                                        <a:pt x="3772916" y="6096"/>
                                      </a:lnTo>
                                      <a:lnTo>
                                        <a:pt x="3779012" y="6096"/>
                                      </a:lnTo>
                                      <a:lnTo>
                                        <a:pt x="5079225" y="6096"/>
                                      </a:lnTo>
                                      <a:lnTo>
                                        <a:pt x="50792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7389pt;margin-top:20.29336pt;width:399.95pt;height:.5pt;mso-position-horizontal-relative:column;mso-position-vertical-relative:paragraph;z-index:-17498112" id="docshapegroup19" coordorigin="29,406" coordsize="7999,10">
                      <v:shape style="position:absolute;left:29;top:405;width:7999;height:10" id="docshape20" coordorigin="29,406" coordsize="7999,10" path="m2101,406l29,406,29,415,2101,415,2101,406xm5971,406l4000,406,3991,406,3990,406,2111,406,2101,406,2101,415,2111,415,3990,415,3991,415,4000,415,5971,415,5971,406xm8028,406l5981,406,5971,406,5971,415,5981,415,8028,415,8028,406xe" filled="true" fillcolor="#000000" stroked="false">
                        <v:path arrowok="t"/>
                        <v:fill type="solid"/>
                      </v:shape>
                      <w10:wrap type="none"/>
                    </v:group>
                  </w:pict>
                </mc:Fallback>
              </mc:AlternateContent>
            </w:r>
            <w:r>
              <w:rPr>
                <w:b/>
                <w:sz w:val="24"/>
              </w:rPr>
              <w:t>Mean</w:t>
            </w:r>
            <w:r>
              <w:rPr>
                <w:b/>
                <w:spacing w:val="-4"/>
                <w:sz w:val="24"/>
              </w:rPr>
              <w:t> </w:t>
            </w:r>
            <w:r>
              <w:rPr>
                <w:b/>
                <w:sz w:val="24"/>
              </w:rPr>
              <w:t>±</w:t>
            </w:r>
            <w:r>
              <w:rPr>
                <w:b/>
                <w:spacing w:val="-2"/>
                <w:sz w:val="24"/>
              </w:rPr>
              <w:t> </w:t>
            </w:r>
            <w:r>
              <w:rPr>
                <w:b/>
                <w:sz w:val="24"/>
              </w:rPr>
              <w:t>SEM</w:t>
            </w:r>
            <w:r>
              <w:rPr>
                <w:b/>
                <w:spacing w:val="-2"/>
                <w:sz w:val="24"/>
              </w:rPr>
              <w:t> </w:t>
            </w:r>
            <w:r>
              <w:rPr>
                <w:b/>
                <w:sz w:val="24"/>
              </w:rPr>
              <w:t>of the</w:t>
            </w:r>
            <w:r>
              <w:rPr>
                <w:b/>
                <w:spacing w:val="-2"/>
                <w:sz w:val="24"/>
              </w:rPr>
              <w:t> </w:t>
            </w:r>
            <w:r>
              <w:rPr>
                <w:b/>
                <w:sz w:val="24"/>
              </w:rPr>
              <w:t>Haematological</w:t>
            </w:r>
            <w:r>
              <w:rPr>
                <w:b/>
                <w:spacing w:val="-1"/>
                <w:sz w:val="24"/>
              </w:rPr>
              <w:t> </w:t>
            </w:r>
            <w:r>
              <w:rPr>
                <w:b/>
                <w:spacing w:val="-2"/>
                <w:sz w:val="24"/>
              </w:rPr>
              <w:t>Indices</w:t>
            </w:r>
          </w:p>
        </w:tc>
      </w:tr>
      <w:tr>
        <w:trPr>
          <w:trHeight w:val="584" w:hRule="atLeast"/>
        </w:trPr>
        <w:tc>
          <w:tcPr>
            <w:tcW w:w="1876" w:type="dxa"/>
          </w:tcPr>
          <w:p>
            <w:pPr>
              <w:pStyle w:val="TableParagraph"/>
              <w:rPr>
                <w:sz w:val="22"/>
              </w:rPr>
            </w:pPr>
          </w:p>
        </w:tc>
        <w:tc>
          <w:tcPr>
            <w:tcW w:w="1898" w:type="dxa"/>
          </w:tcPr>
          <w:p>
            <w:pPr>
              <w:pStyle w:val="TableParagraph"/>
              <w:spacing w:line="261" w:lineRule="exact"/>
              <w:ind w:left="138"/>
              <w:rPr>
                <w:b/>
                <w:sz w:val="24"/>
              </w:rPr>
            </w:pPr>
            <w:r>
              <w:rPr>
                <w:b/>
                <w:sz w:val="24"/>
              </w:rPr>
              <w:t>Distilled</w:t>
            </w:r>
            <w:r>
              <w:rPr>
                <w:b/>
                <w:spacing w:val="-1"/>
                <w:sz w:val="24"/>
              </w:rPr>
              <w:t> </w:t>
            </w:r>
            <w:r>
              <w:rPr>
                <w:b/>
                <w:spacing w:val="-5"/>
                <w:sz w:val="24"/>
              </w:rPr>
              <w:t>H</w:t>
            </w:r>
            <w:r>
              <w:rPr>
                <w:b/>
                <w:spacing w:val="-5"/>
                <w:sz w:val="24"/>
                <w:vertAlign w:val="subscript"/>
              </w:rPr>
              <w:t>2</w:t>
            </w:r>
            <w:r>
              <w:rPr>
                <w:b/>
                <w:spacing w:val="-5"/>
                <w:sz w:val="24"/>
                <w:vertAlign w:val="baseline"/>
              </w:rPr>
              <w:t>O</w:t>
            </w:r>
          </w:p>
          <w:p>
            <w:pPr>
              <w:pStyle w:val="TableParagraph"/>
              <w:tabs>
                <w:tab w:pos="8028" w:val="left" w:leader="none"/>
              </w:tabs>
              <w:ind w:left="-1862" w:right="-6135"/>
              <w:rPr>
                <w:b/>
                <w:sz w:val="24"/>
              </w:rPr>
            </w:pPr>
            <w:r>
              <w:rPr>
                <w:b/>
                <w:spacing w:val="76"/>
                <w:w w:val="150"/>
                <w:sz w:val="24"/>
                <w:u w:val="single"/>
              </w:rPr>
              <w:t>            </w:t>
            </w:r>
            <w:r>
              <w:rPr>
                <w:b/>
                <w:sz w:val="24"/>
                <w:u w:val="single"/>
              </w:rPr>
              <w:t>(1ml/</w:t>
            </w:r>
            <w:r>
              <w:rPr>
                <w:b/>
                <w:spacing w:val="4"/>
                <w:sz w:val="24"/>
                <w:u w:val="single"/>
              </w:rPr>
              <w:t> </w:t>
            </w:r>
            <w:r>
              <w:rPr>
                <w:b/>
                <w:spacing w:val="-5"/>
                <w:sz w:val="24"/>
                <w:u w:val="single"/>
              </w:rPr>
              <w:t>kg)</w:t>
            </w:r>
            <w:r>
              <w:rPr>
                <w:b/>
                <w:sz w:val="24"/>
                <w:u w:val="single"/>
              </w:rPr>
              <w:tab/>
            </w:r>
          </w:p>
        </w:tc>
        <w:tc>
          <w:tcPr>
            <w:tcW w:w="2010" w:type="dxa"/>
          </w:tcPr>
          <w:p>
            <w:pPr>
              <w:pStyle w:val="TableParagraph"/>
              <w:spacing w:line="261" w:lineRule="exact"/>
              <w:ind w:left="308"/>
              <w:rPr>
                <w:b/>
                <w:sz w:val="24"/>
              </w:rPr>
            </w:pPr>
            <w:r>
              <w:rPr>
                <w:b/>
                <w:sz w:val="24"/>
              </w:rPr>
              <w:t>Ext.</w:t>
            </w:r>
            <w:r>
              <w:rPr>
                <w:b/>
                <w:spacing w:val="-2"/>
                <w:sz w:val="24"/>
              </w:rPr>
              <w:t> </w:t>
            </w:r>
            <w:r>
              <w:rPr>
                <w:b/>
                <w:sz w:val="24"/>
              </w:rPr>
              <w:t>50</w:t>
            </w:r>
            <w:r>
              <w:rPr>
                <w:b/>
                <w:spacing w:val="-2"/>
                <w:sz w:val="24"/>
              </w:rPr>
              <w:t> </w:t>
            </w:r>
            <w:r>
              <w:rPr>
                <w:b/>
                <w:sz w:val="24"/>
              </w:rPr>
              <w:t>mg/</w:t>
            </w:r>
            <w:r>
              <w:rPr>
                <w:b/>
                <w:spacing w:val="-1"/>
                <w:sz w:val="24"/>
              </w:rPr>
              <w:t> </w:t>
            </w:r>
            <w:r>
              <w:rPr>
                <w:b/>
                <w:spacing w:val="-5"/>
                <w:sz w:val="24"/>
              </w:rPr>
              <w:t>kg</w:t>
            </w:r>
          </w:p>
        </w:tc>
        <w:tc>
          <w:tcPr>
            <w:tcW w:w="1979" w:type="dxa"/>
          </w:tcPr>
          <w:p>
            <w:pPr>
              <w:pStyle w:val="TableParagraph"/>
              <w:spacing w:line="261" w:lineRule="exact"/>
              <w:ind w:left="190"/>
              <w:rPr>
                <w:b/>
                <w:sz w:val="24"/>
              </w:rPr>
            </w:pPr>
            <w:r>
              <w:rPr>
                <w:b/>
                <w:sz w:val="24"/>
              </w:rPr>
              <w:t>Ext.</w:t>
            </w:r>
            <w:r>
              <w:rPr>
                <w:b/>
                <w:spacing w:val="-2"/>
                <w:sz w:val="24"/>
              </w:rPr>
              <w:t> </w:t>
            </w:r>
            <w:r>
              <w:rPr>
                <w:b/>
                <w:sz w:val="24"/>
              </w:rPr>
              <w:t>100</w:t>
            </w:r>
            <w:r>
              <w:rPr>
                <w:b/>
                <w:spacing w:val="-2"/>
                <w:sz w:val="24"/>
              </w:rPr>
              <w:t> </w:t>
            </w:r>
            <w:r>
              <w:rPr>
                <w:b/>
                <w:sz w:val="24"/>
              </w:rPr>
              <w:t>mg</w:t>
            </w:r>
            <w:r>
              <w:rPr>
                <w:b/>
                <w:spacing w:val="-1"/>
                <w:sz w:val="24"/>
              </w:rPr>
              <w:t> </w:t>
            </w:r>
            <w:r>
              <w:rPr>
                <w:b/>
                <w:spacing w:val="-5"/>
                <w:sz w:val="24"/>
              </w:rPr>
              <w:t>/kg</w:t>
            </w:r>
          </w:p>
        </w:tc>
        <w:tc>
          <w:tcPr>
            <w:tcW w:w="2140" w:type="dxa"/>
          </w:tcPr>
          <w:p>
            <w:pPr>
              <w:pStyle w:val="TableParagraph"/>
              <w:spacing w:line="261" w:lineRule="exact"/>
              <w:ind w:left="192"/>
              <w:rPr>
                <w:b/>
                <w:sz w:val="24"/>
              </w:rPr>
            </w:pPr>
            <w:r>
              <w:rPr>
                <w:b/>
                <w:sz w:val="24"/>
              </w:rPr>
              <w:t>Ext.</w:t>
            </w:r>
            <w:r>
              <w:rPr>
                <w:b/>
                <w:spacing w:val="-4"/>
                <w:sz w:val="24"/>
              </w:rPr>
              <w:t> </w:t>
            </w:r>
            <w:r>
              <w:rPr>
                <w:b/>
                <w:sz w:val="24"/>
              </w:rPr>
              <w:t>200</w:t>
            </w:r>
            <w:r>
              <w:rPr>
                <w:b/>
                <w:spacing w:val="-1"/>
                <w:sz w:val="24"/>
              </w:rPr>
              <w:t> </w:t>
            </w:r>
            <w:r>
              <w:rPr>
                <w:b/>
                <w:sz w:val="24"/>
              </w:rPr>
              <w:t>mg</w:t>
            </w:r>
            <w:r>
              <w:rPr>
                <w:b/>
                <w:spacing w:val="-1"/>
                <w:sz w:val="24"/>
              </w:rPr>
              <w:t> </w:t>
            </w:r>
            <w:r>
              <w:rPr>
                <w:b/>
                <w:sz w:val="24"/>
              </w:rPr>
              <w:t>/</w:t>
            </w:r>
            <w:r>
              <w:rPr>
                <w:b/>
                <w:spacing w:val="-1"/>
                <w:sz w:val="24"/>
              </w:rPr>
              <w:t> </w:t>
            </w:r>
            <w:r>
              <w:rPr>
                <w:b/>
                <w:spacing w:val="-5"/>
                <w:sz w:val="24"/>
              </w:rPr>
              <w:t>kg</w:t>
            </w:r>
          </w:p>
        </w:tc>
      </w:tr>
      <w:tr>
        <w:trPr>
          <w:trHeight w:val="418" w:hRule="atLeast"/>
        </w:trPr>
        <w:tc>
          <w:tcPr>
            <w:tcW w:w="1876" w:type="dxa"/>
          </w:tcPr>
          <w:p>
            <w:pPr>
              <w:pStyle w:val="TableParagraph"/>
              <w:spacing w:before="77"/>
              <w:ind w:left="122"/>
              <w:rPr>
                <w:sz w:val="24"/>
              </w:rPr>
            </w:pPr>
            <w:r>
              <w:rPr>
                <w:sz w:val="24"/>
              </w:rPr>
              <w:t>WBC</w:t>
            </w:r>
            <w:r>
              <w:rPr>
                <w:spacing w:val="-1"/>
                <w:sz w:val="24"/>
              </w:rPr>
              <w:t> </w:t>
            </w:r>
            <w:r>
              <w:rPr>
                <w:sz w:val="24"/>
              </w:rPr>
              <w:t>(x10</w:t>
            </w:r>
            <w:r>
              <w:rPr>
                <w:sz w:val="24"/>
                <w:vertAlign w:val="superscript"/>
              </w:rPr>
              <w:t>3</w:t>
            </w:r>
            <w:r>
              <w:rPr>
                <w:sz w:val="24"/>
                <w:vertAlign w:val="baseline"/>
              </w:rPr>
              <w:t> </w:t>
            </w:r>
            <w:r>
              <w:rPr>
                <w:spacing w:val="-4"/>
                <w:sz w:val="24"/>
                <w:vertAlign w:val="baseline"/>
              </w:rPr>
              <w:t>/µL)</w:t>
            </w:r>
          </w:p>
        </w:tc>
        <w:tc>
          <w:tcPr>
            <w:tcW w:w="1898" w:type="dxa"/>
          </w:tcPr>
          <w:p>
            <w:pPr>
              <w:pStyle w:val="TableParagraph"/>
              <w:spacing w:before="77"/>
              <w:ind w:left="138"/>
              <w:rPr>
                <w:sz w:val="24"/>
              </w:rPr>
            </w:pPr>
            <w:r>
              <w:rPr>
                <w:sz w:val="24"/>
              </w:rPr>
              <w:t>9.74 ± </w:t>
            </w:r>
            <w:r>
              <w:rPr>
                <w:spacing w:val="-4"/>
                <w:sz w:val="24"/>
              </w:rPr>
              <w:t>1.34</w:t>
            </w:r>
          </w:p>
        </w:tc>
        <w:tc>
          <w:tcPr>
            <w:tcW w:w="2010" w:type="dxa"/>
          </w:tcPr>
          <w:p>
            <w:pPr>
              <w:pStyle w:val="TableParagraph"/>
              <w:spacing w:before="77"/>
              <w:ind w:left="308"/>
              <w:rPr>
                <w:sz w:val="24"/>
              </w:rPr>
            </w:pPr>
            <w:r>
              <w:rPr>
                <w:sz w:val="24"/>
              </w:rPr>
              <w:t>11.82</w:t>
            </w:r>
            <w:r>
              <w:rPr>
                <w:spacing w:val="60"/>
                <w:sz w:val="24"/>
              </w:rPr>
              <w:t> </w:t>
            </w:r>
            <w:r>
              <w:rPr>
                <w:sz w:val="24"/>
              </w:rPr>
              <w:t>±</w:t>
            </w:r>
            <w:r>
              <w:rPr>
                <w:spacing w:val="60"/>
                <w:sz w:val="24"/>
              </w:rPr>
              <w:t> </w:t>
            </w:r>
            <w:r>
              <w:rPr>
                <w:spacing w:val="-4"/>
                <w:sz w:val="24"/>
              </w:rPr>
              <w:t>1.32</w:t>
            </w:r>
          </w:p>
        </w:tc>
        <w:tc>
          <w:tcPr>
            <w:tcW w:w="1979" w:type="dxa"/>
          </w:tcPr>
          <w:p>
            <w:pPr>
              <w:pStyle w:val="TableParagraph"/>
              <w:spacing w:before="77"/>
              <w:ind w:left="190"/>
              <w:rPr>
                <w:sz w:val="24"/>
              </w:rPr>
            </w:pPr>
            <w:r>
              <w:rPr>
                <w:sz w:val="24"/>
              </w:rPr>
              <w:t>13.70 ± </w:t>
            </w:r>
            <w:r>
              <w:rPr>
                <w:spacing w:val="-4"/>
                <w:sz w:val="24"/>
              </w:rPr>
              <w:t>2.28</w:t>
            </w:r>
          </w:p>
        </w:tc>
        <w:tc>
          <w:tcPr>
            <w:tcW w:w="2140" w:type="dxa"/>
          </w:tcPr>
          <w:p>
            <w:pPr>
              <w:pStyle w:val="TableParagraph"/>
              <w:spacing w:before="77"/>
              <w:ind w:left="192"/>
              <w:rPr>
                <w:sz w:val="24"/>
              </w:rPr>
            </w:pPr>
            <w:r>
              <w:rPr>
                <w:sz w:val="24"/>
              </w:rPr>
              <w:t>14.20 ± </w:t>
            </w:r>
            <w:r>
              <w:rPr>
                <w:spacing w:val="-4"/>
                <w:sz w:val="24"/>
              </w:rPr>
              <w:t>1.98</w:t>
            </w:r>
          </w:p>
        </w:tc>
      </w:tr>
      <w:tr>
        <w:trPr>
          <w:trHeight w:val="436"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1.92 ± </w:t>
            </w:r>
            <w:r>
              <w:rPr>
                <w:spacing w:val="-2"/>
                <w:sz w:val="24"/>
              </w:rPr>
              <w:t>0.40***</w:t>
            </w:r>
          </w:p>
        </w:tc>
        <w:tc>
          <w:tcPr>
            <w:tcW w:w="2010" w:type="dxa"/>
          </w:tcPr>
          <w:p>
            <w:pPr>
              <w:pStyle w:val="TableParagraph"/>
              <w:spacing w:before="55"/>
              <w:ind w:left="308"/>
              <w:rPr>
                <w:sz w:val="24"/>
              </w:rPr>
            </w:pPr>
            <w:r>
              <w:rPr>
                <w:sz w:val="24"/>
              </w:rPr>
              <w:t>1.78</w:t>
            </w:r>
            <w:r>
              <w:rPr>
                <w:spacing w:val="58"/>
                <w:sz w:val="24"/>
              </w:rPr>
              <w:t> </w:t>
            </w:r>
            <w:r>
              <w:rPr>
                <w:sz w:val="24"/>
              </w:rPr>
              <w:t>± </w:t>
            </w:r>
            <w:r>
              <w:rPr>
                <w:spacing w:val="-2"/>
                <w:sz w:val="24"/>
              </w:rPr>
              <w:t>0.60***</w:t>
            </w:r>
          </w:p>
        </w:tc>
        <w:tc>
          <w:tcPr>
            <w:tcW w:w="1979" w:type="dxa"/>
          </w:tcPr>
          <w:p>
            <w:pPr>
              <w:pStyle w:val="TableParagraph"/>
              <w:spacing w:before="55"/>
              <w:ind w:left="190"/>
              <w:rPr>
                <w:sz w:val="24"/>
              </w:rPr>
            </w:pPr>
            <w:r>
              <w:rPr>
                <w:sz w:val="24"/>
              </w:rPr>
              <w:t>2.88 ± </w:t>
            </w:r>
            <w:r>
              <w:rPr>
                <w:spacing w:val="-2"/>
                <w:sz w:val="24"/>
              </w:rPr>
              <w:t>1.25**</w:t>
            </w:r>
          </w:p>
        </w:tc>
        <w:tc>
          <w:tcPr>
            <w:tcW w:w="2140" w:type="dxa"/>
          </w:tcPr>
          <w:p>
            <w:pPr>
              <w:pStyle w:val="TableParagraph"/>
              <w:spacing w:before="55"/>
              <w:ind w:left="192"/>
              <w:rPr>
                <w:sz w:val="24"/>
              </w:rPr>
            </w:pPr>
            <w:r>
              <w:rPr>
                <w:sz w:val="24"/>
              </w:rPr>
              <w:t>3.20</w:t>
            </w:r>
            <w:r>
              <w:rPr>
                <w:spacing w:val="58"/>
                <w:sz w:val="24"/>
              </w:rPr>
              <w:t> </w:t>
            </w:r>
            <w:r>
              <w:rPr>
                <w:sz w:val="24"/>
              </w:rPr>
              <w:t>± </w:t>
            </w:r>
            <w:r>
              <w:rPr>
                <w:spacing w:val="-2"/>
                <w:sz w:val="24"/>
              </w:rPr>
              <w:t>0.42***</w:t>
            </w:r>
          </w:p>
        </w:tc>
      </w:tr>
      <w:tr>
        <w:trPr>
          <w:trHeight w:val="475" w:hRule="atLeast"/>
        </w:trPr>
        <w:tc>
          <w:tcPr>
            <w:tcW w:w="1876" w:type="dxa"/>
          </w:tcPr>
          <w:p>
            <w:pPr>
              <w:pStyle w:val="TableParagraph"/>
              <w:spacing w:before="135"/>
              <w:ind w:left="122"/>
              <w:rPr>
                <w:sz w:val="24"/>
              </w:rPr>
            </w:pPr>
            <w:r>
              <w:rPr>
                <w:sz w:val="24"/>
              </w:rPr>
              <w:t>RBC</w:t>
            </w:r>
            <w:r>
              <w:rPr>
                <w:spacing w:val="-2"/>
                <w:sz w:val="24"/>
              </w:rPr>
              <w:t> </w:t>
            </w:r>
            <w:r>
              <w:rPr>
                <w:sz w:val="24"/>
              </w:rPr>
              <w:t>(x</w:t>
            </w:r>
            <w:r>
              <w:rPr>
                <w:spacing w:val="1"/>
                <w:sz w:val="24"/>
              </w:rPr>
              <w:t> </w:t>
            </w:r>
            <w:r>
              <w:rPr>
                <w:spacing w:val="-2"/>
                <w:sz w:val="24"/>
              </w:rPr>
              <w:t>10</w:t>
            </w:r>
            <w:r>
              <w:rPr>
                <w:spacing w:val="-2"/>
                <w:sz w:val="24"/>
                <w:vertAlign w:val="superscript"/>
              </w:rPr>
              <w:t>6</w:t>
            </w:r>
            <w:r>
              <w:rPr>
                <w:spacing w:val="-2"/>
                <w:sz w:val="24"/>
                <w:vertAlign w:val="baseline"/>
              </w:rPr>
              <w:t>/µL)</w:t>
            </w:r>
          </w:p>
        </w:tc>
        <w:tc>
          <w:tcPr>
            <w:tcW w:w="1898" w:type="dxa"/>
          </w:tcPr>
          <w:p>
            <w:pPr>
              <w:pStyle w:val="TableParagraph"/>
              <w:spacing w:before="135"/>
              <w:ind w:left="138"/>
              <w:rPr>
                <w:sz w:val="24"/>
              </w:rPr>
            </w:pPr>
            <w:r>
              <w:rPr>
                <w:sz w:val="24"/>
              </w:rPr>
              <w:t>7.65 ± </w:t>
            </w:r>
            <w:r>
              <w:rPr>
                <w:spacing w:val="-4"/>
                <w:sz w:val="24"/>
              </w:rPr>
              <w:t>0.18</w:t>
            </w:r>
          </w:p>
        </w:tc>
        <w:tc>
          <w:tcPr>
            <w:tcW w:w="2010" w:type="dxa"/>
          </w:tcPr>
          <w:p>
            <w:pPr>
              <w:pStyle w:val="TableParagraph"/>
              <w:spacing w:before="135"/>
              <w:ind w:left="308"/>
              <w:rPr>
                <w:sz w:val="24"/>
              </w:rPr>
            </w:pPr>
            <w:r>
              <w:rPr>
                <w:sz w:val="24"/>
              </w:rPr>
              <w:t>7.28</w:t>
            </w:r>
            <w:r>
              <w:rPr>
                <w:spacing w:val="58"/>
                <w:sz w:val="24"/>
              </w:rPr>
              <w:t> </w:t>
            </w:r>
            <w:r>
              <w:rPr>
                <w:sz w:val="24"/>
              </w:rPr>
              <w:t>± </w:t>
            </w:r>
            <w:r>
              <w:rPr>
                <w:spacing w:val="-4"/>
                <w:sz w:val="24"/>
              </w:rPr>
              <w:t>0.23</w:t>
            </w:r>
          </w:p>
        </w:tc>
        <w:tc>
          <w:tcPr>
            <w:tcW w:w="1979" w:type="dxa"/>
          </w:tcPr>
          <w:p>
            <w:pPr>
              <w:pStyle w:val="TableParagraph"/>
              <w:spacing w:before="135"/>
              <w:ind w:left="190"/>
              <w:rPr>
                <w:sz w:val="24"/>
              </w:rPr>
            </w:pPr>
            <w:r>
              <w:rPr>
                <w:sz w:val="24"/>
              </w:rPr>
              <w:t>7.86 ± </w:t>
            </w:r>
            <w:r>
              <w:rPr>
                <w:spacing w:val="-4"/>
                <w:sz w:val="24"/>
              </w:rPr>
              <w:t>0.12</w:t>
            </w:r>
          </w:p>
        </w:tc>
        <w:tc>
          <w:tcPr>
            <w:tcW w:w="2140" w:type="dxa"/>
          </w:tcPr>
          <w:p>
            <w:pPr>
              <w:pStyle w:val="TableParagraph"/>
              <w:spacing w:before="135"/>
              <w:ind w:left="192"/>
              <w:rPr>
                <w:sz w:val="24"/>
              </w:rPr>
            </w:pPr>
            <w:r>
              <w:rPr>
                <w:sz w:val="24"/>
              </w:rPr>
              <w:t>7.69</w:t>
            </w:r>
            <w:r>
              <w:rPr>
                <w:spacing w:val="58"/>
                <w:sz w:val="24"/>
              </w:rPr>
              <w:t> </w:t>
            </w:r>
            <w:r>
              <w:rPr>
                <w:sz w:val="24"/>
              </w:rPr>
              <w:t>± </w:t>
            </w:r>
            <w:r>
              <w:rPr>
                <w:spacing w:val="-4"/>
                <w:sz w:val="24"/>
              </w:rPr>
              <w:t>0.21</w:t>
            </w:r>
          </w:p>
        </w:tc>
      </w:tr>
      <w:tr>
        <w:trPr>
          <w:trHeight w:val="456"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6.19 ± </w:t>
            </w:r>
            <w:r>
              <w:rPr>
                <w:spacing w:val="-2"/>
                <w:sz w:val="24"/>
              </w:rPr>
              <w:t>0.14***</w:t>
            </w:r>
          </w:p>
        </w:tc>
        <w:tc>
          <w:tcPr>
            <w:tcW w:w="2010" w:type="dxa"/>
          </w:tcPr>
          <w:p>
            <w:pPr>
              <w:pStyle w:val="TableParagraph"/>
              <w:spacing w:before="55"/>
              <w:ind w:left="308"/>
              <w:rPr>
                <w:sz w:val="24"/>
              </w:rPr>
            </w:pPr>
            <w:r>
              <w:rPr>
                <w:sz w:val="24"/>
              </w:rPr>
              <w:t>5.91 ± </w:t>
            </w:r>
            <w:r>
              <w:rPr>
                <w:spacing w:val="-2"/>
                <w:sz w:val="24"/>
              </w:rPr>
              <w:t>0.39*</w:t>
            </w:r>
          </w:p>
        </w:tc>
        <w:tc>
          <w:tcPr>
            <w:tcW w:w="1979" w:type="dxa"/>
          </w:tcPr>
          <w:p>
            <w:pPr>
              <w:pStyle w:val="TableParagraph"/>
              <w:spacing w:before="55"/>
              <w:ind w:left="190"/>
              <w:rPr>
                <w:sz w:val="24"/>
              </w:rPr>
            </w:pPr>
            <w:r>
              <w:rPr>
                <w:sz w:val="24"/>
              </w:rPr>
              <w:t>6.21 ± </w:t>
            </w:r>
            <w:r>
              <w:rPr>
                <w:spacing w:val="-2"/>
                <w:sz w:val="24"/>
              </w:rPr>
              <w:t>0.29**</w:t>
            </w:r>
          </w:p>
        </w:tc>
        <w:tc>
          <w:tcPr>
            <w:tcW w:w="2140" w:type="dxa"/>
          </w:tcPr>
          <w:p>
            <w:pPr>
              <w:pStyle w:val="TableParagraph"/>
              <w:spacing w:before="55"/>
              <w:ind w:left="192"/>
              <w:rPr>
                <w:sz w:val="24"/>
              </w:rPr>
            </w:pPr>
            <w:r>
              <w:rPr>
                <w:sz w:val="24"/>
              </w:rPr>
              <w:t>6.54</w:t>
            </w:r>
            <w:r>
              <w:rPr>
                <w:spacing w:val="60"/>
                <w:sz w:val="24"/>
              </w:rPr>
              <w:t> </w:t>
            </w:r>
            <w:r>
              <w:rPr>
                <w:sz w:val="24"/>
              </w:rPr>
              <w:t>± </w:t>
            </w:r>
            <w:r>
              <w:rPr>
                <w:spacing w:val="-2"/>
                <w:sz w:val="24"/>
              </w:rPr>
              <w:t>0.18**</w:t>
            </w:r>
          </w:p>
        </w:tc>
      </w:tr>
      <w:tr>
        <w:trPr>
          <w:trHeight w:val="456" w:hRule="atLeast"/>
        </w:trPr>
        <w:tc>
          <w:tcPr>
            <w:tcW w:w="1876" w:type="dxa"/>
          </w:tcPr>
          <w:p>
            <w:pPr>
              <w:pStyle w:val="TableParagraph"/>
              <w:spacing w:before="115"/>
              <w:ind w:left="122"/>
              <w:rPr>
                <w:sz w:val="24"/>
              </w:rPr>
            </w:pPr>
            <w:r>
              <w:rPr>
                <w:sz w:val="24"/>
              </w:rPr>
              <w:t>HCT </w:t>
            </w:r>
            <w:r>
              <w:rPr>
                <w:spacing w:val="-5"/>
                <w:sz w:val="24"/>
              </w:rPr>
              <w:t>(%)</w:t>
            </w:r>
          </w:p>
        </w:tc>
        <w:tc>
          <w:tcPr>
            <w:tcW w:w="1898" w:type="dxa"/>
          </w:tcPr>
          <w:p>
            <w:pPr>
              <w:pStyle w:val="TableParagraph"/>
              <w:spacing w:before="115"/>
              <w:ind w:left="138"/>
              <w:rPr>
                <w:sz w:val="24"/>
              </w:rPr>
            </w:pPr>
            <w:r>
              <w:rPr>
                <w:sz w:val="24"/>
              </w:rPr>
              <w:t>46.10 ± </w:t>
            </w:r>
            <w:r>
              <w:rPr>
                <w:spacing w:val="-4"/>
                <w:sz w:val="24"/>
              </w:rPr>
              <w:t>1.01</w:t>
            </w:r>
          </w:p>
        </w:tc>
        <w:tc>
          <w:tcPr>
            <w:tcW w:w="2010" w:type="dxa"/>
          </w:tcPr>
          <w:p>
            <w:pPr>
              <w:pStyle w:val="TableParagraph"/>
              <w:spacing w:before="115"/>
              <w:ind w:left="308"/>
              <w:rPr>
                <w:sz w:val="24"/>
              </w:rPr>
            </w:pPr>
            <w:r>
              <w:rPr>
                <w:sz w:val="24"/>
              </w:rPr>
              <w:t>43.30 ± </w:t>
            </w:r>
            <w:r>
              <w:rPr>
                <w:spacing w:val="-4"/>
                <w:sz w:val="24"/>
              </w:rPr>
              <w:t>1.54</w:t>
            </w:r>
          </w:p>
        </w:tc>
        <w:tc>
          <w:tcPr>
            <w:tcW w:w="1979" w:type="dxa"/>
          </w:tcPr>
          <w:p>
            <w:pPr>
              <w:pStyle w:val="TableParagraph"/>
              <w:spacing w:before="115"/>
              <w:ind w:left="190"/>
              <w:rPr>
                <w:sz w:val="24"/>
              </w:rPr>
            </w:pPr>
            <w:r>
              <w:rPr>
                <w:sz w:val="24"/>
              </w:rPr>
              <w:t>47.66 ± </w:t>
            </w:r>
            <w:r>
              <w:rPr>
                <w:spacing w:val="-4"/>
                <w:sz w:val="24"/>
              </w:rPr>
              <w:t>1.02</w:t>
            </w:r>
          </w:p>
        </w:tc>
        <w:tc>
          <w:tcPr>
            <w:tcW w:w="2140" w:type="dxa"/>
          </w:tcPr>
          <w:p>
            <w:pPr>
              <w:pStyle w:val="TableParagraph"/>
              <w:spacing w:before="115"/>
              <w:ind w:left="192"/>
              <w:rPr>
                <w:sz w:val="24"/>
              </w:rPr>
            </w:pPr>
            <w:r>
              <w:rPr>
                <w:sz w:val="24"/>
              </w:rPr>
              <w:t>45.58</w:t>
            </w:r>
            <w:r>
              <w:rPr>
                <w:spacing w:val="58"/>
                <w:sz w:val="24"/>
              </w:rPr>
              <w:t> </w:t>
            </w:r>
            <w:r>
              <w:rPr>
                <w:sz w:val="24"/>
              </w:rPr>
              <w:t>± </w:t>
            </w:r>
            <w:r>
              <w:rPr>
                <w:spacing w:val="-4"/>
                <w:sz w:val="24"/>
              </w:rPr>
              <w:t>1.21</w:t>
            </w:r>
          </w:p>
        </w:tc>
      </w:tr>
      <w:tr>
        <w:trPr>
          <w:trHeight w:val="456"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36.18 </w:t>
            </w:r>
            <w:r>
              <w:rPr>
                <w:spacing w:val="-2"/>
                <w:sz w:val="24"/>
              </w:rPr>
              <w:t>±1.14**</w:t>
            </w:r>
          </w:p>
        </w:tc>
        <w:tc>
          <w:tcPr>
            <w:tcW w:w="2010" w:type="dxa"/>
          </w:tcPr>
          <w:p>
            <w:pPr>
              <w:pStyle w:val="TableParagraph"/>
              <w:spacing w:before="55"/>
              <w:ind w:left="308"/>
              <w:rPr>
                <w:sz w:val="24"/>
              </w:rPr>
            </w:pPr>
            <w:r>
              <w:rPr>
                <w:sz w:val="24"/>
              </w:rPr>
              <w:t>35.46 ± </w:t>
            </w:r>
            <w:r>
              <w:rPr>
                <w:spacing w:val="-2"/>
                <w:sz w:val="24"/>
              </w:rPr>
              <w:t>2.25**</w:t>
            </w:r>
          </w:p>
        </w:tc>
        <w:tc>
          <w:tcPr>
            <w:tcW w:w="1979" w:type="dxa"/>
          </w:tcPr>
          <w:p>
            <w:pPr>
              <w:pStyle w:val="TableParagraph"/>
              <w:spacing w:before="55"/>
              <w:ind w:left="190"/>
              <w:rPr>
                <w:sz w:val="24"/>
              </w:rPr>
            </w:pPr>
            <w:r>
              <w:rPr>
                <w:sz w:val="24"/>
              </w:rPr>
              <w:t>38.08 ± </w:t>
            </w:r>
            <w:r>
              <w:rPr>
                <w:spacing w:val="-2"/>
                <w:sz w:val="24"/>
              </w:rPr>
              <w:t>2.06**</w:t>
            </w:r>
          </w:p>
        </w:tc>
        <w:tc>
          <w:tcPr>
            <w:tcW w:w="2140" w:type="dxa"/>
          </w:tcPr>
          <w:p>
            <w:pPr>
              <w:pStyle w:val="TableParagraph"/>
              <w:spacing w:before="55"/>
              <w:ind w:left="192"/>
              <w:rPr>
                <w:sz w:val="24"/>
              </w:rPr>
            </w:pPr>
            <w:r>
              <w:rPr>
                <w:sz w:val="24"/>
              </w:rPr>
              <w:t>38.66 ± </w:t>
            </w:r>
            <w:r>
              <w:rPr>
                <w:spacing w:val="-2"/>
                <w:sz w:val="24"/>
              </w:rPr>
              <w:t>0.89*</w:t>
            </w:r>
          </w:p>
        </w:tc>
      </w:tr>
      <w:tr>
        <w:trPr>
          <w:trHeight w:val="455" w:hRule="atLeast"/>
        </w:trPr>
        <w:tc>
          <w:tcPr>
            <w:tcW w:w="1876" w:type="dxa"/>
          </w:tcPr>
          <w:p>
            <w:pPr>
              <w:pStyle w:val="TableParagraph"/>
              <w:spacing w:before="115"/>
              <w:ind w:left="122"/>
              <w:rPr>
                <w:sz w:val="24"/>
              </w:rPr>
            </w:pPr>
            <w:r>
              <w:rPr>
                <w:sz w:val="24"/>
              </w:rPr>
              <w:t>HGB</w:t>
            </w:r>
            <w:r>
              <w:rPr>
                <w:spacing w:val="-2"/>
                <w:sz w:val="24"/>
              </w:rPr>
              <w:t> </w:t>
            </w:r>
            <w:r>
              <w:rPr>
                <w:sz w:val="24"/>
              </w:rPr>
              <w:t>(g</w:t>
            </w:r>
            <w:r>
              <w:rPr>
                <w:spacing w:val="-3"/>
                <w:sz w:val="24"/>
              </w:rPr>
              <w:t> </w:t>
            </w:r>
            <w:r>
              <w:rPr>
                <w:sz w:val="24"/>
              </w:rPr>
              <w:t>/ </w:t>
            </w:r>
            <w:r>
              <w:rPr>
                <w:spacing w:val="-5"/>
                <w:sz w:val="24"/>
              </w:rPr>
              <w:t>dl)</w:t>
            </w:r>
          </w:p>
        </w:tc>
        <w:tc>
          <w:tcPr>
            <w:tcW w:w="1898" w:type="dxa"/>
          </w:tcPr>
          <w:p>
            <w:pPr>
              <w:pStyle w:val="TableParagraph"/>
              <w:spacing w:before="115"/>
              <w:ind w:left="138"/>
              <w:rPr>
                <w:sz w:val="24"/>
              </w:rPr>
            </w:pPr>
            <w:r>
              <w:rPr>
                <w:sz w:val="24"/>
              </w:rPr>
              <w:t>14.24 ± </w:t>
            </w:r>
            <w:r>
              <w:rPr>
                <w:spacing w:val="-4"/>
                <w:sz w:val="24"/>
              </w:rPr>
              <w:t>0.18</w:t>
            </w:r>
          </w:p>
        </w:tc>
        <w:tc>
          <w:tcPr>
            <w:tcW w:w="2010" w:type="dxa"/>
          </w:tcPr>
          <w:p>
            <w:pPr>
              <w:pStyle w:val="TableParagraph"/>
              <w:spacing w:before="115"/>
              <w:ind w:left="308"/>
              <w:rPr>
                <w:sz w:val="24"/>
              </w:rPr>
            </w:pPr>
            <w:r>
              <w:rPr>
                <w:sz w:val="24"/>
              </w:rPr>
              <w:t>13.62 ± </w:t>
            </w:r>
            <w:r>
              <w:rPr>
                <w:spacing w:val="-4"/>
                <w:sz w:val="24"/>
              </w:rPr>
              <w:t>0.35</w:t>
            </w:r>
          </w:p>
        </w:tc>
        <w:tc>
          <w:tcPr>
            <w:tcW w:w="1979" w:type="dxa"/>
          </w:tcPr>
          <w:p>
            <w:pPr>
              <w:pStyle w:val="TableParagraph"/>
              <w:spacing w:before="115"/>
              <w:ind w:left="190"/>
              <w:rPr>
                <w:sz w:val="24"/>
              </w:rPr>
            </w:pPr>
            <w:r>
              <w:rPr>
                <w:sz w:val="24"/>
              </w:rPr>
              <w:t>14.80 ± </w:t>
            </w:r>
            <w:r>
              <w:rPr>
                <w:spacing w:val="-4"/>
                <w:sz w:val="24"/>
              </w:rPr>
              <w:t>0.17</w:t>
            </w:r>
          </w:p>
        </w:tc>
        <w:tc>
          <w:tcPr>
            <w:tcW w:w="2140" w:type="dxa"/>
          </w:tcPr>
          <w:p>
            <w:pPr>
              <w:pStyle w:val="TableParagraph"/>
              <w:spacing w:before="115"/>
              <w:ind w:left="192"/>
              <w:rPr>
                <w:sz w:val="24"/>
              </w:rPr>
            </w:pPr>
            <w:r>
              <w:rPr>
                <w:sz w:val="24"/>
              </w:rPr>
              <w:t>14.26± </w:t>
            </w:r>
            <w:r>
              <w:rPr>
                <w:spacing w:val="-4"/>
                <w:sz w:val="24"/>
              </w:rPr>
              <w:t>0.34</w:t>
            </w:r>
          </w:p>
        </w:tc>
      </w:tr>
      <w:tr>
        <w:trPr>
          <w:trHeight w:val="455"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11.26 ± </w:t>
            </w:r>
            <w:r>
              <w:rPr>
                <w:spacing w:val="-2"/>
                <w:sz w:val="24"/>
              </w:rPr>
              <w:t>0.30**</w:t>
            </w:r>
          </w:p>
        </w:tc>
        <w:tc>
          <w:tcPr>
            <w:tcW w:w="2010" w:type="dxa"/>
          </w:tcPr>
          <w:p>
            <w:pPr>
              <w:pStyle w:val="TableParagraph"/>
              <w:spacing w:before="55"/>
              <w:ind w:left="308"/>
              <w:rPr>
                <w:sz w:val="24"/>
              </w:rPr>
            </w:pPr>
            <w:r>
              <w:rPr>
                <w:sz w:val="24"/>
              </w:rPr>
              <w:t>10.82</w:t>
            </w:r>
            <w:r>
              <w:rPr>
                <w:spacing w:val="60"/>
                <w:sz w:val="24"/>
              </w:rPr>
              <w:t> </w:t>
            </w:r>
            <w:r>
              <w:rPr>
                <w:sz w:val="24"/>
              </w:rPr>
              <w:t>± </w:t>
            </w:r>
            <w:r>
              <w:rPr>
                <w:spacing w:val="-2"/>
                <w:sz w:val="24"/>
              </w:rPr>
              <w:t>0.67**</w:t>
            </w:r>
          </w:p>
        </w:tc>
        <w:tc>
          <w:tcPr>
            <w:tcW w:w="1979" w:type="dxa"/>
          </w:tcPr>
          <w:p>
            <w:pPr>
              <w:pStyle w:val="TableParagraph"/>
              <w:spacing w:before="55"/>
              <w:ind w:left="190"/>
              <w:rPr>
                <w:sz w:val="24"/>
              </w:rPr>
            </w:pPr>
            <w:r>
              <w:rPr>
                <w:sz w:val="24"/>
              </w:rPr>
              <w:t>11.54 ± </w:t>
            </w:r>
            <w:r>
              <w:rPr>
                <w:spacing w:val="-2"/>
                <w:sz w:val="24"/>
              </w:rPr>
              <w:t>0.51**</w:t>
            </w:r>
          </w:p>
        </w:tc>
        <w:tc>
          <w:tcPr>
            <w:tcW w:w="2140" w:type="dxa"/>
          </w:tcPr>
          <w:p>
            <w:pPr>
              <w:pStyle w:val="TableParagraph"/>
              <w:spacing w:before="55"/>
              <w:ind w:left="192"/>
              <w:rPr>
                <w:sz w:val="24"/>
              </w:rPr>
            </w:pPr>
            <w:r>
              <w:rPr>
                <w:sz w:val="24"/>
              </w:rPr>
              <w:t>11.66</w:t>
            </w:r>
            <w:r>
              <w:rPr>
                <w:spacing w:val="60"/>
                <w:sz w:val="24"/>
              </w:rPr>
              <w:t> </w:t>
            </w:r>
            <w:r>
              <w:rPr>
                <w:sz w:val="24"/>
              </w:rPr>
              <w:t>± </w:t>
            </w:r>
            <w:r>
              <w:rPr>
                <w:spacing w:val="-2"/>
                <w:sz w:val="24"/>
              </w:rPr>
              <w:t>0.27**</w:t>
            </w:r>
          </w:p>
        </w:tc>
      </w:tr>
      <w:tr>
        <w:trPr>
          <w:trHeight w:val="456" w:hRule="atLeast"/>
        </w:trPr>
        <w:tc>
          <w:tcPr>
            <w:tcW w:w="1876" w:type="dxa"/>
          </w:tcPr>
          <w:p>
            <w:pPr>
              <w:pStyle w:val="TableParagraph"/>
              <w:spacing w:before="115"/>
              <w:ind w:left="122"/>
              <w:rPr>
                <w:sz w:val="24"/>
              </w:rPr>
            </w:pPr>
            <w:r>
              <w:rPr>
                <w:sz w:val="24"/>
              </w:rPr>
              <w:t>%</w:t>
            </w:r>
            <w:r>
              <w:rPr>
                <w:spacing w:val="-1"/>
                <w:sz w:val="24"/>
              </w:rPr>
              <w:t> </w:t>
            </w:r>
            <w:r>
              <w:rPr>
                <w:spacing w:val="-2"/>
                <w:sz w:val="24"/>
              </w:rPr>
              <w:t>lymphocytes</w:t>
            </w:r>
          </w:p>
        </w:tc>
        <w:tc>
          <w:tcPr>
            <w:tcW w:w="1898" w:type="dxa"/>
          </w:tcPr>
          <w:p>
            <w:pPr>
              <w:pStyle w:val="TableParagraph"/>
              <w:spacing w:before="115"/>
              <w:ind w:left="138"/>
              <w:rPr>
                <w:sz w:val="24"/>
              </w:rPr>
            </w:pPr>
            <w:r>
              <w:rPr>
                <w:sz w:val="24"/>
              </w:rPr>
              <w:t>71.76 ± </w:t>
            </w:r>
            <w:r>
              <w:rPr>
                <w:spacing w:val="-4"/>
                <w:sz w:val="24"/>
              </w:rPr>
              <w:t>3.07</w:t>
            </w:r>
          </w:p>
        </w:tc>
        <w:tc>
          <w:tcPr>
            <w:tcW w:w="2010" w:type="dxa"/>
          </w:tcPr>
          <w:p>
            <w:pPr>
              <w:pStyle w:val="TableParagraph"/>
              <w:spacing w:before="115"/>
              <w:ind w:left="308"/>
              <w:rPr>
                <w:sz w:val="24"/>
              </w:rPr>
            </w:pPr>
            <w:r>
              <w:rPr>
                <w:sz w:val="24"/>
              </w:rPr>
              <w:t>71.46 ± </w:t>
            </w:r>
            <w:r>
              <w:rPr>
                <w:spacing w:val="-4"/>
                <w:sz w:val="24"/>
              </w:rPr>
              <w:t>2.14</w:t>
            </w:r>
          </w:p>
        </w:tc>
        <w:tc>
          <w:tcPr>
            <w:tcW w:w="1979" w:type="dxa"/>
          </w:tcPr>
          <w:p>
            <w:pPr>
              <w:pStyle w:val="TableParagraph"/>
              <w:spacing w:before="115"/>
              <w:ind w:left="190"/>
              <w:rPr>
                <w:sz w:val="24"/>
              </w:rPr>
            </w:pPr>
            <w:r>
              <w:rPr>
                <w:sz w:val="24"/>
              </w:rPr>
              <w:t>72.54 ± </w:t>
            </w:r>
            <w:r>
              <w:rPr>
                <w:spacing w:val="-4"/>
                <w:sz w:val="24"/>
              </w:rPr>
              <w:t>1.99</w:t>
            </w:r>
          </w:p>
        </w:tc>
        <w:tc>
          <w:tcPr>
            <w:tcW w:w="2140" w:type="dxa"/>
          </w:tcPr>
          <w:p>
            <w:pPr>
              <w:pStyle w:val="TableParagraph"/>
              <w:spacing w:before="115"/>
              <w:ind w:left="192"/>
              <w:rPr>
                <w:sz w:val="24"/>
              </w:rPr>
            </w:pPr>
            <w:r>
              <w:rPr>
                <w:sz w:val="24"/>
              </w:rPr>
              <w:t>69.34 ± </w:t>
            </w:r>
            <w:r>
              <w:rPr>
                <w:spacing w:val="-4"/>
                <w:sz w:val="24"/>
              </w:rPr>
              <w:t>4.07</w:t>
            </w:r>
          </w:p>
        </w:tc>
      </w:tr>
      <w:tr>
        <w:trPr>
          <w:trHeight w:val="455"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50.96 ± </w:t>
            </w:r>
            <w:r>
              <w:rPr>
                <w:spacing w:val="-4"/>
                <w:sz w:val="24"/>
              </w:rPr>
              <w:t>3.70</w:t>
            </w:r>
          </w:p>
        </w:tc>
        <w:tc>
          <w:tcPr>
            <w:tcW w:w="2010" w:type="dxa"/>
          </w:tcPr>
          <w:p>
            <w:pPr>
              <w:pStyle w:val="TableParagraph"/>
              <w:spacing w:before="55"/>
              <w:ind w:left="308"/>
              <w:rPr>
                <w:sz w:val="24"/>
              </w:rPr>
            </w:pPr>
            <w:r>
              <w:rPr>
                <w:sz w:val="24"/>
              </w:rPr>
              <w:t>52.42</w:t>
            </w:r>
            <w:r>
              <w:rPr>
                <w:spacing w:val="58"/>
                <w:sz w:val="24"/>
              </w:rPr>
              <w:t> </w:t>
            </w:r>
            <w:r>
              <w:rPr>
                <w:sz w:val="24"/>
              </w:rPr>
              <w:t>± </w:t>
            </w:r>
            <w:r>
              <w:rPr>
                <w:spacing w:val="-4"/>
                <w:sz w:val="24"/>
              </w:rPr>
              <w:t>2.10</w:t>
            </w:r>
          </w:p>
        </w:tc>
        <w:tc>
          <w:tcPr>
            <w:tcW w:w="1979" w:type="dxa"/>
          </w:tcPr>
          <w:p>
            <w:pPr>
              <w:pStyle w:val="TableParagraph"/>
              <w:spacing w:before="55"/>
              <w:ind w:left="190"/>
              <w:rPr>
                <w:sz w:val="24"/>
              </w:rPr>
            </w:pPr>
            <w:r>
              <w:rPr>
                <w:sz w:val="24"/>
              </w:rPr>
              <w:t>74.18 </w:t>
            </w:r>
            <w:r>
              <w:rPr>
                <w:spacing w:val="-2"/>
                <w:sz w:val="24"/>
              </w:rPr>
              <w:t>±3.24</w:t>
            </w:r>
          </w:p>
        </w:tc>
        <w:tc>
          <w:tcPr>
            <w:tcW w:w="2140" w:type="dxa"/>
          </w:tcPr>
          <w:p>
            <w:pPr>
              <w:pStyle w:val="TableParagraph"/>
              <w:spacing w:before="55"/>
              <w:ind w:left="192"/>
              <w:rPr>
                <w:sz w:val="24"/>
              </w:rPr>
            </w:pPr>
            <w:r>
              <w:rPr>
                <w:sz w:val="24"/>
              </w:rPr>
              <w:t>76.26 ± </w:t>
            </w:r>
            <w:r>
              <w:rPr>
                <w:spacing w:val="-4"/>
                <w:sz w:val="24"/>
              </w:rPr>
              <w:t>3.82</w:t>
            </w:r>
          </w:p>
        </w:tc>
      </w:tr>
      <w:tr>
        <w:trPr>
          <w:trHeight w:val="456" w:hRule="atLeast"/>
        </w:trPr>
        <w:tc>
          <w:tcPr>
            <w:tcW w:w="1876" w:type="dxa"/>
          </w:tcPr>
          <w:p>
            <w:pPr>
              <w:pStyle w:val="TableParagraph"/>
              <w:spacing w:before="115"/>
              <w:ind w:left="122"/>
              <w:rPr>
                <w:sz w:val="24"/>
              </w:rPr>
            </w:pPr>
            <w:r>
              <w:rPr>
                <w:sz w:val="24"/>
              </w:rPr>
              <w:t>%</w:t>
            </w:r>
            <w:r>
              <w:rPr>
                <w:spacing w:val="-1"/>
                <w:sz w:val="24"/>
              </w:rPr>
              <w:t> </w:t>
            </w:r>
            <w:r>
              <w:rPr>
                <w:spacing w:val="-2"/>
                <w:sz w:val="24"/>
              </w:rPr>
              <w:t>neutrophils</w:t>
            </w:r>
          </w:p>
        </w:tc>
        <w:tc>
          <w:tcPr>
            <w:tcW w:w="1898" w:type="dxa"/>
          </w:tcPr>
          <w:p>
            <w:pPr>
              <w:pStyle w:val="TableParagraph"/>
              <w:spacing w:before="115"/>
              <w:ind w:left="138"/>
              <w:rPr>
                <w:sz w:val="24"/>
              </w:rPr>
            </w:pPr>
            <w:r>
              <w:rPr>
                <w:sz w:val="24"/>
              </w:rPr>
              <w:t>24.44 ± </w:t>
            </w:r>
            <w:r>
              <w:rPr>
                <w:spacing w:val="-4"/>
                <w:sz w:val="24"/>
              </w:rPr>
              <w:t>4.41</w:t>
            </w:r>
          </w:p>
        </w:tc>
        <w:tc>
          <w:tcPr>
            <w:tcW w:w="2010" w:type="dxa"/>
          </w:tcPr>
          <w:p>
            <w:pPr>
              <w:pStyle w:val="TableParagraph"/>
              <w:spacing w:before="115"/>
              <w:ind w:left="308"/>
              <w:rPr>
                <w:sz w:val="24"/>
              </w:rPr>
            </w:pPr>
            <w:r>
              <w:rPr>
                <w:sz w:val="24"/>
              </w:rPr>
              <w:t>22.58 ± </w:t>
            </w:r>
            <w:r>
              <w:rPr>
                <w:spacing w:val="-4"/>
                <w:sz w:val="24"/>
              </w:rPr>
              <w:t>1.71</w:t>
            </w:r>
          </w:p>
        </w:tc>
        <w:tc>
          <w:tcPr>
            <w:tcW w:w="1979" w:type="dxa"/>
          </w:tcPr>
          <w:p>
            <w:pPr>
              <w:pStyle w:val="TableParagraph"/>
              <w:spacing w:before="115"/>
              <w:ind w:left="190"/>
              <w:rPr>
                <w:sz w:val="24"/>
              </w:rPr>
            </w:pPr>
            <w:r>
              <w:rPr>
                <w:sz w:val="24"/>
              </w:rPr>
              <w:t>25.52 ± </w:t>
            </w:r>
            <w:r>
              <w:rPr>
                <w:spacing w:val="-4"/>
                <w:sz w:val="24"/>
              </w:rPr>
              <w:t>1.53</w:t>
            </w:r>
          </w:p>
        </w:tc>
        <w:tc>
          <w:tcPr>
            <w:tcW w:w="2140" w:type="dxa"/>
          </w:tcPr>
          <w:p>
            <w:pPr>
              <w:pStyle w:val="TableParagraph"/>
              <w:spacing w:before="115"/>
              <w:ind w:left="192"/>
              <w:rPr>
                <w:sz w:val="24"/>
              </w:rPr>
            </w:pPr>
            <w:r>
              <w:rPr>
                <w:sz w:val="24"/>
              </w:rPr>
              <w:t>30.66</w:t>
            </w:r>
            <w:r>
              <w:rPr>
                <w:spacing w:val="-2"/>
                <w:sz w:val="24"/>
              </w:rPr>
              <w:t> </w:t>
            </w:r>
            <w:r>
              <w:rPr>
                <w:sz w:val="24"/>
              </w:rPr>
              <w:t>±</w:t>
            </w:r>
            <w:r>
              <w:rPr>
                <w:spacing w:val="60"/>
                <w:sz w:val="24"/>
              </w:rPr>
              <w:t> </w:t>
            </w:r>
            <w:r>
              <w:rPr>
                <w:spacing w:val="-4"/>
                <w:sz w:val="24"/>
              </w:rPr>
              <w:t>4.07</w:t>
            </w:r>
          </w:p>
        </w:tc>
      </w:tr>
      <w:tr>
        <w:trPr>
          <w:trHeight w:val="436"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28.28</w:t>
            </w:r>
            <w:r>
              <w:rPr>
                <w:spacing w:val="58"/>
                <w:sz w:val="24"/>
              </w:rPr>
              <w:t> </w:t>
            </w:r>
            <w:r>
              <w:rPr>
                <w:sz w:val="24"/>
              </w:rPr>
              <w:t>± </w:t>
            </w:r>
            <w:r>
              <w:rPr>
                <w:spacing w:val="-4"/>
                <w:sz w:val="24"/>
              </w:rPr>
              <w:t>4.41</w:t>
            </w:r>
          </w:p>
        </w:tc>
        <w:tc>
          <w:tcPr>
            <w:tcW w:w="2010" w:type="dxa"/>
          </w:tcPr>
          <w:p>
            <w:pPr>
              <w:pStyle w:val="TableParagraph"/>
              <w:spacing w:before="55"/>
              <w:ind w:left="308"/>
              <w:rPr>
                <w:sz w:val="24"/>
              </w:rPr>
            </w:pPr>
            <w:r>
              <w:rPr>
                <w:sz w:val="24"/>
              </w:rPr>
              <w:t>27.58 ± </w:t>
            </w:r>
            <w:r>
              <w:rPr>
                <w:spacing w:val="-4"/>
                <w:sz w:val="24"/>
              </w:rPr>
              <w:t>1.53</w:t>
            </w:r>
          </w:p>
        </w:tc>
        <w:tc>
          <w:tcPr>
            <w:tcW w:w="1979" w:type="dxa"/>
          </w:tcPr>
          <w:p>
            <w:pPr>
              <w:pStyle w:val="TableParagraph"/>
              <w:spacing w:before="55"/>
              <w:ind w:left="190"/>
              <w:rPr>
                <w:sz w:val="24"/>
              </w:rPr>
            </w:pPr>
            <w:r>
              <w:rPr>
                <w:sz w:val="24"/>
              </w:rPr>
              <w:t>28.84 ± </w:t>
            </w:r>
            <w:r>
              <w:rPr>
                <w:spacing w:val="-4"/>
                <w:sz w:val="24"/>
              </w:rPr>
              <w:t>3.22</w:t>
            </w:r>
          </w:p>
        </w:tc>
        <w:tc>
          <w:tcPr>
            <w:tcW w:w="2140" w:type="dxa"/>
          </w:tcPr>
          <w:p>
            <w:pPr>
              <w:pStyle w:val="TableParagraph"/>
              <w:spacing w:before="55"/>
              <w:ind w:left="192"/>
              <w:rPr>
                <w:sz w:val="24"/>
              </w:rPr>
            </w:pPr>
            <w:r>
              <w:rPr>
                <w:sz w:val="24"/>
              </w:rPr>
              <w:t>23.74 </w:t>
            </w:r>
            <w:r>
              <w:rPr>
                <w:spacing w:val="-2"/>
                <w:sz w:val="24"/>
              </w:rPr>
              <w:t>±3.81</w:t>
            </w:r>
          </w:p>
        </w:tc>
      </w:tr>
      <w:tr>
        <w:trPr>
          <w:trHeight w:val="476" w:hRule="atLeast"/>
        </w:trPr>
        <w:tc>
          <w:tcPr>
            <w:tcW w:w="1876" w:type="dxa"/>
          </w:tcPr>
          <w:p>
            <w:pPr>
              <w:pStyle w:val="TableParagraph"/>
              <w:spacing w:before="135"/>
              <w:ind w:left="122"/>
              <w:rPr>
                <w:sz w:val="24"/>
              </w:rPr>
            </w:pPr>
            <w:r>
              <w:rPr>
                <w:sz w:val="24"/>
              </w:rPr>
              <w:t>ANC</w:t>
            </w:r>
            <w:r>
              <w:rPr>
                <w:spacing w:val="-1"/>
                <w:sz w:val="24"/>
              </w:rPr>
              <w:t> </w:t>
            </w:r>
            <w:r>
              <w:rPr>
                <w:spacing w:val="-2"/>
                <w:sz w:val="24"/>
              </w:rPr>
              <w:t>(×10</w:t>
            </w:r>
            <w:r>
              <w:rPr>
                <w:spacing w:val="-2"/>
                <w:sz w:val="24"/>
                <w:vertAlign w:val="superscript"/>
              </w:rPr>
              <w:t>3</w:t>
            </w:r>
            <w:r>
              <w:rPr>
                <w:spacing w:val="-2"/>
                <w:sz w:val="24"/>
                <w:vertAlign w:val="baseline"/>
              </w:rPr>
              <w:t>/µL)</w:t>
            </w:r>
          </w:p>
        </w:tc>
        <w:tc>
          <w:tcPr>
            <w:tcW w:w="1898" w:type="dxa"/>
          </w:tcPr>
          <w:p>
            <w:pPr>
              <w:pStyle w:val="TableParagraph"/>
              <w:spacing w:before="135"/>
              <w:ind w:left="138"/>
              <w:rPr>
                <w:sz w:val="24"/>
              </w:rPr>
            </w:pPr>
            <w:r>
              <w:rPr>
                <w:sz w:val="24"/>
              </w:rPr>
              <w:t>2.20 ± </w:t>
            </w:r>
            <w:r>
              <w:rPr>
                <w:spacing w:val="-4"/>
                <w:sz w:val="24"/>
              </w:rPr>
              <w:t>0.80</w:t>
            </w:r>
          </w:p>
        </w:tc>
        <w:tc>
          <w:tcPr>
            <w:tcW w:w="2010" w:type="dxa"/>
          </w:tcPr>
          <w:p>
            <w:pPr>
              <w:pStyle w:val="TableParagraph"/>
              <w:spacing w:before="135"/>
              <w:ind w:left="308"/>
              <w:rPr>
                <w:sz w:val="24"/>
              </w:rPr>
            </w:pPr>
            <w:r>
              <w:rPr>
                <w:sz w:val="24"/>
              </w:rPr>
              <w:t>2.60 ± </w:t>
            </w:r>
            <w:r>
              <w:rPr>
                <w:spacing w:val="-4"/>
                <w:sz w:val="24"/>
              </w:rPr>
              <w:t>0.20</w:t>
            </w:r>
          </w:p>
        </w:tc>
        <w:tc>
          <w:tcPr>
            <w:tcW w:w="1979" w:type="dxa"/>
          </w:tcPr>
          <w:p>
            <w:pPr>
              <w:pStyle w:val="TableParagraph"/>
              <w:spacing w:before="135"/>
              <w:ind w:left="190"/>
              <w:rPr>
                <w:sz w:val="24"/>
              </w:rPr>
            </w:pPr>
            <w:r>
              <w:rPr>
                <w:sz w:val="24"/>
              </w:rPr>
              <w:t>3.50 ± </w:t>
            </w:r>
            <w:r>
              <w:rPr>
                <w:spacing w:val="-4"/>
                <w:sz w:val="24"/>
              </w:rPr>
              <w:t>0.07</w:t>
            </w:r>
          </w:p>
        </w:tc>
        <w:tc>
          <w:tcPr>
            <w:tcW w:w="2140" w:type="dxa"/>
          </w:tcPr>
          <w:p>
            <w:pPr>
              <w:pStyle w:val="TableParagraph"/>
              <w:spacing w:before="135"/>
              <w:ind w:left="192"/>
              <w:rPr>
                <w:sz w:val="24"/>
              </w:rPr>
            </w:pPr>
            <w:r>
              <w:rPr>
                <w:sz w:val="24"/>
              </w:rPr>
              <w:t>4.14 ± </w:t>
            </w:r>
            <w:r>
              <w:rPr>
                <w:spacing w:val="-4"/>
                <w:sz w:val="24"/>
              </w:rPr>
              <w:t>3.10</w:t>
            </w:r>
          </w:p>
        </w:tc>
      </w:tr>
      <w:tr>
        <w:trPr>
          <w:trHeight w:val="456"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0.56 ± </w:t>
            </w:r>
            <w:r>
              <w:rPr>
                <w:spacing w:val="-2"/>
                <w:sz w:val="24"/>
              </w:rPr>
              <w:t>0.15**</w:t>
            </w:r>
          </w:p>
        </w:tc>
        <w:tc>
          <w:tcPr>
            <w:tcW w:w="2010" w:type="dxa"/>
          </w:tcPr>
          <w:p>
            <w:pPr>
              <w:pStyle w:val="TableParagraph"/>
              <w:spacing w:before="55"/>
              <w:ind w:left="308"/>
              <w:rPr>
                <w:sz w:val="24"/>
              </w:rPr>
            </w:pPr>
            <w:r>
              <w:rPr>
                <w:sz w:val="24"/>
              </w:rPr>
              <w:t>0.46 ± </w:t>
            </w:r>
            <w:r>
              <w:rPr>
                <w:spacing w:val="-2"/>
                <w:sz w:val="24"/>
              </w:rPr>
              <w:t>0.14***</w:t>
            </w:r>
          </w:p>
        </w:tc>
        <w:tc>
          <w:tcPr>
            <w:tcW w:w="1979" w:type="dxa"/>
          </w:tcPr>
          <w:p>
            <w:pPr>
              <w:pStyle w:val="TableParagraph"/>
              <w:spacing w:before="55"/>
              <w:ind w:left="190"/>
              <w:rPr>
                <w:sz w:val="24"/>
              </w:rPr>
            </w:pPr>
            <w:r>
              <w:rPr>
                <w:sz w:val="24"/>
              </w:rPr>
              <w:t>0.70</w:t>
            </w:r>
            <w:r>
              <w:rPr>
                <w:spacing w:val="60"/>
                <w:sz w:val="24"/>
              </w:rPr>
              <w:t> </w:t>
            </w:r>
            <w:r>
              <w:rPr>
                <w:spacing w:val="-2"/>
                <w:sz w:val="24"/>
              </w:rPr>
              <w:t>±0.14***</w:t>
            </w:r>
          </w:p>
        </w:tc>
        <w:tc>
          <w:tcPr>
            <w:tcW w:w="2140" w:type="dxa"/>
          </w:tcPr>
          <w:p>
            <w:pPr>
              <w:pStyle w:val="TableParagraph"/>
              <w:spacing w:before="55"/>
              <w:ind w:left="192"/>
              <w:rPr>
                <w:sz w:val="24"/>
              </w:rPr>
            </w:pPr>
            <w:r>
              <w:rPr>
                <w:sz w:val="24"/>
              </w:rPr>
              <w:t>0.82</w:t>
            </w:r>
            <w:r>
              <w:rPr>
                <w:spacing w:val="58"/>
                <w:sz w:val="24"/>
              </w:rPr>
              <w:t> </w:t>
            </w:r>
            <w:r>
              <w:rPr>
                <w:sz w:val="24"/>
              </w:rPr>
              <w:t>± </w:t>
            </w:r>
            <w:r>
              <w:rPr>
                <w:spacing w:val="-2"/>
                <w:sz w:val="24"/>
              </w:rPr>
              <w:t>0.65***</w:t>
            </w:r>
          </w:p>
        </w:tc>
      </w:tr>
      <w:tr>
        <w:trPr>
          <w:trHeight w:val="455" w:hRule="atLeast"/>
        </w:trPr>
        <w:tc>
          <w:tcPr>
            <w:tcW w:w="1876" w:type="dxa"/>
          </w:tcPr>
          <w:p>
            <w:pPr>
              <w:pStyle w:val="TableParagraph"/>
              <w:spacing w:before="115"/>
              <w:ind w:left="122"/>
              <w:rPr>
                <w:sz w:val="24"/>
              </w:rPr>
            </w:pPr>
            <w:r>
              <w:rPr>
                <w:sz w:val="24"/>
              </w:rPr>
              <w:t>MCHC</w:t>
            </w:r>
            <w:r>
              <w:rPr>
                <w:spacing w:val="-2"/>
                <w:sz w:val="24"/>
              </w:rPr>
              <w:t> </w:t>
            </w:r>
            <w:r>
              <w:rPr>
                <w:sz w:val="24"/>
              </w:rPr>
              <w:t>(g</w:t>
            </w:r>
            <w:r>
              <w:rPr>
                <w:spacing w:val="-3"/>
                <w:sz w:val="24"/>
              </w:rPr>
              <w:t> </w:t>
            </w:r>
            <w:r>
              <w:rPr>
                <w:spacing w:val="-4"/>
                <w:sz w:val="24"/>
              </w:rPr>
              <w:t>/dL)</w:t>
            </w:r>
          </w:p>
        </w:tc>
        <w:tc>
          <w:tcPr>
            <w:tcW w:w="1898" w:type="dxa"/>
          </w:tcPr>
          <w:p>
            <w:pPr>
              <w:pStyle w:val="TableParagraph"/>
              <w:spacing w:before="115"/>
              <w:ind w:left="138"/>
              <w:rPr>
                <w:sz w:val="24"/>
              </w:rPr>
            </w:pPr>
            <w:r>
              <w:rPr>
                <w:sz w:val="24"/>
              </w:rPr>
              <w:t>30.92 ± </w:t>
            </w:r>
            <w:r>
              <w:rPr>
                <w:spacing w:val="-4"/>
                <w:sz w:val="24"/>
              </w:rPr>
              <w:t>0.36</w:t>
            </w:r>
          </w:p>
        </w:tc>
        <w:tc>
          <w:tcPr>
            <w:tcW w:w="2010" w:type="dxa"/>
          </w:tcPr>
          <w:p>
            <w:pPr>
              <w:pStyle w:val="TableParagraph"/>
              <w:spacing w:before="115"/>
              <w:ind w:left="308"/>
              <w:rPr>
                <w:sz w:val="24"/>
              </w:rPr>
            </w:pPr>
            <w:r>
              <w:rPr>
                <w:sz w:val="24"/>
              </w:rPr>
              <w:t>31.50 ± </w:t>
            </w:r>
            <w:r>
              <w:rPr>
                <w:spacing w:val="-4"/>
                <w:sz w:val="24"/>
              </w:rPr>
              <w:t>0.42</w:t>
            </w:r>
          </w:p>
        </w:tc>
        <w:tc>
          <w:tcPr>
            <w:tcW w:w="1979" w:type="dxa"/>
          </w:tcPr>
          <w:p>
            <w:pPr>
              <w:pStyle w:val="TableParagraph"/>
              <w:spacing w:before="115"/>
              <w:ind w:left="190"/>
              <w:rPr>
                <w:sz w:val="24"/>
              </w:rPr>
            </w:pPr>
            <w:r>
              <w:rPr>
                <w:sz w:val="24"/>
              </w:rPr>
              <w:t>31.08 ± </w:t>
            </w:r>
            <w:r>
              <w:rPr>
                <w:spacing w:val="-4"/>
                <w:sz w:val="24"/>
              </w:rPr>
              <w:t>0.46</w:t>
            </w:r>
          </w:p>
        </w:tc>
        <w:tc>
          <w:tcPr>
            <w:tcW w:w="2140" w:type="dxa"/>
          </w:tcPr>
          <w:p>
            <w:pPr>
              <w:pStyle w:val="TableParagraph"/>
              <w:spacing w:before="115"/>
              <w:ind w:left="192"/>
              <w:rPr>
                <w:sz w:val="24"/>
              </w:rPr>
            </w:pPr>
            <w:r>
              <w:rPr>
                <w:sz w:val="24"/>
              </w:rPr>
              <w:t>31.30 ± </w:t>
            </w:r>
            <w:r>
              <w:rPr>
                <w:spacing w:val="-4"/>
                <w:sz w:val="24"/>
              </w:rPr>
              <w:t>0.60</w:t>
            </w:r>
          </w:p>
        </w:tc>
      </w:tr>
      <w:tr>
        <w:trPr>
          <w:trHeight w:val="396" w:hRule="atLeast"/>
        </w:trPr>
        <w:tc>
          <w:tcPr>
            <w:tcW w:w="1876" w:type="dxa"/>
          </w:tcPr>
          <w:p>
            <w:pPr>
              <w:pStyle w:val="TableParagraph"/>
              <w:rPr>
                <w:sz w:val="22"/>
              </w:rPr>
            </w:pPr>
          </w:p>
        </w:tc>
        <w:tc>
          <w:tcPr>
            <w:tcW w:w="1898" w:type="dxa"/>
          </w:tcPr>
          <w:p>
            <w:pPr>
              <w:pStyle w:val="TableParagraph"/>
              <w:spacing w:before="55"/>
              <w:ind w:left="138"/>
              <w:rPr>
                <w:sz w:val="24"/>
              </w:rPr>
            </w:pPr>
            <w:r>
              <w:rPr>
                <w:sz w:val="24"/>
              </w:rPr>
              <w:t>30.30</w:t>
            </w:r>
            <w:r>
              <w:rPr>
                <w:spacing w:val="58"/>
                <w:sz w:val="24"/>
              </w:rPr>
              <w:t> </w:t>
            </w:r>
            <w:r>
              <w:rPr>
                <w:sz w:val="24"/>
              </w:rPr>
              <w:t>± </w:t>
            </w:r>
            <w:r>
              <w:rPr>
                <w:spacing w:val="-4"/>
                <w:sz w:val="24"/>
              </w:rPr>
              <w:t>0.47</w:t>
            </w:r>
          </w:p>
        </w:tc>
        <w:tc>
          <w:tcPr>
            <w:tcW w:w="2010" w:type="dxa"/>
          </w:tcPr>
          <w:p>
            <w:pPr>
              <w:pStyle w:val="TableParagraph"/>
              <w:spacing w:before="55"/>
              <w:ind w:left="308"/>
              <w:rPr>
                <w:sz w:val="24"/>
              </w:rPr>
            </w:pPr>
            <w:r>
              <w:rPr>
                <w:sz w:val="24"/>
              </w:rPr>
              <w:t>30.52 ± </w:t>
            </w:r>
            <w:r>
              <w:rPr>
                <w:spacing w:val="-4"/>
                <w:sz w:val="24"/>
              </w:rPr>
              <w:t>0.17</w:t>
            </w:r>
          </w:p>
        </w:tc>
        <w:tc>
          <w:tcPr>
            <w:tcW w:w="1979" w:type="dxa"/>
          </w:tcPr>
          <w:p>
            <w:pPr>
              <w:pStyle w:val="TableParagraph"/>
              <w:spacing w:before="55"/>
              <w:ind w:left="190"/>
              <w:rPr>
                <w:sz w:val="24"/>
              </w:rPr>
            </w:pPr>
            <w:r>
              <w:rPr>
                <w:sz w:val="24"/>
              </w:rPr>
              <w:t>30.36</w:t>
            </w:r>
            <w:r>
              <w:rPr>
                <w:spacing w:val="58"/>
                <w:sz w:val="24"/>
              </w:rPr>
              <w:t> </w:t>
            </w:r>
            <w:r>
              <w:rPr>
                <w:sz w:val="24"/>
              </w:rPr>
              <w:t>± </w:t>
            </w:r>
            <w:r>
              <w:rPr>
                <w:spacing w:val="-4"/>
                <w:sz w:val="24"/>
              </w:rPr>
              <w:t>0.37</w:t>
            </w:r>
          </w:p>
        </w:tc>
        <w:tc>
          <w:tcPr>
            <w:tcW w:w="2140" w:type="dxa"/>
          </w:tcPr>
          <w:p>
            <w:pPr>
              <w:pStyle w:val="TableParagraph"/>
              <w:spacing w:before="55"/>
              <w:ind w:left="192"/>
              <w:rPr>
                <w:sz w:val="24"/>
              </w:rPr>
            </w:pPr>
            <w:r>
              <w:rPr>
                <w:sz w:val="24"/>
              </w:rPr>
              <w:t>30.16</w:t>
            </w:r>
            <w:r>
              <w:rPr>
                <w:spacing w:val="58"/>
                <w:sz w:val="24"/>
              </w:rPr>
              <w:t> </w:t>
            </w:r>
            <w:r>
              <w:rPr>
                <w:sz w:val="24"/>
              </w:rPr>
              <w:t>± </w:t>
            </w:r>
            <w:r>
              <w:rPr>
                <w:spacing w:val="-4"/>
                <w:sz w:val="24"/>
              </w:rPr>
              <w:t>0.40</w:t>
            </w:r>
          </w:p>
        </w:tc>
      </w:tr>
      <w:tr>
        <w:trPr>
          <w:trHeight w:val="395" w:hRule="atLeast"/>
        </w:trPr>
        <w:tc>
          <w:tcPr>
            <w:tcW w:w="1876" w:type="dxa"/>
          </w:tcPr>
          <w:p>
            <w:pPr>
              <w:pStyle w:val="TableParagraph"/>
              <w:spacing w:before="55"/>
              <w:ind w:left="122"/>
              <w:rPr>
                <w:sz w:val="24"/>
              </w:rPr>
            </w:pPr>
            <w:r>
              <w:rPr>
                <w:spacing w:val="-2"/>
                <w:sz w:val="24"/>
              </w:rPr>
              <w:t>Platelet</w:t>
            </w:r>
          </w:p>
        </w:tc>
        <w:tc>
          <w:tcPr>
            <w:tcW w:w="1898" w:type="dxa"/>
          </w:tcPr>
          <w:p>
            <w:pPr>
              <w:pStyle w:val="TableParagraph"/>
              <w:spacing w:before="55"/>
              <w:ind w:left="138"/>
              <w:rPr>
                <w:sz w:val="24"/>
              </w:rPr>
            </w:pPr>
            <w:r>
              <w:rPr>
                <w:sz w:val="24"/>
              </w:rPr>
              <w:t>7.00 ± </w:t>
            </w:r>
            <w:r>
              <w:rPr>
                <w:spacing w:val="-4"/>
                <w:sz w:val="24"/>
              </w:rPr>
              <w:t>0.33</w:t>
            </w:r>
          </w:p>
        </w:tc>
        <w:tc>
          <w:tcPr>
            <w:tcW w:w="2010" w:type="dxa"/>
          </w:tcPr>
          <w:p>
            <w:pPr>
              <w:pStyle w:val="TableParagraph"/>
              <w:spacing w:before="55"/>
              <w:ind w:left="308"/>
              <w:rPr>
                <w:sz w:val="24"/>
              </w:rPr>
            </w:pPr>
            <w:r>
              <w:rPr>
                <w:sz w:val="24"/>
              </w:rPr>
              <w:t>7.20 ± </w:t>
            </w:r>
            <w:r>
              <w:rPr>
                <w:spacing w:val="-4"/>
                <w:sz w:val="24"/>
              </w:rPr>
              <w:t>0.11</w:t>
            </w:r>
          </w:p>
        </w:tc>
        <w:tc>
          <w:tcPr>
            <w:tcW w:w="1979" w:type="dxa"/>
          </w:tcPr>
          <w:p>
            <w:pPr>
              <w:pStyle w:val="TableParagraph"/>
              <w:spacing w:before="55"/>
              <w:ind w:left="190"/>
              <w:rPr>
                <w:sz w:val="24"/>
              </w:rPr>
            </w:pPr>
            <w:r>
              <w:rPr>
                <w:sz w:val="24"/>
              </w:rPr>
              <w:t>7.34 ± </w:t>
            </w:r>
            <w:r>
              <w:rPr>
                <w:spacing w:val="-4"/>
                <w:sz w:val="24"/>
              </w:rPr>
              <w:t>0.65</w:t>
            </w:r>
          </w:p>
        </w:tc>
        <w:tc>
          <w:tcPr>
            <w:tcW w:w="2140" w:type="dxa"/>
          </w:tcPr>
          <w:p>
            <w:pPr>
              <w:pStyle w:val="TableParagraph"/>
              <w:spacing w:before="55"/>
              <w:ind w:left="192"/>
              <w:rPr>
                <w:sz w:val="24"/>
              </w:rPr>
            </w:pPr>
            <w:r>
              <w:rPr>
                <w:sz w:val="24"/>
              </w:rPr>
              <w:t>6.85 ± </w:t>
            </w:r>
            <w:r>
              <w:rPr>
                <w:spacing w:val="-4"/>
                <w:sz w:val="24"/>
              </w:rPr>
              <w:t>0.53</w:t>
            </w:r>
          </w:p>
        </w:tc>
      </w:tr>
      <w:tr>
        <w:trPr>
          <w:trHeight w:val="458" w:hRule="atLeast"/>
        </w:trPr>
        <w:tc>
          <w:tcPr>
            <w:tcW w:w="1876" w:type="dxa"/>
            <w:tcBorders>
              <w:bottom w:val="single" w:sz="4" w:space="0" w:color="000000"/>
            </w:tcBorders>
          </w:tcPr>
          <w:p>
            <w:pPr>
              <w:pStyle w:val="TableParagraph"/>
              <w:rPr>
                <w:sz w:val="22"/>
              </w:rPr>
            </w:pPr>
          </w:p>
        </w:tc>
        <w:tc>
          <w:tcPr>
            <w:tcW w:w="1898" w:type="dxa"/>
            <w:tcBorders>
              <w:bottom w:val="single" w:sz="4" w:space="0" w:color="000000"/>
            </w:tcBorders>
          </w:tcPr>
          <w:p>
            <w:pPr>
              <w:pStyle w:val="TableParagraph"/>
              <w:spacing w:before="55"/>
              <w:ind w:left="138"/>
              <w:rPr>
                <w:sz w:val="24"/>
              </w:rPr>
            </w:pPr>
            <w:r>
              <w:rPr>
                <w:sz w:val="24"/>
              </w:rPr>
              <w:t>4.85 ± </w:t>
            </w:r>
            <w:r>
              <w:rPr>
                <w:spacing w:val="-2"/>
                <w:sz w:val="24"/>
              </w:rPr>
              <w:t>0.44**</w:t>
            </w:r>
          </w:p>
        </w:tc>
        <w:tc>
          <w:tcPr>
            <w:tcW w:w="2010" w:type="dxa"/>
            <w:tcBorders>
              <w:bottom w:val="single" w:sz="4" w:space="0" w:color="000000"/>
            </w:tcBorders>
          </w:tcPr>
          <w:p>
            <w:pPr>
              <w:pStyle w:val="TableParagraph"/>
              <w:spacing w:before="55"/>
              <w:ind w:left="308"/>
              <w:rPr>
                <w:sz w:val="24"/>
              </w:rPr>
            </w:pPr>
            <w:r>
              <w:rPr>
                <w:sz w:val="24"/>
              </w:rPr>
              <w:t>4.69 ± </w:t>
            </w:r>
            <w:r>
              <w:rPr>
                <w:spacing w:val="-2"/>
                <w:sz w:val="24"/>
              </w:rPr>
              <w:t>0.22**</w:t>
            </w:r>
          </w:p>
        </w:tc>
        <w:tc>
          <w:tcPr>
            <w:tcW w:w="1979" w:type="dxa"/>
            <w:tcBorders>
              <w:bottom w:val="single" w:sz="4" w:space="0" w:color="000000"/>
            </w:tcBorders>
          </w:tcPr>
          <w:p>
            <w:pPr>
              <w:pStyle w:val="TableParagraph"/>
              <w:spacing w:before="55"/>
              <w:ind w:left="190"/>
              <w:rPr>
                <w:sz w:val="24"/>
              </w:rPr>
            </w:pPr>
            <w:r>
              <w:rPr>
                <w:sz w:val="24"/>
              </w:rPr>
              <w:t>4.01 ± </w:t>
            </w:r>
            <w:r>
              <w:rPr>
                <w:spacing w:val="-2"/>
                <w:sz w:val="24"/>
              </w:rPr>
              <w:t>0.45**</w:t>
            </w:r>
          </w:p>
        </w:tc>
        <w:tc>
          <w:tcPr>
            <w:tcW w:w="2140" w:type="dxa"/>
            <w:tcBorders>
              <w:bottom w:val="single" w:sz="4" w:space="0" w:color="000000"/>
            </w:tcBorders>
          </w:tcPr>
          <w:p>
            <w:pPr>
              <w:pStyle w:val="TableParagraph"/>
              <w:spacing w:before="55"/>
              <w:ind w:left="192"/>
              <w:rPr>
                <w:sz w:val="24"/>
              </w:rPr>
            </w:pPr>
            <w:r>
              <w:rPr>
                <w:sz w:val="24"/>
              </w:rPr>
              <w:t>5.27 ± </w:t>
            </w:r>
            <w:r>
              <w:rPr>
                <w:spacing w:val="-4"/>
                <w:sz w:val="24"/>
              </w:rPr>
              <w:t>0.34</w:t>
            </w:r>
          </w:p>
        </w:tc>
      </w:tr>
    </w:tbl>
    <w:p>
      <w:pPr>
        <w:pStyle w:val="BodyText"/>
        <w:spacing w:before="120"/>
        <w:ind w:left="747" w:right="847" w:firstLine="59"/>
        <w:jc w:val="both"/>
      </w:pPr>
      <w:r>
        <w:rPr/>
        <w:t>n = 5; *p&lt; 0.05 **p&lt; 0.01 ***p&lt; 0.001 (One Way ANOVA; Turkey’s Post hoc Test); (WBC:White Blood Cell; RBC: Red Blood Cell; HCT: Haematocrit,;HGB: Haemoglobin; ANC: Absolute Neutrophil Count; MCHC: Mean Corpuscular Haemoglobin Concentration)</w:t>
      </w:r>
    </w:p>
    <w:p>
      <w:pPr>
        <w:pStyle w:val="BodyText"/>
      </w:pPr>
    </w:p>
    <w:p>
      <w:pPr>
        <w:pStyle w:val="BodyText"/>
      </w:pPr>
    </w:p>
    <w:p>
      <w:pPr>
        <w:pStyle w:val="BodyText"/>
      </w:pPr>
    </w:p>
    <w:p>
      <w:pPr>
        <w:pStyle w:val="BodyText"/>
      </w:pPr>
    </w:p>
    <w:p>
      <w:pPr>
        <w:pStyle w:val="BodyText"/>
        <w:spacing w:before="253"/>
      </w:pPr>
    </w:p>
    <w:p>
      <w:pPr>
        <w:pStyle w:val="Heading2"/>
        <w:numPr>
          <w:ilvl w:val="1"/>
          <w:numId w:val="22"/>
        </w:numPr>
        <w:tabs>
          <w:tab w:pos="1407" w:val="left" w:leader="none"/>
          <w:tab w:pos="1467" w:val="left" w:leader="none"/>
        </w:tabs>
        <w:spacing w:line="480" w:lineRule="auto" w:before="0" w:after="0"/>
        <w:ind w:left="1407" w:right="1289" w:hanging="660"/>
        <w:jc w:val="left"/>
      </w:pPr>
      <w:r>
        <w:rPr/>
        <w:tab/>
        <w:t>Effect</w:t>
      </w:r>
      <w:r>
        <w:rPr>
          <w:spacing w:val="-4"/>
        </w:rPr>
        <w:t> </w:t>
      </w:r>
      <w:r>
        <w:rPr/>
        <w:t>of</w:t>
      </w:r>
      <w:r>
        <w:rPr>
          <w:spacing w:val="-4"/>
        </w:rPr>
        <w:t> </w:t>
      </w:r>
      <w:r>
        <w:rPr/>
        <w:t>the</w:t>
      </w:r>
      <w:r>
        <w:rPr>
          <w:spacing w:val="-5"/>
        </w:rPr>
        <w:t> </w:t>
      </w:r>
      <w:r>
        <w:rPr/>
        <w:t>Extract</w:t>
      </w:r>
      <w:r>
        <w:rPr>
          <w:spacing w:val="-4"/>
        </w:rPr>
        <w:t> </w:t>
      </w:r>
      <w:r>
        <w:rPr/>
        <w:t>on</w:t>
      </w:r>
      <w:r>
        <w:rPr>
          <w:spacing w:val="-1"/>
        </w:rPr>
        <w:t> </w:t>
      </w:r>
      <w:r>
        <w:rPr/>
        <w:t>Sheep</w:t>
      </w:r>
      <w:r>
        <w:rPr>
          <w:spacing w:val="-4"/>
        </w:rPr>
        <w:t> </w:t>
      </w:r>
      <w:r>
        <w:rPr/>
        <w:t>Red</w:t>
      </w:r>
      <w:r>
        <w:rPr>
          <w:spacing w:val="-4"/>
        </w:rPr>
        <w:t> </w:t>
      </w:r>
      <w:r>
        <w:rPr/>
        <w:t>Blood</w:t>
      </w:r>
      <w:r>
        <w:rPr>
          <w:spacing w:val="-3"/>
        </w:rPr>
        <w:t> </w:t>
      </w:r>
      <w:r>
        <w:rPr/>
        <w:t>Cell</w:t>
      </w:r>
      <w:r>
        <w:rPr>
          <w:spacing w:val="-4"/>
        </w:rPr>
        <w:t> </w:t>
      </w:r>
      <w:r>
        <w:rPr/>
        <w:t>(SRBC)-Induced</w:t>
      </w:r>
      <w:r>
        <w:rPr>
          <w:spacing w:val="-3"/>
        </w:rPr>
        <w:t> </w:t>
      </w:r>
      <w:r>
        <w:rPr/>
        <w:t>Delayed Hypersensitivity Reaction in Rats</w:t>
      </w:r>
    </w:p>
    <w:p>
      <w:pPr>
        <w:spacing w:after="0" w:line="480" w:lineRule="auto"/>
        <w:jc w:val="left"/>
        <w:sectPr>
          <w:pgSz w:w="11910" w:h="16840"/>
          <w:pgMar w:header="0" w:footer="981" w:top="1400" w:bottom="1180" w:left="1240" w:right="560"/>
        </w:sectPr>
      </w:pPr>
    </w:p>
    <w:p>
      <w:pPr>
        <w:pStyle w:val="BodyText"/>
        <w:spacing w:line="480" w:lineRule="auto" w:before="64"/>
        <w:ind w:left="747" w:right="843"/>
        <w:jc w:val="both"/>
      </w:pPr>
      <w:r>
        <w:rPr/>
        <w:t>The inflammation produced by the injection of the SRBC was maintained to various degrees in all the groups as can be seen in the 3 and 24 hours post induction depicting the immediate and delayed type hypersensitivity reactions respectively. It was observed that the oedema values at the phase inflammation (immediate type hypersensitivity effect) were higher than those of the delayed type in all the groups of both the controls and</w:t>
      </w:r>
      <w:r>
        <w:rPr>
          <w:spacing w:val="-2"/>
        </w:rPr>
        <w:t> </w:t>
      </w:r>
      <w:r>
        <w:rPr/>
        <w:t>test</w:t>
      </w:r>
      <w:r>
        <w:rPr>
          <w:spacing w:val="-2"/>
        </w:rPr>
        <w:t> </w:t>
      </w:r>
      <w:r>
        <w:rPr/>
        <w:t>doses</w:t>
      </w:r>
      <w:r>
        <w:rPr>
          <w:spacing w:val="-1"/>
        </w:rPr>
        <w:t> </w:t>
      </w:r>
      <w:r>
        <w:rPr/>
        <w:t>with</w:t>
      </w:r>
      <w:r>
        <w:rPr>
          <w:spacing w:val="-2"/>
        </w:rPr>
        <w:t> </w:t>
      </w:r>
      <w:r>
        <w:rPr/>
        <w:t>the</w:t>
      </w:r>
      <w:r>
        <w:rPr>
          <w:spacing w:val="-3"/>
        </w:rPr>
        <w:t> </w:t>
      </w:r>
      <w:r>
        <w:rPr/>
        <w:t>exception</w:t>
      </w:r>
      <w:r>
        <w:rPr>
          <w:spacing w:val="-2"/>
        </w:rPr>
        <w:t> </w:t>
      </w:r>
      <w:r>
        <w:rPr/>
        <w:t>of</w:t>
      </w:r>
      <w:r>
        <w:rPr>
          <w:spacing w:val="-3"/>
        </w:rPr>
        <w:t> </w:t>
      </w:r>
      <w:r>
        <w:rPr/>
        <w:t>the</w:t>
      </w:r>
      <w:r>
        <w:rPr>
          <w:spacing w:val="-2"/>
        </w:rPr>
        <w:t> </w:t>
      </w:r>
      <w:r>
        <w:rPr/>
        <w:t>100</w:t>
      </w:r>
      <w:r>
        <w:rPr>
          <w:spacing w:val="-2"/>
        </w:rPr>
        <w:t> </w:t>
      </w:r>
      <w:r>
        <w:rPr/>
        <w:t>mg/kg group,</w:t>
      </w:r>
      <w:r>
        <w:rPr>
          <w:spacing w:val="-2"/>
        </w:rPr>
        <w:t> </w:t>
      </w:r>
      <w:r>
        <w:rPr/>
        <w:t>the</w:t>
      </w:r>
      <w:r>
        <w:rPr>
          <w:spacing w:val="-2"/>
        </w:rPr>
        <w:t> </w:t>
      </w:r>
      <w:r>
        <w:rPr/>
        <w:t>value</w:t>
      </w:r>
      <w:r>
        <w:rPr>
          <w:spacing w:val="-2"/>
        </w:rPr>
        <w:t> </w:t>
      </w:r>
      <w:r>
        <w:rPr/>
        <w:t>of</w:t>
      </w:r>
      <w:r>
        <w:rPr>
          <w:spacing w:val="-2"/>
        </w:rPr>
        <w:t> </w:t>
      </w:r>
      <w:r>
        <w:rPr/>
        <w:t>which</w:t>
      </w:r>
      <w:r>
        <w:rPr>
          <w:spacing w:val="-2"/>
        </w:rPr>
        <w:t> </w:t>
      </w:r>
      <w:r>
        <w:rPr/>
        <w:t>was</w:t>
      </w:r>
      <w:r>
        <w:rPr>
          <w:spacing w:val="-2"/>
        </w:rPr>
        <w:t> </w:t>
      </w:r>
      <w:r>
        <w:rPr/>
        <w:t>higher at 24 hr. However, at this 3 hours, there was no significant differences (P&gt;0.05) in oedema within the groups and the mean paw volumes of rats in the two control groups were almost similar, indicating that there is also no significant difference between the dexamethasone pretreated group and that of the normal saline negative control group. Also the mean paw volumes of the three extract dose groups were found to be higher than that of the negative control group. On the other hand, the oedema after 24 hr induction was significantly higher in the extract pretreated groups compared to the controls, with the 100 mg/kg having the highest response that increased steadily (Table </w:t>
      </w:r>
      <w:r>
        <w:rPr>
          <w:spacing w:val="-2"/>
        </w:rPr>
        <w:t>4.3).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Heading2"/>
        <w:ind w:left="2188" w:right="844" w:hanging="1441"/>
        <w:jc w:val="both"/>
        <w:rPr>
          <w:i/>
        </w:rPr>
      </w:pPr>
      <w:r>
        <w:rPr/>
        <w:t>Table</w:t>
      </w:r>
      <w:r>
        <w:rPr>
          <w:spacing w:val="-1"/>
        </w:rPr>
        <w:t> </w:t>
      </w:r>
      <w:r>
        <w:rPr/>
        <w:t>4.3:</w:t>
      </w:r>
      <w:r>
        <w:rPr>
          <w:spacing w:val="40"/>
        </w:rPr>
        <w:t> </w:t>
      </w:r>
      <w:r>
        <w:rPr/>
        <w:t>Sheep</w:t>
      </w:r>
      <w:r>
        <w:rPr>
          <w:spacing w:val="40"/>
        </w:rPr>
        <w:t> </w:t>
      </w:r>
      <w:r>
        <w:rPr/>
        <w:t>Red</w:t>
      </w:r>
      <w:r>
        <w:rPr>
          <w:spacing w:val="40"/>
        </w:rPr>
        <w:t> </w:t>
      </w:r>
      <w:r>
        <w:rPr/>
        <w:t>Blood</w:t>
      </w:r>
      <w:r>
        <w:rPr>
          <w:spacing w:val="40"/>
        </w:rPr>
        <w:t> </w:t>
      </w:r>
      <w:r>
        <w:rPr/>
        <w:t>Cells</w:t>
      </w:r>
      <w:r>
        <w:rPr>
          <w:spacing w:val="40"/>
        </w:rPr>
        <w:t> </w:t>
      </w:r>
      <w:r>
        <w:rPr/>
        <w:t>(SRBC)-Induced</w:t>
      </w:r>
      <w:r>
        <w:rPr>
          <w:spacing w:val="40"/>
        </w:rPr>
        <w:t> </w:t>
      </w:r>
      <w:r>
        <w:rPr/>
        <w:t>Delayed</w:t>
      </w:r>
      <w:r>
        <w:rPr>
          <w:spacing w:val="40"/>
        </w:rPr>
        <w:t> </w:t>
      </w:r>
      <w:r>
        <w:rPr/>
        <w:t>Type Hypersensitivity (DTH) Reaction in Rats Pretreated Orally for 14 days with Aqueous Ethanol Leaf Extract of </w:t>
      </w:r>
      <w:r>
        <w:rPr>
          <w:i/>
        </w:rPr>
        <w:t>C. micranthum</w:t>
      </w:r>
    </w:p>
    <w:p>
      <w:pPr>
        <w:pStyle w:val="BodyText"/>
        <w:spacing w:before="6"/>
        <w:rPr>
          <w:b/>
          <w:i/>
          <w:sz w:val="15"/>
        </w:rPr>
      </w:pPr>
      <w:r>
        <w:rPr/>
        <mc:AlternateContent>
          <mc:Choice Requires="wps">
            <w:drawing>
              <wp:anchor distT="0" distB="0" distL="0" distR="0" allowOverlap="1" layoutInCell="1" locked="0" behindDoc="1" simplePos="0" relativeHeight="487596544">
                <wp:simplePos x="0" y="0"/>
                <wp:positionH relativeFrom="page">
                  <wp:posOffset>1193596</wp:posOffset>
                </wp:positionH>
                <wp:positionV relativeFrom="paragraph">
                  <wp:posOffset>129109</wp:posOffset>
                </wp:positionV>
                <wp:extent cx="5541010" cy="1270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5541010" cy="12700"/>
                        </a:xfrm>
                        <a:custGeom>
                          <a:avLst/>
                          <a:gdLst/>
                          <a:ahLst/>
                          <a:cxnLst/>
                          <a:rect l="l" t="t" r="r" b="b"/>
                          <a:pathLst>
                            <a:path w="5541010" h="12700">
                              <a:moveTo>
                                <a:pt x="1786382" y="0"/>
                              </a:moveTo>
                              <a:lnTo>
                                <a:pt x="0" y="0"/>
                              </a:lnTo>
                              <a:lnTo>
                                <a:pt x="0" y="12179"/>
                              </a:lnTo>
                              <a:lnTo>
                                <a:pt x="1786382" y="12179"/>
                              </a:lnTo>
                              <a:lnTo>
                                <a:pt x="1786382" y="0"/>
                              </a:lnTo>
                              <a:close/>
                            </a:path>
                            <a:path w="5541010" h="12700">
                              <a:moveTo>
                                <a:pt x="5540959" y="0"/>
                              </a:moveTo>
                              <a:lnTo>
                                <a:pt x="1798650" y="0"/>
                              </a:lnTo>
                              <a:lnTo>
                                <a:pt x="1786458" y="0"/>
                              </a:lnTo>
                              <a:lnTo>
                                <a:pt x="1786458" y="12179"/>
                              </a:lnTo>
                              <a:lnTo>
                                <a:pt x="1798650" y="12179"/>
                              </a:lnTo>
                              <a:lnTo>
                                <a:pt x="5540959" y="12179"/>
                              </a:lnTo>
                              <a:lnTo>
                                <a:pt x="5540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10.166073pt;width:436.3pt;height:1pt;mso-position-horizontal-relative:page;mso-position-vertical-relative:paragraph;z-index:-15719936;mso-wrap-distance-left:0;mso-wrap-distance-right:0" id="docshape21" coordorigin="1880,203" coordsize="8726,20" path="m4693,203l1880,203,1880,223,4693,223,4693,203xm10606,203l4712,203,4693,203,4693,223,4712,223,10606,223,10606,203xe" filled="true" fillcolor="#000000" stroked="false">
                <v:path arrowok="t"/>
                <v:fill type="solid"/>
                <w10:wrap type="topAndBottom"/>
              </v:shape>
            </w:pict>
          </mc:Fallback>
        </mc:AlternateContent>
      </w:r>
    </w:p>
    <w:p>
      <w:pPr>
        <w:spacing w:before="119"/>
        <w:ind w:left="3561" w:right="0" w:firstLine="0"/>
        <w:jc w:val="left"/>
        <w:rPr>
          <w:b/>
          <w:sz w:val="24"/>
        </w:rPr>
      </w:pPr>
      <w:r>
        <w:rPr>
          <w:b/>
          <w:sz w:val="24"/>
        </w:rPr>
        <w:t>MEAN</w:t>
      </w:r>
      <w:r>
        <w:rPr>
          <w:b/>
          <w:spacing w:val="-2"/>
          <w:sz w:val="24"/>
        </w:rPr>
        <w:t> </w:t>
      </w:r>
      <w:r>
        <w:rPr>
          <w:b/>
          <w:sz w:val="24"/>
        </w:rPr>
        <w:t>±</w:t>
      </w:r>
      <w:r>
        <w:rPr>
          <w:b/>
          <w:spacing w:val="-1"/>
          <w:sz w:val="24"/>
        </w:rPr>
        <w:t> </w:t>
      </w:r>
      <w:r>
        <w:rPr>
          <w:b/>
          <w:sz w:val="24"/>
        </w:rPr>
        <w:t>SEM</w:t>
      </w:r>
      <w:r>
        <w:rPr>
          <w:b/>
          <w:spacing w:val="58"/>
          <w:sz w:val="24"/>
        </w:rPr>
        <w:t> </w:t>
      </w:r>
      <w:r>
        <w:rPr>
          <w:b/>
          <w:sz w:val="24"/>
        </w:rPr>
        <w:t>of</w:t>
      </w:r>
      <w:r>
        <w:rPr>
          <w:b/>
          <w:spacing w:val="-1"/>
          <w:sz w:val="24"/>
        </w:rPr>
        <w:t> </w:t>
      </w:r>
      <w:r>
        <w:rPr>
          <w:b/>
          <w:sz w:val="24"/>
        </w:rPr>
        <w:t>Paw Size</w:t>
      </w:r>
      <w:r>
        <w:rPr>
          <w:b/>
          <w:spacing w:val="-2"/>
          <w:sz w:val="24"/>
        </w:rPr>
        <w:t> </w:t>
      </w:r>
      <w:r>
        <w:rPr>
          <w:b/>
          <w:sz w:val="24"/>
        </w:rPr>
        <w:t>(mm)</w:t>
      </w:r>
      <w:r>
        <w:rPr>
          <w:b/>
          <w:spacing w:val="-1"/>
          <w:sz w:val="24"/>
        </w:rPr>
        <w:t> </w:t>
      </w:r>
      <w:r>
        <w:rPr>
          <w:b/>
          <w:spacing w:val="-5"/>
          <w:sz w:val="24"/>
        </w:rPr>
        <w:t>at:</w:t>
      </w:r>
    </w:p>
    <w:p>
      <w:pPr>
        <w:pStyle w:val="BodyText"/>
        <w:spacing w:before="7"/>
        <w:rPr>
          <w:b/>
          <w:sz w:val="8"/>
        </w:rPr>
      </w:pPr>
      <w:r>
        <w:rPr/>
        <mc:AlternateContent>
          <mc:Choice Requires="wps">
            <w:drawing>
              <wp:anchor distT="0" distB="0" distL="0" distR="0" allowOverlap="1" layoutInCell="1" locked="0" behindDoc="1" simplePos="0" relativeHeight="487597056">
                <wp:simplePos x="0" y="0"/>
                <wp:positionH relativeFrom="page">
                  <wp:posOffset>1193596</wp:posOffset>
                </wp:positionH>
                <wp:positionV relativeFrom="paragraph">
                  <wp:posOffset>78112</wp:posOffset>
                </wp:positionV>
                <wp:extent cx="5541010" cy="635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5541010" cy="6350"/>
                        </a:xfrm>
                        <a:custGeom>
                          <a:avLst/>
                          <a:gdLst/>
                          <a:ahLst/>
                          <a:cxnLst/>
                          <a:rect l="l" t="t" r="r" b="b"/>
                          <a:pathLst>
                            <a:path w="5541010" h="6350">
                              <a:moveTo>
                                <a:pt x="1786382" y="0"/>
                              </a:moveTo>
                              <a:lnTo>
                                <a:pt x="0" y="0"/>
                              </a:lnTo>
                              <a:lnTo>
                                <a:pt x="0" y="6083"/>
                              </a:lnTo>
                              <a:lnTo>
                                <a:pt x="1786382" y="6083"/>
                              </a:lnTo>
                              <a:lnTo>
                                <a:pt x="1786382" y="0"/>
                              </a:lnTo>
                              <a:close/>
                            </a:path>
                            <a:path w="5541010" h="6350">
                              <a:moveTo>
                                <a:pt x="5540959" y="0"/>
                              </a:moveTo>
                              <a:lnTo>
                                <a:pt x="1792554" y="0"/>
                              </a:lnTo>
                              <a:lnTo>
                                <a:pt x="1786458" y="0"/>
                              </a:lnTo>
                              <a:lnTo>
                                <a:pt x="1786458" y="6083"/>
                              </a:lnTo>
                              <a:lnTo>
                                <a:pt x="1792554" y="6083"/>
                              </a:lnTo>
                              <a:lnTo>
                                <a:pt x="5540959" y="6083"/>
                              </a:lnTo>
                              <a:lnTo>
                                <a:pt x="5540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6.150585pt;width:436.3pt;height:.5pt;mso-position-horizontal-relative:page;mso-position-vertical-relative:paragraph;z-index:-15719424;mso-wrap-distance-left:0;mso-wrap-distance-right:0" id="docshape22" coordorigin="1880,123" coordsize="8726,10" path="m4693,123l1880,123,1880,133,4693,133,4693,123xm10606,123l4703,123,4693,123,4693,133,4703,133,10606,133,10606,123xe" filled="true" fillcolor="#000000" stroked="false">
                <v:path arrowok="t"/>
                <v:fill type="solid"/>
                <w10:wrap type="topAndBottom"/>
              </v:shape>
            </w:pict>
          </mc:Fallback>
        </mc:AlternateContent>
      </w:r>
    </w:p>
    <w:p>
      <w:pPr>
        <w:spacing w:after="0"/>
        <w:rPr>
          <w:sz w:val="8"/>
        </w:rPr>
        <w:sectPr>
          <w:pgSz w:w="11910" w:h="16840"/>
          <w:pgMar w:header="0" w:footer="981" w:top="1320" w:bottom="1180" w:left="1240" w:right="560"/>
        </w:sectPr>
      </w:pPr>
    </w:p>
    <w:tbl>
      <w:tblPr>
        <w:tblW w:w="0" w:type="auto"/>
        <w:jc w:val="left"/>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7"/>
        <w:gridCol w:w="1918"/>
        <w:gridCol w:w="1962"/>
        <w:gridCol w:w="2304"/>
      </w:tblGrid>
      <w:tr>
        <w:trPr>
          <w:trHeight w:val="827" w:hRule="atLeast"/>
        </w:trPr>
        <w:tc>
          <w:tcPr>
            <w:tcW w:w="2547" w:type="dxa"/>
            <w:tcBorders>
              <w:top w:val="single" w:sz="4" w:space="0" w:color="000000"/>
              <w:bottom w:val="single" w:sz="4" w:space="0" w:color="000000"/>
            </w:tcBorders>
          </w:tcPr>
          <w:p>
            <w:pPr>
              <w:pStyle w:val="TableParagraph"/>
              <w:ind w:left="115" w:right="793"/>
              <w:rPr>
                <w:b/>
                <w:sz w:val="24"/>
              </w:rPr>
            </w:pPr>
            <w:r>
              <w:rPr>
                <w:b/>
                <w:spacing w:val="-2"/>
                <w:sz w:val="24"/>
              </w:rPr>
              <w:t>Treatment </w:t>
            </w:r>
            <w:r>
              <w:rPr>
                <w:b/>
                <w:sz w:val="24"/>
              </w:rPr>
              <w:t>Groups</w:t>
            </w:r>
            <w:r>
              <w:rPr>
                <w:b/>
                <w:spacing w:val="-15"/>
                <w:sz w:val="24"/>
              </w:rPr>
              <w:t> </w:t>
            </w:r>
            <w:r>
              <w:rPr>
                <w:b/>
                <w:sz w:val="24"/>
              </w:rPr>
              <w:t>(mg/kg)</w:t>
            </w:r>
          </w:p>
        </w:tc>
        <w:tc>
          <w:tcPr>
            <w:tcW w:w="1918" w:type="dxa"/>
            <w:tcBorders>
              <w:top w:val="single" w:sz="4" w:space="0" w:color="000000"/>
              <w:bottom w:val="single" w:sz="4" w:space="0" w:color="000000"/>
            </w:tcBorders>
          </w:tcPr>
          <w:p>
            <w:pPr>
              <w:pStyle w:val="TableParagraph"/>
              <w:spacing w:before="117"/>
              <w:ind w:left="381"/>
              <w:rPr>
                <w:b/>
                <w:sz w:val="24"/>
              </w:rPr>
            </w:pPr>
            <w:r>
              <w:rPr>
                <w:b/>
                <w:sz w:val="24"/>
              </w:rPr>
              <w:t>0 </w:t>
            </w:r>
            <w:r>
              <w:rPr>
                <w:b/>
                <w:spacing w:val="-4"/>
                <w:sz w:val="24"/>
              </w:rPr>
              <w:t>hour</w:t>
            </w:r>
          </w:p>
        </w:tc>
        <w:tc>
          <w:tcPr>
            <w:tcW w:w="1962" w:type="dxa"/>
            <w:tcBorders>
              <w:top w:val="single" w:sz="4" w:space="0" w:color="000000"/>
              <w:bottom w:val="single" w:sz="4" w:space="0" w:color="000000"/>
            </w:tcBorders>
          </w:tcPr>
          <w:p>
            <w:pPr>
              <w:pStyle w:val="TableParagraph"/>
              <w:spacing w:before="117"/>
              <w:ind w:left="446"/>
              <w:rPr>
                <w:b/>
                <w:sz w:val="24"/>
              </w:rPr>
            </w:pPr>
            <w:r>
              <w:rPr>
                <w:b/>
                <w:sz w:val="24"/>
              </w:rPr>
              <w:t>3 </w:t>
            </w:r>
            <w:r>
              <w:rPr>
                <w:b/>
                <w:spacing w:val="-2"/>
                <w:sz w:val="24"/>
              </w:rPr>
              <w:t>hours</w:t>
            </w:r>
          </w:p>
        </w:tc>
        <w:tc>
          <w:tcPr>
            <w:tcW w:w="2304" w:type="dxa"/>
            <w:tcBorders>
              <w:top w:val="single" w:sz="4" w:space="0" w:color="000000"/>
              <w:bottom w:val="single" w:sz="4" w:space="0" w:color="000000"/>
            </w:tcBorders>
          </w:tcPr>
          <w:p>
            <w:pPr>
              <w:pStyle w:val="TableParagraph"/>
              <w:spacing w:before="117"/>
              <w:ind w:left="426"/>
              <w:rPr>
                <w:b/>
                <w:sz w:val="24"/>
              </w:rPr>
            </w:pPr>
            <w:r>
              <w:rPr>
                <w:b/>
                <w:sz w:val="24"/>
              </w:rPr>
              <w:t>24 </w:t>
            </w:r>
            <w:r>
              <w:rPr>
                <w:b/>
                <w:spacing w:val="-2"/>
                <w:sz w:val="24"/>
              </w:rPr>
              <w:t>hours</w:t>
            </w:r>
          </w:p>
        </w:tc>
      </w:tr>
      <w:tr>
        <w:trPr>
          <w:trHeight w:val="650" w:hRule="atLeast"/>
        </w:trPr>
        <w:tc>
          <w:tcPr>
            <w:tcW w:w="2547" w:type="dxa"/>
            <w:tcBorders>
              <w:top w:val="single" w:sz="4" w:space="0" w:color="000000"/>
            </w:tcBorders>
          </w:tcPr>
          <w:p>
            <w:pPr>
              <w:pStyle w:val="TableParagraph"/>
              <w:spacing w:before="111"/>
              <w:ind w:left="115"/>
              <w:rPr>
                <w:sz w:val="24"/>
              </w:rPr>
            </w:pPr>
            <w:r>
              <w:rPr>
                <w:sz w:val="24"/>
              </w:rPr>
              <w:t>Control</w:t>
            </w:r>
            <w:r>
              <w:rPr>
                <w:spacing w:val="60"/>
                <w:sz w:val="24"/>
              </w:rPr>
              <w:t> </w:t>
            </w:r>
            <w:r>
              <w:rPr>
                <w:sz w:val="24"/>
              </w:rPr>
              <w:t>(1 </w:t>
            </w:r>
            <w:r>
              <w:rPr>
                <w:spacing w:val="-2"/>
                <w:sz w:val="24"/>
              </w:rPr>
              <w:t>ml/kg)</w:t>
            </w:r>
          </w:p>
        </w:tc>
        <w:tc>
          <w:tcPr>
            <w:tcW w:w="1918" w:type="dxa"/>
            <w:tcBorders>
              <w:top w:val="single" w:sz="4" w:space="0" w:color="000000"/>
            </w:tcBorders>
          </w:tcPr>
          <w:p>
            <w:pPr>
              <w:pStyle w:val="TableParagraph"/>
              <w:spacing w:before="111"/>
              <w:ind w:left="381"/>
              <w:rPr>
                <w:sz w:val="24"/>
              </w:rPr>
            </w:pPr>
            <w:r>
              <w:rPr>
                <w:sz w:val="24"/>
              </w:rPr>
              <w:t>2.81 ± </w:t>
            </w:r>
            <w:r>
              <w:rPr>
                <w:spacing w:val="-4"/>
                <w:sz w:val="24"/>
              </w:rPr>
              <w:t>0.95</w:t>
            </w:r>
          </w:p>
        </w:tc>
        <w:tc>
          <w:tcPr>
            <w:tcW w:w="1962" w:type="dxa"/>
            <w:tcBorders>
              <w:top w:val="single" w:sz="4" w:space="0" w:color="000000"/>
            </w:tcBorders>
          </w:tcPr>
          <w:p>
            <w:pPr>
              <w:pStyle w:val="TableParagraph"/>
              <w:spacing w:before="111"/>
              <w:ind w:left="446"/>
              <w:rPr>
                <w:sz w:val="24"/>
              </w:rPr>
            </w:pPr>
            <w:r>
              <w:rPr>
                <w:sz w:val="24"/>
              </w:rPr>
              <w:t>4.37 ± </w:t>
            </w:r>
            <w:r>
              <w:rPr>
                <w:spacing w:val="-5"/>
                <w:sz w:val="24"/>
              </w:rPr>
              <w:t>.23</w:t>
            </w:r>
          </w:p>
        </w:tc>
        <w:tc>
          <w:tcPr>
            <w:tcW w:w="2304" w:type="dxa"/>
            <w:tcBorders>
              <w:top w:val="single" w:sz="4" w:space="0" w:color="000000"/>
            </w:tcBorders>
          </w:tcPr>
          <w:p>
            <w:pPr>
              <w:pStyle w:val="TableParagraph"/>
              <w:spacing w:before="111"/>
              <w:ind w:left="426"/>
              <w:rPr>
                <w:sz w:val="24"/>
              </w:rPr>
            </w:pPr>
            <w:r>
              <w:rPr>
                <w:sz w:val="24"/>
              </w:rPr>
              <w:t>3.70 ± </w:t>
            </w:r>
            <w:r>
              <w:rPr>
                <w:spacing w:val="-4"/>
                <w:sz w:val="24"/>
              </w:rPr>
              <w:t>0.11</w:t>
            </w:r>
          </w:p>
        </w:tc>
      </w:tr>
      <w:tr>
        <w:trPr>
          <w:trHeight w:val="792" w:hRule="atLeast"/>
        </w:trPr>
        <w:tc>
          <w:tcPr>
            <w:tcW w:w="2547" w:type="dxa"/>
          </w:tcPr>
          <w:p>
            <w:pPr>
              <w:pStyle w:val="TableParagraph"/>
              <w:spacing w:before="253"/>
              <w:ind w:left="115"/>
              <w:rPr>
                <w:sz w:val="24"/>
              </w:rPr>
            </w:pPr>
            <w:r>
              <w:rPr>
                <w:sz w:val="24"/>
              </w:rPr>
              <w:t>CM </w:t>
            </w:r>
            <w:r>
              <w:rPr>
                <w:spacing w:val="-4"/>
                <w:sz w:val="24"/>
              </w:rPr>
              <w:t>(50)</w:t>
            </w:r>
          </w:p>
        </w:tc>
        <w:tc>
          <w:tcPr>
            <w:tcW w:w="1918" w:type="dxa"/>
          </w:tcPr>
          <w:p>
            <w:pPr>
              <w:pStyle w:val="TableParagraph"/>
              <w:spacing w:before="253"/>
              <w:ind w:left="381"/>
              <w:rPr>
                <w:sz w:val="24"/>
              </w:rPr>
            </w:pPr>
            <w:r>
              <w:rPr>
                <w:sz w:val="24"/>
              </w:rPr>
              <w:t>2.70 ± </w:t>
            </w:r>
            <w:r>
              <w:rPr>
                <w:spacing w:val="-4"/>
                <w:sz w:val="24"/>
              </w:rPr>
              <w:t>0.81</w:t>
            </w:r>
          </w:p>
        </w:tc>
        <w:tc>
          <w:tcPr>
            <w:tcW w:w="1962" w:type="dxa"/>
          </w:tcPr>
          <w:p>
            <w:pPr>
              <w:pStyle w:val="TableParagraph"/>
              <w:spacing w:before="253"/>
              <w:ind w:left="446"/>
              <w:rPr>
                <w:sz w:val="24"/>
              </w:rPr>
            </w:pPr>
            <w:r>
              <w:rPr>
                <w:sz w:val="24"/>
              </w:rPr>
              <w:t>5.06 ± </w:t>
            </w:r>
            <w:r>
              <w:rPr>
                <w:spacing w:val="-4"/>
                <w:sz w:val="24"/>
              </w:rPr>
              <w:t>0.29</w:t>
            </w:r>
          </w:p>
        </w:tc>
        <w:tc>
          <w:tcPr>
            <w:tcW w:w="2304" w:type="dxa"/>
          </w:tcPr>
          <w:p>
            <w:pPr>
              <w:pStyle w:val="TableParagraph"/>
              <w:spacing w:before="253"/>
              <w:ind w:left="426"/>
              <w:rPr>
                <w:sz w:val="24"/>
              </w:rPr>
            </w:pPr>
            <w:r>
              <w:rPr>
                <w:sz w:val="24"/>
              </w:rPr>
              <w:t>4.37 ± </w:t>
            </w:r>
            <w:r>
              <w:rPr>
                <w:spacing w:val="-2"/>
                <w:sz w:val="24"/>
              </w:rPr>
              <w:t>0.10*</w:t>
            </w:r>
          </w:p>
        </w:tc>
      </w:tr>
      <w:tr>
        <w:trPr>
          <w:trHeight w:val="791" w:hRule="atLeast"/>
        </w:trPr>
        <w:tc>
          <w:tcPr>
            <w:tcW w:w="2547" w:type="dxa"/>
          </w:tcPr>
          <w:p>
            <w:pPr>
              <w:pStyle w:val="TableParagraph"/>
              <w:spacing w:before="253"/>
              <w:ind w:left="115"/>
              <w:rPr>
                <w:sz w:val="24"/>
              </w:rPr>
            </w:pPr>
            <w:r>
              <w:rPr>
                <w:sz w:val="24"/>
              </w:rPr>
              <w:t>CM </w:t>
            </w:r>
            <w:r>
              <w:rPr>
                <w:spacing w:val="-2"/>
                <w:sz w:val="24"/>
              </w:rPr>
              <w:t>(100)</w:t>
            </w:r>
          </w:p>
        </w:tc>
        <w:tc>
          <w:tcPr>
            <w:tcW w:w="1918" w:type="dxa"/>
          </w:tcPr>
          <w:p>
            <w:pPr>
              <w:pStyle w:val="TableParagraph"/>
              <w:spacing w:before="253"/>
              <w:ind w:left="381"/>
              <w:rPr>
                <w:sz w:val="24"/>
              </w:rPr>
            </w:pPr>
            <w:r>
              <w:rPr>
                <w:sz w:val="24"/>
              </w:rPr>
              <w:t>2.69 ± </w:t>
            </w:r>
            <w:r>
              <w:rPr>
                <w:spacing w:val="-4"/>
                <w:sz w:val="24"/>
              </w:rPr>
              <w:t>0.06</w:t>
            </w:r>
          </w:p>
        </w:tc>
        <w:tc>
          <w:tcPr>
            <w:tcW w:w="1962" w:type="dxa"/>
          </w:tcPr>
          <w:p>
            <w:pPr>
              <w:pStyle w:val="TableParagraph"/>
              <w:spacing w:before="253"/>
              <w:ind w:left="446"/>
              <w:rPr>
                <w:sz w:val="24"/>
              </w:rPr>
            </w:pPr>
            <w:r>
              <w:rPr>
                <w:sz w:val="24"/>
              </w:rPr>
              <w:t>4.68 ± </w:t>
            </w:r>
            <w:r>
              <w:rPr>
                <w:spacing w:val="-4"/>
                <w:sz w:val="24"/>
              </w:rPr>
              <w:t>0.24</w:t>
            </w:r>
          </w:p>
        </w:tc>
        <w:tc>
          <w:tcPr>
            <w:tcW w:w="2304" w:type="dxa"/>
          </w:tcPr>
          <w:p>
            <w:pPr>
              <w:pStyle w:val="TableParagraph"/>
              <w:spacing w:before="253"/>
              <w:ind w:left="426"/>
              <w:rPr>
                <w:sz w:val="24"/>
              </w:rPr>
            </w:pPr>
            <w:r>
              <w:rPr>
                <w:sz w:val="24"/>
              </w:rPr>
              <w:t>5.59 ± </w:t>
            </w:r>
            <w:r>
              <w:rPr>
                <w:spacing w:val="-2"/>
                <w:sz w:val="24"/>
              </w:rPr>
              <w:t>0.84***</w:t>
            </w:r>
          </w:p>
        </w:tc>
      </w:tr>
      <w:tr>
        <w:trPr>
          <w:trHeight w:val="792" w:hRule="atLeast"/>
        </w:trPr>
        <w:tc>
          <w:tcPr>
            <w:tcW w:w="2547" w:type="dxa"/>
          </w:tcPr>
          <w:p>
            <w:pPr>
              <w:pStyle w:val="TableParagraph"/>
              <w:spacing w:before="253"/>
              <w:ind w:left="115"/>
              <w:rPr>
                <w:sz w:val="24"/>
              </w:rPr>
            </w:pPr>
            <w:r>
              <w:rPr>
                <w:sz w:val="24"/>
              </w:rPr>
              <w:t>CM </w:t>
            </w:r>
            <w:r>
              <w:rPr>
                <w:spacing w:val="-2"/>
                <w:sz w:val="24"/>
              </w:rPr>
              <w:t>(200)</w:t>
            </w:r>
          </w:p>
        </w:tc>
        <w:tc>
          <w:tcPr>
            <w:tcW w:w="1918" w:type="dxa"/>
          </w:tcPr>
          <w:p>
            <w:pPr>
              <w:pStyle w:val="TableParagraph"/>
              <w:spacing w:before="253"/>
              <w:ind w:left="381"/>
              <w:rPr>
                <w:sz w:val="24"/>
              </w:rPr>
            </w:pPr>
            <w:r>
              <w:rPr>
                <w:sz w:val="24"/>
              </w:rPr>
              <w:t>2.47 ± </w:t>
            </w:r>
            <w:r>
              <w:rPr>
                <w:spacing w:val="-4"/>
                <w:sz w:val="24"/>
              </w:rPr>
              <w:t>0.35</w:t>
            </w:r>
          </w:p>
        </w:tc>
        <w:tc>
          <w:tcPr>
            <w:tcW w:w="1962" w:type="dxa"/>
          </w:tcPr>
          <w:p>
            <w:pPr>
              <w:pStyle w:val="TableParagraph"/>
              <w:spacing w:before="253"/>
              <w:ind w:left="446"/>
              <w:rPr>
                <w:sz w:val="24"/>
              </w:rPr>
            </w:pPr>
            <w:r>
              <w:rPr>
                <w:sz w:val="24"/>
              </w:rPr>
              <w:t>5.56 ± </w:t>
            </w:r>
            <w:r>
              <w:rPr>
                <w:spacing w:val="-4"/>
                <w:sz w:val="24"/>
              </w:rPr>
              <w:t>0.15</w:t>
            </w:r>
          </w:p>
        </w:tc>
        <w:tc>
          <w:tcPr>
            <w:tcW w:w="2304" w:type="dxa"/>
          </w:tcPr>
          <w:p>
            <w:pPr>
              <w:pStyle w:val="TableParagraph"/>
              <w:spacing w:before="253"/>
              <w:ind w:left="426"/>
              <w:rPr>
                <w:sz w:val="24"/>
              </w:rPr>
            </w:pPr>
            <w:r>
              <w:rPr>
                <w:sz w:val="24"/>
              </w:rPr>
              <w:t>4.52 ± </w:t>
            </w:r>
            <w:r>
              <w:rPr>
                <w:spacing w:val="-2"/>
                <w:sz w:val="24"/>
              </w:rPr>
              <w:t>0.18**</w:t>
            </w:r>
          </w:p>
        </w:tc>
      </w:tr>
      <w:tr>
        <w:trPr>
          <w:trHeight w:val="933" w:hRule="atLeast"/>
        </w:trPr>
        <w:tc>
          <w:tcPr>
            <w:tcW w:w="2547" w:type="dxa"/>
            <w:tcBorders>
              <w:bottom w:val="single" w:sz="4" w:space="0" w:color="000000"/>
            </w:tcBorders>
          </w:tcPr>
          <w:p>
            <w:pPr>
              <w:pStyle w:val="TableParagraph"/>
              <w:spacing w:before="253"/>
              <w:ind w:left="115"/>
              <w:rPr>
                <w:sz w:val="24"/>
              </w:rPr>
            </w:pPr>
            <w:r>
              <w:rPr>
                <w:sz w:val="24"/>
              </w:rPr>
              <w:t>Dexamethasone</w:t>
            </w:r>
            <w:r>
              <w:rPr>
                <w:spacing w:val="-3"/>
                <w:sz w:val="24"/>
              </w:rPr>
              <w:t> </w:t>
            </w:r>
            <w:r>
              <w:rPr>
                <w:spacing w:val="-2"/>
                <w:sz w:val="24"/>
              </w:rPr>
              <w:t>(0.2)</w:t>
            </w:r>
          </w:p>
        </w:tc>
        <w:tc>
          <w:tcPr>
            <w:tcW w:w="1918" w:type="dxa"/>
            <w:tcBorders>
              <w:bottom w:val="single" w:sz="4" w:space="0" w:color="000000"/>
            </w:tcBorders>
          </w:tcPr>
          <w:p>
            <w:pPr>
              <w:pStyle w:val="TableParagraph"/>
              <w:spacing w:before="253"/>
              <w:ind w:left="381"/>
              <w:rPr>
                <w:sz w:val="24"/>
              </w:rPr>
            </w:pPr>
            <w:r>
              <w:rPr>
                <w:sz w:val="24"/>
              </w:rPr>
              <w:t>2.31 ± </w:t>
            </w:r>
            <w:r>
              <w:rPr>
                <w:spacing w:val="-4"/>
                <w:sz w:val="24"/>
              </w:rPr>
              <w:t>0.47</w:t>
            </w:r>
          </w:p>
        </w:tc>
        <w:tc>
          <w:tcPr>
            <w:tcW w:w="1962" w:type="dxa"/>
            <w:tcBorders>
              <w:bottom w:val="single" w:sz="4" w:space="0" w:color="000000"/>
            </w:tcBorders>
          </w:tcPr>
          <w:p>
            <w:pPr>
              <w:pStyle w:val="TableParagraph"/>
              <w:spacing w:before="253"/>
              <w:ind w:left="446"/>
              <w:rPr>
                <w:sz w:val="24"/>
              </w:rPr>
            </w:pPr>
            <w:r>
              <w:rPr>
                <w:sz w:val="24"/>
              </w:rPr>
              <w:t>4.14 ± </w:t>
            </w:r>
            <w:r>
              <w:rPr>
                <w:spacing w:val="-4"/>
                <w:sz w:val="24"/>
              </w:rPr>
              <w:t>0.23</w:t>
            </w:r>
          </w:p>
        </w:tc>
        <w:tc>
          <w:tcPr>
            <w:tcW w:w="2304" w:type="dxa"/>
            <w:tcBorders>
              <w:bottom w:val="single" w:sz="4" w:space="0" w:color="000000"/>
            </w:tcBorders>
          </w:tcPr>
          <w:p>
            <w:pPr>
              <w:pStyle w:val="TableParagraph"/>
              <w:spacing w:before="253"/>
              <w:ind w:left="426"/>
              <w:rPr>
                <w:b/>
                <w:sz w:val="24"/>
              </w:rPr>
            </w:pPr>
            <w:r>
              <w:rPr>
                <w:sz w:val="24"/>
              </w:rPr>
              <w:t>3.00 ± </w:t>
            </w:r>
            <w:r>
              <w:rPr>
                <w:spacing w:val="-2"/>
                <w:sz w:val="24"/>
              </w:rPr>
              <w:t>0.16</w:t>
            </w:r>
            <w:r>
              <w:rPr>
                <w:b/>
                <w:spacing w:val="-2"/>
                <w:sz w:val="24"/>
              </w:rPr>
              <w:t>*</w:t>
            </w:r>
          </w:p>
        </w:tc>
      </w:tr>
    </w:tbl>
    <w:p>
      <w:pPr>
        <w:pStyle w:val="BodyText"/>
        <w:spacing w:line="242" w:lineRule="auto" w:before="7"/>
        <w:ind w:left="747" w:right="847"/>
        <w:rPr>
          <w:i/>
        </w:rPr>
      </w:pPr>
      <w:r>
        <w:rPr/>
        <w:t>n = 5</w:t>
      </w:r>
      <w:r>
        <w:rPr>
          <w:b/>
        </w:rPr>
        <w:t>; </w:t>
      </w:r>
      <w:r>
        <w:rPr/>
        <w:t>* = P&lt; 0.05, ** = P &lt; 0.01, *** = P &lt; 0.001 (One Way ANOVA and Bonferroni post hoc test), CM = </w:t>
      </w:r>
      <w:r>
        <w:rPr>
          <w:i/>
        </w:rPr>
        <w:t>C. micranthum</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41"/>
        <w:rPr>
          <w:i/>
        </w:rPr>
      </w:pPr>
    </w:p>
    <w:p>
      <w:pPr>
        <w:pStyle w:val="Heading2"/>
        <w:numPr>
          <w:ilvl w:val="1"/>
          <w:numId w:val="22"/>
        </w:numPr>
        <w:tabs>
          <w:tab w:pos="1467" w:val="left" w:leader="none"/>
        </w:tabs>
        <w:spacing w:line="240" w:lineRule="auto" w:before="0" w:after="0"/>
        <w:ind w:left="1467" w:right="0" w:hanging="720"/>
        <w:jc w:val="left"/>
      </w:pPr>
      <w:r>
        <w:rPr/>
        <w:t>Effect</w:t>
      </w:r>
      <w:r>
        <w:rPr>
          <w:spacing w:val="-2"/>
        </w:rPr>
        <w:t> </w:t>
      </w:r>
      <w:r>
        <w:rPr/>
        <w:t>of</w:t>
      </w:r>
      <w:r>
        <w:rPr>
          <w:spacing w:val="-1"/>
        </w:rPr>
        <w:t> </w:t>
      </w:r>
      <w:r>
        <w:rPr/>
        <w:t>the</w:t>
      </w:r>
      <w:r>
        <w:rPr>
          <w:spacing w:val="-2"/>
        </w:rPr>
        <w:t> </w:t>
      </w:r>
      <w:r>
        <w:rPr/>
        <w:t>Extract</w:t>
      </w:r>
      <w:r>
        <w:rPr>
          <w:spacing w:val="-2"/>
        </w:rPr>
        <w:t> </w:t>
      </w:r>
      <w:r>
        <w:rPr/>
        <w:t>on</w:t>
      </w:r>
      <w:r>
        <w:rPr>
          <w:spacing w:val="3"/>
        </w:rPr>
        <w:t> </w:t>
      </w:r>
      <w:r>
        <w:rPr>
          <w:i/>
        </w:rPr>
        <w:t>E.</w:t>
      </w:r>
      <w:r>
        <w:rPr>
          <w:i/>
          <w:spacing w:val="-1"/>
        </w:rPr>
        <w:t> </w:t>
      </w:r>
      <w:r>
        <w:rPr>
          <w:i/>
        </w:rPr>
        <w:t>coli</w:t>
      </w:r>
      <w:r>
        <w:rPr/>
        <w:t>-Induced</w:t>
      </w:r>
      <w:r>
        <w:rPr>
          <w:spacing w:val="-2"/>
        </w:rPr>
        <w:t> </w:t>
      </w:r>
      <w:r>
        <w:rPr/>
        <w:t>Abdominal</w:t>
      </w:r>
      <w:r>
        <w:rPr>
          <w:spacing w:val="-1"/>
        </w:rPr>
        <w:t> </w:t>
      </w:r>
      <w:r>
        <w:rPr/>
        <w:t>Sepsis</w:t>
      </w:r>
      <w:r>
        <w:rPr>
          <w:spacing w:val="-1"/>
        </w:rPr>
        <w:t> </w:t>
      </w:r>
      <w:r>
        <w:rPr/>
        <w:t>in </w:t>
      </w:r>
      <w:r>
        <w:rPr>
          <w:spacing w:val="-4"/>
        </w:rPr>
        <w:t>Mice</w:t>
      </w:r>
    </w:p>
    <w:p>
      <w:pPr>
        <w:pStyle w:val="BodyText"/>
        <w:spacing w:line="480" w:lineRule="auto" w:before="271"/>
        <w:ind w:left="747" w:right="842"/>
      </w:pPr>
      <w:r>
        <w:rPr/>
        <w:t>The</w:t>
      </w:r>
      <w:r>
        <w:rPr>
          <w:spacing w:val="22"/>
        </w:rPr>
        <w:t> </w:t>
      </w:r>
      <w:r>
        <w:rPr/>
        <w:t>septic</w:t>
      </w:r>
      <w:r>
        <w:rPr>
          <w:spacing w:val="22"/>
        </w:rPr>
        <w:t> </w:t>
      </w:r>
      <w:r>
        <w:rPr/>
        <w:t>bacteremic</w:t>
      </w:r>
      <w:r>
        <w:rPr>
          <w:spacing w:val="24"/>
        </w:rPr>
        <w:t> </w:t>
      </w:r>
      <w:r>
        <w:rPr/>
        <w:t>effect</w:t>
      </w:r>
      <w:r>
        <w:rPr>
          <w:spacing w:val="23"/>
        </w:rPr>
        <w:t> </w:t>
      </w:r>
      <w:r>
        <w:rPr/>
        <w:t>of</w:t>
      </w:r>
      <w:r>
        <w:rPr>
          <w:spacing w:val="23"/>
        </w:rPr>
        <w:t> </w:t>
      </w:r>
      <w:r>
        <w:rPr>
          <w:i/>
        </w:rPr>
        <w:t>E</w:t>
      </w:r>
      <w:r>
        <w:rPr>
          <w:i/>
          <w:spacing w:val="25"/>
        </w:rPr>
        <w:t> </w:t>
      </w:r>
      <w:r>
        <w:rPr>
          <w:i/>
        </w:rPr>
        <w:t>.coli</w:t>
      </w:r>
      <w:r>
        <w:rPr>
          <w:i/>
          <w:spacing w:val="24"/>
        </w:rPr>
        <w:t> </w:t>
      </w:r>
      <w:r>
        <w:rPr/>
        <w:t>was</w:t>
      </w:r>
      <w:r>
        <w:rPr>
          <w:spacing w:val="23"/>
        </w:rPr>
        <w:t> </w:t>
      </w:r>
      <w:r>
        <w:rPr/>
        <w:t>very</w:t>
      </w:r>
      <w:r>
        <w:rPr>
          <w:spacing w:val="20"/>
        </w:rPr>
        <w:t> </w:t>
      </w:r>
      <w:r>
        <w:rPr/>
        <w:t>pronounced</w:t>
      </w:r>
      <w:r>
        <w:rPr>
          <w:spacing w:val="25"/>
        </w:rPr>
        <w:t> </w:t>
      </w:r>
      <w:r>
        <w:rPr/>
        <w:t>as</w:t>
      </w:r>
      <w:r>
        <w:rPr>
          <w:spacing w:val="23"/>
        </w:rPr>
        <w:t> </w:t>
      </w:r>
      <w:r>
        <w:rPr/>
        <w:t>seen</w:t>
      </w:r>
      <w:r>
        <w:rPr>
          <w:spacing w:val="25"/>
        </w:rPr>
        <w:t> </w:t>
      </w:r>
      <w:r>
        <w:rPr/>
        <w:t>from</w:t>
      </w:r>
      <w:r>
        <w:rPr>
          <w:spacing w:val="26"/>
        </w:rPr>
        <w:t> </w:t>
      </w:r>
      <w:r>
        <w:rPr/>
        <w:t>the</w:t>
      </w:r>
      <w:r>
        <w:rPr>
          <w:spacing w:val="22"/>
        </w:rPr>
        <w:t> </w:t>
      </w:r>
      <w:r>
        <w:rPr/>
        <w:t>control group</w:t>
      </w:r>
      <w:r>
        <w:rPr>
          <w:spacing w:val="65"/>
        </w:rPr>
        <w:t> </w:t>
      </w:r>
      <w:r>
        <w:rPr/>
        <w:t>in</w:t>
      </w:r>
      <w:r>
        <w:rPr>
          <w:spacing w:val="69"/>
        </w:rPr>
        <w:t> </w:t>
      </w:r>
      <w:r>
        <w:rPr/>
        <w:t>which</w:t>
      </w:r>
      <w:r>
        <w:rPr>
          <w:spacing w:val="70"/>
        </w:rPr>
        <w:t> </w:t>
      </w:r>
      <w:r>
        <w:rPr/>
        <w:t>all</w:t>
      </w:r>
      <w:r>
        <w:rPr>
          <w:spacing w:val="70"/>
        </w:rPr>
        <w:t> </w:t>
      </w:r>
      <w:r>
        <w:rPr/>
        <w:t>the</w:t>
      </w:r>
      <w:r>
        <w:rPr>
          <w:spacing w:val="67"/>
        </w:rPr>
        <w:t> </w:t>
      </w:r>
      <w:r>
        <w:rPr/>
        <w:t>mice</w:t>
      </w:r>
      <w:r>
        <w:rPr>
          <w:spacing w:val="68"/>
        </w:rPr>
        <w:t> </w:t>
      </w:r>
      <w:r>
        <w:rPr/>
        <w:t>died</w:t>
      </w:r>
      <w:r>
        <w:rPr>
          <w:spacing w:val="68"/>
        </w:rPr>
        <w:t> </w:t>
      </w:r>
      <w:r>
        <w:rPr/>
        <w:t>at</w:t>
      </w:r>
      <w:r>
        <w:rPr>
          <w:spacing w:val="68"/>
        </w:rPr>
        <w:t> </w:t>
      </w:r>
      <w:r>
        <w:rPr/>
        <w:t>intervals</w:t>
      </w:r>
      <w:r>
        <w:rPr>
          <w:spacing w:val="72"/>
        </w:rPr>
        <w:t> </w:t>
      </w:r>
      <w:r>
        <w:rPr/>
        <w:t>within</w:t>
      </w:r>
      <w:r>
        <w:rPr>
          <w:spacing w:val="68"/>
        </w:rPr>
        <w:t> </w:t>
      </w:r>
      <w:r>
        <w:rPr/>
        <w:t>24</w:t>
      </w:r>
      <w:r>
        <w:rPr>
          <w:spacing w:val="69"/>
        </w:rPr>
        <w:t> </w:t>
      </w:r>
      <w:r>
        <w:rPr/>
        <w:t>hours.</w:t>
      </w:r>
      <w:r>
        <w:rPr>
          <w:spacing w:val="67"/>
        </w:rPr>
        <w:t> </w:t>
      </w:r>
      <w:r>
        <w:rPr/>
        <w:t>The</w:t>
      </w:r>
      <w:r>
        <w:rPr>
          <w:spacing w:val="68"/>
        </w:rPr>
        <w:t> </w:t>
      </w:r>
      <w:r>
        <w:rPr/>
        <w:t>three</w:t>
      </w:r>
      <w:r>
        <w:rPr>
          <w:spacing w:val="68"/>
        </w:rPr>
        <w:t> </w:t>
      </w:r>
      <w:r>
        <w:rPr>
          <w:spacing w:val="-2"/>
        </w:rPr>
        <w:t>extract</w:t>
      </w:r>
    </w:p>
    <w:p>
      <w:pPr>
        <w:spacing w:after="0" w:line="480" w:lineRule="auto"/>
        <w:sectPr>
          <w:pgSz w:w="11910" w:h="16840"/>
          <w:pgMar w:header="0" w:footer="981" w:top="1380" w:bottom="1180" w:left="1240" w:right="560"/>
        </w:sectPr>
      </w:pPr>
    </w:p>
    <w:p>
      <w:pPr>
        <w:pStyle w:val="BodyText"/>
        <w:spacing w:line="480" w:lineRule="auto" w:before="64"/>
        <w:ind w:left="747" w:right="845"/>
        <w:jc w:val="both"/>
      </w:pPr>
      <w:r>
        <w:rPr/>
        <w:t>pretreated groups of mice (50, 100 and 200 mg/kg) produced 100% protection whereby none of the mice in any of these groups died up to the 72 hours of observation and even beyond. The post mortem histological analysis of one control dead mouse’ abdomen (stomach and intestinal mucosa) and that of one from the 50 mg/kg extract pretreated group (Plate III) showed that only the stomach of the control mouse was grossly eroded with ulceration, while the intestines of both mice (Plate IV) retained their normal features (Table 4.4).</w:t>
      </w:r>
    </w:p>
    <w:p>
      <w:pPr>
        <w:pStyle w:val="Heading2"/>
        <w:spacing w:line="242" w:lineRule="auto" w:before="206"/>
        <w:ind w:left="1887" w:right="1314" w:hanging="1140"/>
        <w:jc w:val="both"/>
      </w:pPr>
      <w:r>
        <w:rPr/>
        <w:t>Table</w:t>
      </w:r>
      <w:r>
        <w:rPr>
          <w:spacing w:val="-3"/>
        </w:rPr>
        <w:t> </w:t>
      </w:r>
      <w:r>
        <w:rPr/>
        <w:t>4.4:</w:t>
      </w:r>
      <w:r>
        <w:rPr>
          <w:spacing w:val="80"/>
        </w:rPr>
        <w:t> </w:t>
      </w:r>
      <w:r>
        <w:rPr/>
        <w:t>Protective</w:t>
      </w:r>
      <w:r>
        <w:rPr>
          <w:spacing w:val="-3"/>
        </w:rPr>
        <w:t> </w:t>
      </w:r>
      <w:r>
        <w:rPr/>
        <w:t>Effect</w:t>
      </w:r>
      <w:r>
        <w:rPr>
          <w:spacing w:val="-3"/>
        </w:rPr>
        <w:t> </w:t>
      </w:r>
      <w:r>
        <w:rPr/>
        <w:t>of </w:t>
      </w:r>
      <w:r>
        <w:rPr>
          <w:i/>
        </w:rPr>
        <w:t>C.</w:t>
      </w:r>
      <w:r>
        <w:rPr>
          <w:i/>
          <w:spacing w:val="-5"/>
        </w:rPr>
        <w:t> </w:t>
      </w:r>
      <w:r>
        <w:rPr>
          <w:i/>
        </w:rPr>
        <w:t>micranthum</w:t>
      </w:r>
      <w:r>
        <w:rPr>
          <w:i/>
          <w:spacing w:val="-3"/>
        </w:rPr>
        <w:t> </w:t>
      </w:r>
      <w:r>
        <w:rPr/>
        <w:t>Leaf</w:t>
      </w:r>
      <w:r>
        <w:rPr>
          <w:spacing w:val="-2"/>
        </w:rPr>
        <w:t> </w:t>
      </w:r>
      <w:r>
        <w:rPr/>
        <w:t>Extract</w:t>
      </w:r>
      <w:r>
        <w:rPr>
          <w:spacing w:val="-3"/>
        </w:rPr>
        <w:t> </w:t>
      </w:r>
      <w:r>
        <w:rPr/>
        <w:t>on</w:t>
      </w:r>
      <w:r>
        <w:rPr>
          <w:spacing w:val="-2"/>
        </w:rPr>
        <w:t> </w:t>
      </w:r>
      <w:r>
        <w:rPr>
          <w:i/>
        </w:rPr>
        <w:t>E.</w:t>
      </w:r>
      <w:r>
        <w:rPr>
          <w:i/>
          <w:spacing w:val="-3"/>
        </w:rPr>
        <w:t> </w:t>
      </w:r>
      <w:r>
        <w:rPr>
          <w:i/>
        </w:rPr>
        <w:t>coli</w:t>
      </w:r>
      <w:r>
        <w:rPr/>
        <w:t>-Induced Abdominal Sepsis in 15 Days orally Pretreated Mice</w:t>
      </w:r>
    </w:p>
    <w:p>
      <w:pPr>
        <w:pStyle w:val="BodyText"/>
        <w:spacing w:before="1"/>
        <w:rPr>
          <w:b/>
          <w:sz w:val="17"/>
        </w:rPr>
      </w:pPr>
    </w:p>
    <w:tbl>
      <w:tblPr>
        <w:tblW w:w="0" w:type="auto"/>
        <w:jc w:val="left"/>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4"/>
        <w:gridCol w:w="1288"/>
        <w:gridCol w:w="1243"/>
        <w:gridCol w:w="1366"/>
        <w:gridCol w:w="1368"/>
        <w:gridCol w:w="1562"/>
      </w:tblGrid>
      <w:tr>
        <w:trPr>
          <w:trHeight w:val="1190" w:hRule="atLeast"/>
        </w:trPr>
        <w:tc>
          <w:tcPr>
            <w:tcW w:w="2074" w:type="dxa"/>
            <w:tcBorders>
              <w:top w:val="single" w:sz="4" w:space="0" w:color="000000"/>
            </w:tcBorders>
          </w:tcPr>
          <w:p>
            <w:pPr>
              <w:pStyle w:val="TableParagraph"/>
              <w:spacing w:before="275"/>
              <w:ind w:left="122"/>
              <w:rPr>
                <w:b/>
                <w:sz w:val="24"/>
              </w:rPr>
            </w:pPr>
            <w:r>
              <w:rPr>
                <w:b/>
                <w:spacing w:val="-2"/>
                <w:sz w:val="24"/>
              </w:rPr>
              <w:t>Pretreatment Groups</w:t>
            </w:r>
          </w:p>
        </w:tc>
        <w:tc>
          <w:tcPr>
            <w:tcW w:w="6827" w:type="dxa"/>
            <w:gridSpan w:val="5"/>
            <w:tcBorders>
              <w:top w:val="single" w:sz="4" w:space="0" w:color="000000"/>
              <w:bottom w:val="single" w:sz="4" w:space="0" w:color="000000"/>
            </w:tcBorders>
          </w:tcPr>
          <w:p>
            <w:pPr>
              <w:pStyle w:val="TableParagraph"/>
              <w:spacing w:before="119"/>
              <w:ind w:left="108" w:firstLine="120"/>
              <w:rPr>
                <w:b/>
                <w:sz w:val="24"/>
              </w:rPr>
            </w:pPr>
            <w:r>
              <w:rPr>
                <w:b/>
                <w:sz w:val="24"/>
              </w:rPr>
              <w:t>Percentage</w:t>
            </w:r>
            <w:r>
              <w:rPr>
                <w:b/>
                <w:spacing w:val="40"/>
                <w:sz w:val="24"/>
              </w:rPr>
              <w:t> </w:t>
            </w:r>
            <w:r>
              <w:rPr>
                <w:b/>
                <w:sz w:val="24"/>
              </w:rPr>
              <w:t>(%)</w:t>
            </w:r>
            <w:r>
              <w:rPr>
                <w:b/>
                <w:spacing w:val="40"/>
                <w:sz w:val="24"/>
              </w:rPr>
              <w:t> </w:t>
            </w:r>
            <w:r>
              <w:rPr>
                <w:b/>
                <w:sz w:val="24"/>
              </w:rPr>
              <w:t>Protection</w:t>
            </w:r>
            <w:r>
              <w:rPr>
                <w:b/>
                <w:spacing w:val="40"/>
                <w:sz w:val="24"/>
              </w:rPr>
              <w:t> </w:t>
            </w:r>
            <w:r>
              <w:rPr>
                <w:b/>
                <w:sz w:val="24"/>
              </w:rPr>
              <w:t>After</w:t>
            </w:r>
            <w:r>
              <w:rPr>
                <w:b/>
                <w:spacing w:val="40"/>
                <w:sz w:val="24"/>
              </w:rPr>
              <w:t> </w:t>
            </w:r>
            <w:r>
              <w:rPr>
                <w:b/>
                <w:i/>
                <w:sz w:val="24"/>
              </w:rPr>
              <w:t>E.</w:t>
            </w:r>
            <w:r>
              <w:rPr>
                <w:b/>
                <w:i/>
                <w:spacing w:val="40"/>
                <w:sz w:val="24"/>
              </w:rPr>
              <w:t> </w:t>
            </w:r>
            <w:r>
              <w:rPr>
                <w:b/>
                <w:i/>
                <w:sz w:val="24"/>
              </w:rPr>
              <w:t>coli</w:t>
            </w:r>
            <w:r>
              <w:rPr>
                <w:b/>
                <w:sz w:val="24"/>
              </w:rPr>
              <w:t>-induced</w:t>
            </w:r>
            <w:r>
              <w:rPr>
                <w:b/>
                <w:spacing w:val="40"/>
                <w:sz w:val="24"/>
              </w:rPr>
              <w:t> </w:t>
            </w:r>
            <w:r>
              <w:rPr>
                <w:b/>
                <w:sz w:val="24"/>
              </w:rPr>
              <w:t>Abdominal </w:t>
            </w:r>
            <w:r>
              <w:rPr>
                <w:b/>
                <w:spacing w:val="-2"/>
                <w:sz w:val="24"/>
              </w:rPr>
              <w:t>Sepsis</w:t>
            </w:r>
          </w:p>
          <w:p>
            <w:pPr>
              <w:pStyle w:val="TableParagraph"/>
              <w:spacing w:before="120"/>
              <w:ind w:left="228"/>
              <w:rPr>
                <w:b/>
                <w:sz w:val="24"/>
              </w:rPr>
            </w:pPr>
            <w:r>
              <w:rPr>
                <w:b/>
                <w:sz w:val="24"/>
              </w:rPr>
              <w:t>at</w:t>
            </w:r>
            <w:r>
              <w:rPr>
                <w:b/>
                <w:spacing w:val="-1"/>
                <w:sz w:val="24"/>
              </w:rPr>
              <w:t> </w:t>
            </w:r>
            <w:r>
              <w:rPr>
                <w:b/>
                <w:spacing w:val="-12"/>
                <w:sz w:val="24"/>
              </w:rPr>
              <w:t>:</w:t>
            </w:r>
          </w:p>
        </w:tc>
      </w:tr>
      <w:tr>
        <w:trPr>
          <w:trHeight w:val="515" w:hRule="atLeast"/>
        </w:trPr>
        <w:tc>
          <w:tcPr>
            <w:tcW w:w="2074" w:type="dxa"/>
            <w:tcBorders>
              <w:bottom w:val="single" w:sz="4" w:space="0" w:color="000000"/>
            </w:tcBorders>
          </w:tcPr>
          <w:p>
            <w:pPr>
              <w:pStyle w:val="TableParagraph"/>
              <w:rPr>
                <w:sz w:val="22"/>
              </w:rPr>
            </w:pPr>
          </w:p>
        </w:tc>
        <w:tc>
          <w:tcPr>
            <w:tcW w:w="1288" w:type="dxa"/>
            <w:tcBorders>
              <w:top w:val="single" w:sz="4" w:space="0" w:color="000000"/>
              <w:bottom w:val="single" w:sz="4" w:space="0" w:color="000000"/>
            </w:tcBorders>
          </w:tcPr>
          <w:p>
            <w:pPr>
              <w:pStyle w:val="TableParagraph"/>
              <w:spacing w:before="116"/>
              <w:ind w:left="348"/>
              <w:rPr>
                <w:b/>
                <w:sz w:val="24"/>
              </w:rPr>
            </w:pPr>
            <w:r>
              <w:rPr>
                <w:b/>
                <w:sz w:val="24"/>
              </w:rPr>
              <w:t>30</w:t>
            </w:r>
            <w:r>
              <w:rPr>
                <w:b/>
                <w:spacing w:val="-2"/>
                <w:sz w:val="24"/>
              </w:rPr>
              <w:t> </w:t>
            </w:r>
            <w:r>
              <w:rPr>
                <w:b/>
                <w:spacing w:val="-4"/>
                <w:sz w:val="24"/>
              </w:rPr>
              <w:t>mins</w:t>
            </w:r>
          </w:p>
        </w:tc>
        <w:tc>
          <w:tcPr>
            <w:tcW w:w="1243" w:type="dxa"/>
            <w:tcBorders>
              <w:top w:val="single" w:sz="4" w:space="0" w:color="000000"/>
              <w:bottom w:val="single" w:sz="4" w:space="0" w:color="000000"/>
            </w:tcBorders>
          </w:tcPr>
          <w:p>
            <w:pPr>
              <w:pStyle w:val="TableParagraph"/>
              <w:spacing w:before="116"/>
              <w:ind w:left="329"/>
              <w:rPr>
                <w:b/>
                <w:sz w:val="24"/>
              </w:rPr>
            </w:pPr>
            <w:r>
              <w:rPr>
                <w:b/>
                <w:sz w:val="24"/>
              </w:rPr>
              <w:t>1 </w:t>
            </w:r>
            <w:r>
              <w:rPr>
                <w:b/>
                <w:spacing w:val="-4"/>
                <w:sz w:val="24"/>
              </w:rPr>
              <w:t>hour</w:t>
            </w:r>
          </w:p>
        </w:tc>
        <w:tc>
          <w:tcPr>
            <w:tcW w:w="1366" w:type="dxa"/>
            <w:tcBorders>
              <w:top w:val="single" w:sz="4" w:space="0" w:color="000000"/>
              <w:bottom w:val="single" w:sz="4" w:space="0" w:color="000000"/>
            </w:tcBorders>
          </w:tcPr>
          <w:p>
            <w:pPr>
              <w:pStyle w:val="TableParagraph"/>
              <w:spacing w:before="116"/>
              <w:ind w:left="421"/>
              <w:rPr>
                <w:b/>
                <w:sz w:val="24"/>
              </w:rPr>
            </w:pPr>
            <w:r>
              <w:rPr>
                <w:b/>
                <w:sz w:val="24"/>
              </w:rPr>
              <w:t>2 </w:t>
            </w:r>
            <w:r>
              <w:rPr>
                <w:b/>
                <w:spacing w:val="-2"/>
                <w:sz w:val="24"/>
              </w:rPr>
              <w:t>hours</w:t>
            </w:r>
          </w:p>
        </w:tc>
        <w:tc>
          <w:tcPr>
            <w:tcW w:w="1368" w:type="dxa"/>
            <w:tcBorders>
              <w:top w:val="single" w:sz="4" w:space="0" w:color="000000"/>
              <w:bottom w:val="single" w:sz="4" w:space="0" w:color="000000"/>
            </w:tcBorders>
          </w:tcPr>
          <w:p>
            <w:pPr>
              <w:pStyle w:val="TableParagraph"/>
              <w:spacing w:before="116"/>
              <w:ind w:left="181"/>
              <w:rPr>
                <w:b/>
                <w:sz w:val="24"/>
              </w:rPr>
            </w:pPr>
            <w:r>
              <w:rPr>
                <w:b/>
                <w:sz w:val="24"/>
              </w:rPr>
              <w:t>24</w:t>
            </w:r>
            <w:r>
              <w:rPr>
                <w:b/>
                <w:spacing w:val="60"/>
                <w:sz w:val="24"/>
              </w:rPr>
              <w:t> </w:t>
            </w:r>
            <w:r>
              <w:rPr>
                <w:b/>
                <w:spacing w:val="-2"/>
                <w:sz w:val="24"/>
              </w:rPr>
              <w:t>hours</w:t>
            </w:r>
          </w:p>
        </w:tc>
        <w:tc>
          <w:tcPr>
            <w:tcW w:w="1562" w:type="dxa"/>
            <w:tcBorders>
              <w:top w:val="single" w:sz="4" w:space="0" w:color="000000"/>
              <w:bottom w:val="single" w:sz="4" w:space="0" w:color="000000"/>
            </w:tcBorders>
          </w:tcPr>
          <w:p>
            <w:pPr>
              <w:pStyle w:val="TableParagraph"/>
              <w:spacing w:before="116"/>
              <w:ind w:left="244"/>
              <w:rPr>
                <w:b/>
                <w:sz w:val="24"/>
              </w:rPr>
            </w:pPr>
            <w:r>
              <w:rPr>
                <w:b/>
                <w:sz w:val="24"/>
              </w:rPr>
              <w:t>72 </w:t>
            </w:r>
            <w:r>
              <w:rPr>
                <w:b/>
                <w:spacing w:val="-2"/>
                <w:sz w:val="24"/>
              </w:rPr>
              <w:t>hours</w:t>
            </w:r>
          </w:p>
        </w:tc>
      </w:tr>
      <w:tr>
        <w:trPr>
          <w:trHeight w:val="1049" w:hRule="atLeast"/>
        </w:trPr>
        <w:tc>
          <w:tcPr>
            <w:tcW w:w="2074" w:type="dxa"/>
            <w:tcBorders>
              <w:top w:val="single" w:sz="4" w:space="0" w:color="000000"/>
            </w:tcBorders>
          </w:tcPr>
          <w:p>
            <w:pPr>
              <w:pStyle w:val="TableParagraph"/>
              <w:spacing w:line="345" w:lineRule="auto" w:before="111"/>
              <w:ind w:left="122" w:right="927"/>
              <w:rPr>
                <w:sz w:val="24"/>
              </w:rPr>
            </w:pPr>
            <w:r>
              <w:rPr>
                <w:sz w:val="24"/>
              </w:rPr>
              <w:t>Distl H</w:t>
            </w:r>
            <w:r>
              <w:rPr>
                <w:sz w:val="24"/>
                <w:vertAlign w:val="subscript"/>
              </w:rPr>
              <w:t>2</w:t>
            </w:r>
            <w:r>
              <w:rPr>
                <w:sz w:val="24"/>
                <w:vertAlign w:val="baseline"/>
              </w:rPr>
              <w:t>O (10</w:t>
            </w:r>
            <w:r>
              <w:rPr>
                <w:spacing w:val="-15"/>
                <w:sz w:val="24"/>
                <w:vertAlign w:val="baseline"/>
              </w:rPr>
              <w:t> </w:t>
            </w:r>
            <w:r>
              <w:rPr>
                <w:sz w:val="24"/>
                <w:vertAlign w:val="baseline"/>
              </w:rPr>
              <w:t>ml/kg)</w:t>
            </w:r>
          </w:p>
        </w:tc>
        <w:tc>
          <w:tcPr>
            <w:tcW w:w="1288" w:type="dxa"/>
            <w:tcBorders>
              <w:top w:val="single" w:sz="4" w:space="0" w:color="000000"/>
            </w:tcBorders>
          </w:tcPr>
          <w:p>
            <w:pPr>
              <w:pStyle w:val="TableParagraph"/>
              <w:spacing w:before="234"/>
              <w:rPr>
                <w:b/>
                <w:sz w:val="24"/>
              </w:rPr>
            </w:pPr>
          </w:p>
          <w:p>
            <w:pPr>
              <w:pStyle w:val="TableParagraph"/>
              <w:ind w:left="108"/>
              <w:rPr>
                <w:sz w:val="24"/>
              </w:rPr>
            </w:pPr>
            <w:r>
              <w:rPr>
                <w:spacing w:val="-5"/>
                <w:sz w:val="24"/>
              </w:rPr>
              <w:t>80</w:t>
            </w:r>
          </w:p>
        </w:tc>
        <w:tc>
          <w:tcPr>
            <w:tcW w:w="1243" w:type="dxa"/>
            <w:tcBorders>
              <w:top w:val="single" w:sz="4" w:space="0" w:color="000000"/>
            </w:tcBorders>
          </w:tcPr>
          <w:p>
            <w:pPr>
              <w:pStyle w:val="TableParagraph"/>
              <w:spacing w:before="234"/>
              <w:rPr>
                <w:b/>
                <w:sz w:val="24"/>
              </w:rPr>
            </w:pPr>
          </w:p>
          <w:p>
            <w:pPr>
              <w:pStyle w:val="TableParagraph"/>
              <w:ind w:left="149"/>
              <w:rPr>
                <w:sz w:val="24"/>
              </w:rPr>
            </w:pPr>
            <w:r>
              <w:rPr>
                <w:spacing w:val="-5"/>
                <w:sz w:val="24"/>
              </w:rPr>
              <w:t>60</w:t>
            </w:r>
          </w:p>
        </w:tc>
        <w:tc>
          <w:tcPr>
            <w:tcW w:w="1366" w:type="dxa"/>
            <w:tcBorders>
              <w:top w:val="single" w:sz="4" w:space="0" w:color="000000"/>
            </w:tcBorders>
          </w:tcPr>
          <w:p>
            <w:pPr>
              <w:pStyle w:val="TableParagraph"/>
              <w:spacing w:before="234"/>
              <w:rPr>
                <w:b/>
                <w:sz w:val="24"/>
              </w:rPr>
            </w:pPr>
          </w:p>
          <w:p>
            <w:pPr>
              <w:pStyle w:val="TableParagraph"/>
              <w:ind w:left="241"/>
              <w:rPr>
                <w:sz w:val="24"/>
              </w:rPr>
            </w:pPr>
            <w:r>
              <w:rPr>
                <w:spacing w:val="-5"/>
                <w:sz w:val="24"/>
              </w:rPr>
              <w:t>40</w:t>
            </w:r>
          </w:p>
        </w:tc>
        <w:tc>
          <w:tcPr>
            <w:tcW w:w="1368" w:type="dxa"/>
            <w:tcBorders>
              <w:top w:val="single" w:sz="4" w:space="0" w:color="000000"/>
            </w:tcBorders>
          </w:tcPr>
          <w:p>
            <w:pPr>
              <w:pStyle w:val="TableParagraph"/>
              <w:spacing w:before="234"/>
              <w:rPr>
                <w:b/>
                <w:sz w:val="24"/>
              </w:rPr>
            </w:pPr>
          </w:p>
          <w:p>
            <w:pPr>
              <w:pStyle w:val="TableParagraph"/>
              <w:ind w:left="181"/>
              <w:rPr>
                <w:sz w:val="24"/>
              </w:rPr>
            </w:pPr>
            <w:r>
              <w:rPr>
                <w:spacing w:val="-10"/>
                <w:sz w:val="24"/>
              </w:rPr>
              <w:t>0</w:t>
            </w:r>
          </w:p>
        </w:tc>
        <w:tc>
          <w:tcPr>
            <w:tcW w:w="1562" w:type="dxa"/>
            <w:tcBorders>
              <w:top w:val="single" w:sz="4" w:space="0" w:color="000000"/>
            </w:tcBorders>
          </w:tcPr>
          <w:p>
            <w:pPr>
              <w:pStyle w:val="TableParagraph"/>
              <w:spacing w:before="234"/>
              <w:rPr>
                <w:b/>
                <w:sz w:val="24"/>
              </w:rPr>
            </w:pPr>
          </w:p>
          <w:p>
            <w:pPr>
              <w:pStyle w:val="TableParagraph"/>
              <w:ind w:left="244"/>
              <w:rPr>
                <w:sz w:val="24"/>
              </w:rPr>
            </w:pPr>
            <w:r>
              <w:rPr>
                <w:spacing w:val="-10"/>
                <w:sz w:val="24"/>
              </w:rPr>
              <w:t>0</w:t>
            </w:r>
          </w:p>
        </w:tc>
      </w:tr>
      <w:tr>
        <w:trPr>
          <w:trHeight w:val="812" w:hRule="atLeast"/>
        </w:trPr>
        <w:tc>
          <w:tcPr>
            <w:tcW w:w="2074" w:type="dxa"/>
          </w:tcPr>
          <w:p>
            <w:pPr>
              <w:pStyle w:val="TableParagraph"/>
              <w:spacing w:before="253"/>
              <w:ind w:right="175"/>
              <w:jc w:val="center"/>
              <w:rPr>
                <w:sz w:val="24"/>
              </w:rPr>
            </w:pPr>
            <w:r>
              <w:rPr>
                <w:sz w:val="24"/>
              </w:rPr>
              <w:t>CME 50 </w:t>
            </w:r>
            <w:r>
              <w:rPr>
                <w:spacing w:val="-2"/>
                <w:sz w:val="24"/>
              </w:rPr>
              <w:t>(mg/kg)</w:t>
            </w:r>
          </w:p>
        </w:tc>
        <w:tc>
          <w:tcPr>
            <w:tcW w:w="1288" w:type="dxa"/>
          </w:tcPr>
          <w:p>
            <w:pPr>
              <w:pStyle w:val="TableParagraph"/>
              <w:spacing w:before="253"/>
              <w:ind w:left="108"/>
              <w:rPr>
                <w:sz w:val="24"/>
              </w:rPr>
            </w:pPr>
            <w:r>
              <w:rPr>
                <w:spacing w:val="-5"/>
                <w:sz w:val="24"/>
              </w:rPr>
              <w:t>100</w:t>
            </w:r>
          </w:p>
        </w:tc>
        <w:tc>
          <w:tcPr>
            <w:tcW w:w="1243" w:type="dxa"/>
          </w:tcPr>
          <w:p>
            <w:pPr>
              <w:pStyle w:val="TableParagraph"/>
              <w:spacing w:before="253"/>
              <w:ind w:left="149"/>
              <w:rPr>
                <w:sz w:val="24"/>
              </w:rPr>
            </w:pPr>
            <w:r>
              <w:rPr>
                <w:spacing w:val="-5"/>
                <w:sz w:val="24"/>
              </w:rPr>
              <w:t>100</w:t>
            </w:r>
          </w:p>
        </w:tc>
        <w:tc>
          <w:tcPr>
            <w:tcW w:w="1366" w:type="dxa"/>
          </w:tcPr>
          <w:p>
            <w:pPr>
              <w:pStyle w:val="TableParagraph"/>
              <w:spacing w:before="253"/>
              <w:ind w:left="241"/>
              <w:rPr>
                <w:sz w:val="24"/>
              </w:rPr>
            </w:pPr>
            <w:r>
              <w:rPr>
                <w:spacing w:val="-5"/>
                <w:sz w:val="24"/>
              </w:rPr>
              <w:t>100</w:t>
            </w:r>
          </w:p>
        </w:tc>
        <w:tc>
          <w:tcPr>
            <w:tcW w:w="1368" w:type="dxa"/>
          </w:tcPr>
          <w:p>
            <w:pPr>
              <w:pStyle w:val="TableParagraph"/>
              <w:spacing w:before="253"/>
              <w:ind w:left="181"/>
              <w:rPr>
                <w:sz w:val="24"/>
              </w:rPr>
            </w:pPr>
            <w:r>
              <w:rPr>
                <w:spacing w:val="-5"/>
                <w:sz w:val="24"/>
              </w:rPr>
              <w:t>100</w:t>
            </w:r>
          </w:p>
        </w:tc>
        <w:tc>
          <w:tcPr>
            <w:tcW w:w="1562" w:type="dxa"/>
          </w:tcPr>
          <w:p>
            <w:pPr>
              <w:pStyle w:val="TableParagraph"/>
              <w:spacing w:before="253"/>
              <w:ind w:left="244"/>
              <w:rPr>
                <w:sz w:val="24"/>
              </w:rPr>
            </w:pPr>
            <w:r>
              <w:rPr>
                <w:spacing w:val="-5"/>
                <w:sz w:val="24"/>
              </w:rPr>
              <w:t>100</w:t>
            </w:r>
          </w:p>
        </w:tc>
      </w:tr>
      <w:tr>
        <w:trPr>
          <w:trHeight w:val="874" w:hRule="atLeast"/>
        </w:trPr>
        <w:tc>
          <w:tcPr>
            <w:tcW w:w="2074" w:type="dxa"/>
          </w:tcPr>
          <w:p>
            <w:pPr>
              <w:pStyle w:val="TableParagraph"/>
              <w:spacing w:before="273"/>
              <w:ind w:right="55"/>
              <w:jc w:val="center"/>
              <w:rPr>
                <w:sz w:val="24"/>
              </w:rPr>
            </w:pPr>
            <w:r>
              <w:rPr>
                <w:sz w:val="24"/>
              </w:rPr>
              <w:t>CME 100 </w:t>
            </w:r>
            <w:r>
              <w:rPr>
                <w:spacing w:val="-2"/>
                <w:sz w:val="24"/>
              </w:rPr>
              <w:t>(mg/kg)</w:t>
            </w:r>
          </w:p>
        </w:tc>
        <w:tc>
          <w:tcPr>
            <w:tcW w:w="1288" w:type="dxa"/>
          </w:tcPr>
          <w:p>
            <w:pPr>
              <w:pStyle w:val="TableParagraph"/>
              <w:spacing w:before="40"/>
              <w:rPr>
                <w:b/>
                <w:sz w:val="24"/>
              </w:rPr>
            </w:pPr>
          </w:p>
          <w:p>
            <w:pPr>
              <w:pStyle w:val="TableParagraph"/>
              <w:ind w:left="108"/>
              <w:rPr>
                <w:sz w:val="24"/>
              </w:rPr>
            </w:pPr>
            <w:r>
              <w:rPr>
                <w:spacing w:val="-5"/>
                <w:sz w:val="24"/>
              </w:rPr>
              <w:t>100</w:t>
            </w:r>
          </w:p>
        </w:tc>
        <w:tc>
          <w:tcPr>
            <w:tcW w:w="1243" w:type="dxa"/>
          </w:tcPr>
          <w:p>
            <w:pPr>
              <w:pStyle w:val="TableParagraph"/>
              <w:spacing w:before="40"/>
              <w:rPr>
                <w:b/>
                <w:sz w:val="24"/>
              </w:rPr>
            </w:pPr>
          </w:p>
          <w:p>
            <w:pPr>
              <w:pStyle w:val="TableParagraph"/>
              <w:ind w:left="149"/>
              <w:rPr>
                <w:sz w:val="24"/>
              </w:rPr>
            </w:pPr>
            <w:r>
              <w:rPr>
                <w:spacing w:val="-5"/>
                <w:sz w:val="24"/>
              </w:rPr>
              <w:t>100</w:t>
            </w:r>
          </w:p>
        </w:tc>
        <w:tc>
          <w:tcPr>
            <w:tcW w:w="1366" w:type="dxa"/>
          </w:tcPr>
          <w:p>
            <w:pPr>
              <w:pStyle w:val="TableParagraph"/>
              <w:spacing w:before="40"/>
              <w:rPr>
                <w:b/>
                <w:sz w:val="24"/>
              </w:rPr>
            </w:pPr>
          </w:p>
          <w:p>
            <w:pPr>
              <w:pStyle w:val="TableParagraph"/>
              <w:ind w:left="241"/>
              <w:rPr>
                <w:sz w:val="24"/>
              </w:rPr>
            </w:pPr>
            <w:r>
              <w:rPr>
                <w:spacing w:val="-5"/>
                <w:sz w:val="24"/>
              </w:rPr>
              <w:t>100</w:t>
            </w:r>
          </w:p>
        </w:tc>
        <w:tc>
          <w:tcPr>
            <w:tcW w:w="1368" w:type="dxa"/>
          </w:tcPr>
          <w:p>
            <w:pPr>
              <w:pStyle w:val="TableParagraph"/>
              <w:spacing w:before="40"/>
              <w:rPr>
                <w:b/>
                <w:sz w:val="24"/>
              </w:rPr>
            </w:pPr>
          </w:p>
          <w:p>
            <w:pPr>
              <w:pStyle w:val="TableParagraph"/>
              <w:ind w:left="181"/>
              <w:rPr>
                <w:sz w:val="24"/>
              </w:rPr>
            </w:pPr>
            <w:r>
              <w:rPr>
                <w:spacing w:val="-5"/>
                <w:sz w:val="24"/>
              </w:rPr>
              <w:t>100</w:t>
            </w:r>
          </w:p>
        </w:tc>
        <w:tc>
          <w:tcPr>
            <w:tcW w:w="1562" w:type="dxa"/>
          </w:tcPr>
          <w:p>
            <w:pPr>
              <w:pStyle w:val="TableParagraph"/>
              <w:spacing w:before="40"/>
              <w:rPr>
                <w:b/>
                <w:sz w:val="24"/>
              </w:rPr>
            </w:pPr>
          </w:p>
          <w:p>
            <w:pPr>
              <w:pStyle w:val="TableParagraph"/>
              <w:ind w:left="244"/>
              <w:rPr>
                <w:sz w:val="24"/>
              </w:rPr>
            </w:pPr>
            <w:r>
              <w:rPr>
                <w:spacing w:val="-5"/>
                <w:sz w:val="24"/>
              </w:rPr>
              <w:t>100</w:t>
            </w:r>
          </w:p>
        </w:tc>
      </w:tr>
      <w:tr>
        <w:trPr>
          <w:trHeight w:val="759" w:hRule="atLeast"/>
        </w:trPr>
        <w:tc>
          <w:tcPr>
            <w:tcW w:w="2074" w:type="dxa"/>
            <w:tcBorders>
              <w:bottom w:val="single" w:sz="4" w:space="0" w:color="000000"/>
            </w:tcBorders>
          </w:tcPr>
          <w:p>
            <w:pPr>
              <w:pStyle w:val="TableParagraph"/>
              <w:spacing w:before="272"/>
              <w:ind w:right="55"/>
              <w:jc w:val="center"/>
              <w:rPr>
                <w:sz w:val="24"/>
              </w:rPr>
            </w:pPr>
            <w:r>
              <w:rPr>
                <w:sz w:val="24"/>
              </w:rPr>
              <w:t>CME 200 </w:t>
            </w:r>
            <w:r>
              <w:rPr>
                <w:spacing w:val="-2"/>
                <w:sz w:val="24"/>
              </w:rPr>
              <w:t>(mg/kg)</w:t>
            </w:r>
          </w:p>
        </w:tc>
        <w:tc>
          <w:tcPr>
            <w:tcW w:w="1288" w:type="dxa"/>
            <w:tcBorders>
              <w:bottom w:val="single" w:sz="4" w:space="0" w:color="000000"/>
            </w:tcBorders>
          </w:tcPr>
          <w:p>
            <w:pPr>
              <w:pStyle w:val="TableParagraph"/>
              <w:spacing w:before="39"/>
              <w:rPr>
                <w:b/>
                <w:sz w:val="24"/>
              </w:rPr>
            </w:pPr>
          </w:p>
          <w:p>
            <w:pPr>
              <w:pStyle w:val="TableParagraph"/>
              <w:ind w:left="108"/>
              <w:rPr>
                <w:sz w:val="24"/>
              </w:rPr>
            </w:pPr>
            <w:r>
              <w:rPr>
                <w:spacing w:val="-5"/>
                <w:sz w:val="24"/>
              </w:rPr>
              <w:t>100</w:t>
            </w:r>
          </w:p>
        </w:tc>
        <w:tc>
          <w:tcPr>
            <w:tcW w:w="1243" w:type="dxa"/>
            <w:tcBorders>
              <w:bottom w:val="single" w:sz="4" w:space="0" w:color="000000"/>
            </w:tcBorders>
          </w:tcPr>
          <w:p>
            <w:pPr>
              <w:pStyle w:val="TableParagraph"/>
              <w:spacing w:before="39"/>
              <w:rPr>
                <w:b/>
                <w:sz w:val="24"/>
              </w:rPr>
            </w:pPr>
          </w:p>
          <w:p>
            <w:pPr>
              <w:pStyle w:val="TableParagraph"/>
              <w:ind w:left="149"/>
              <w:rPr>
                <w:sz w:val="24"/>
              </w:rPr>
            </w:pPr>
            <w:r>
              <w:rPr>
                <w:spacing w:val="-5"/>
                <w:sz w:val="24"/>
              </w:rPr>
              <w:t>100</w:t>
            </w:r>
          </w:p>
        </w:tc>
        <w:tc>
          <w:tcPr>
            <w:tcW w:w="1366" w:type="dxa"/>
            <w:tcBorders>
              <w:bottom w:val="single" w:sz="4" w:space="0" w:color="000000"/>
            </w:tcBorders>
          </w:tcPr>
          <w:p>
            <w:pPr>
              <w:pStyle w:val="TableParagraph"/>
              <w:spacing w:before="39"/>
              <w:rPr>
                <w:b/>
                <w:sz w:val="24"/>
              </w:rPr>
            </w:pPr>
          </w:p>
          <w:p>
            <w:pPr>
              <w:pStyle w:val="TableParagraph"/>
              <w:ind w:left="241"/>
              <w:rPr>
                <w:sz w:val="24"/>
              </w:rPr>
            </w:pPr>
            <w:r>
              <w:rPr>
                <w:spacing w:val="-5"/>
                <w:sz w:val="24"/>
              </w:rPr>
              <w:t>100</w:t>
            </w:r>
          </w:p>
        </w:tc>
        <w:tc>
          <w:tcPr>
            <w:tcW w:w="1368" w:type="dxa"/>
            <w:tcBorders>
              <w:bottom w:val="single" w:sz="4" w:space="0" w:color="000000"/>
            </w:tcBorders>
          </w:tcPr>
          <w:p>
            <w:pPr>
              <w:pStyle w:val="TableParagraph"/>
              <w:spacing w:before="39"/>
              <w:rPr>
                <w:b/>
                <w:sz w:val="24"/>
              </w:rPr>
            </w:pPr>
          </w:p>
          <w:p>
            <w:pPr>
              <w:pStyle w:val="TableParagraph"/>
              <w:ind w:left="181"/>
              <w:rPr>
                <w:sz w:val="24"/>
              </w:rPr>
            </w:pPr>
            <w:r>
              <w:rPr>
                <w:spacing w:val="-5"/>
                <w:sz w:val="24"/>
              </w:rPr>
              <w:t>100</w:t>
            </w:r>
          </w:p>
        </w:tc>
        <w:tc>
          <w:tcPr>
            <w:tcW w:w="1562" w:type="dxa"/>
            <w:tcBorders>
              <w:bottom w:val="single" w:sz="4" w:space="0" w:color="000000"/>
            </w:tcBorders>
          </w:tcPr>
          <w:p>
            <w:pPr>
              <w:pStyle w:val="TableParagraph"/>
              <w:spacing w:before="39"/>
              <w:rPr>
                <w:b/>
                <w:sz w:val="24"/>
              </w:rPr>
            </w:pPr>
          </w:p>
          <w:p>
            <w:pPr>
              <w:pStyle w:val="TableParagraph"/>
              <w:ind w:left="244"/>
              <w:rPr>
                <w:sz w:val="24"/>
              </w:rPr>
            </w:pPr>
            <w:r>
              <w:rPr>
                <w:spacing w:val="-5"/>
                <w:sz w:val="24"/>
              </w:rPr>
              <w:t>100</w:t>
            </w:r>
          </w:p>
        </w:tc>
      </w:tr>
    </w:tbl>
    <w:p>
      <w:pPr>
        <w:spacing w:before="0"/>
        <w:ind w:left="747" w:right="0" w:firstLine="0"/>
        <w:jc w:val="both"/>
        <w:rPr>
          <w:sz w:val="24"/>
        </w:rPr>
      </w:pPr>
      <w:r>
        <w:rPr>
          <w:sz w:val="24"/>
        </w:rPr>
        <w:t>(n</w:t>
      </w:r>
      <w:r>
        <w:rPr>
          <w:spacing w:val="-3"/>
          <w:sz w:val="24"/>
        </w:rPr>
        <w:t> </w:t>
      </w:r>
      <w:r>
        <w:rPr>
          <w:sz w:val="24"/>
        </w:rPr>
        <w:t>=</w:t>
      </w:r>
      <w:r>
        <w:rPr>
          <w:spacing w:val="-2"/>
          <w:sz w:val="24"/>
        </w:rPr>
        <w:t> </w:t>
      </w:r>
      <w:r>
        <w:rPr>
          <w:sz w:val="24"/>
        </w:rPr>
        <w:t>5);</w:t>
      </w:r>
      <w:r>
        <w:rPr>
          <w:spacing w:val="-1"/>
          <w:sz w:val="24"/>
        </w:rPr>
        <w:t> </w:t>
      </w:r>
      <w:r>
        <w:rPr>
          <w:sz w:val="24"/>
        </w:rPr>
        <w:t>CME: </w:t>
      </w:r>
      <w:r>
        <w:rPr>
          <w:i/>
          <w:sz w:val="24"/>
        </w:rPr>
        <w:t>C. micranthum </w:t>
      </w:r>
      <w:r>
        <w:rPr>
          <w:sz w:val="24"/>
        </w:rPr>
        <w:t>aqueous</w:t>
      </w:r>
      <w:r>
        <w:rPr>
          <w:spacing w:val="-1"/>
          <w:sz w:val="24"/>
        </w:rPr>
        <w:t> </w:t>
      </w:r>
      <w:r>
        <w:rPr>
          <w:sz w:val="24"/>
        </w:rPr>
        <w:t>ethanol leave</w:t>
      </w:r>
      <w:r>
        <w:rPr>
          <w:spacing w:val="-1"/>
          <w:sz w:val="24"/>
        </w:rPr>
        <w:t> </w:t>
      </w:r>
      <w:r>
        <w:rPr>
          <w:spacing w:val="-2"/>
          <w:sz w:val="24"/>
        </w:rPr>
        <w:t>extract</w:t>
      </w:r>
    </w:p>
    <w:p>
      <w:pPr>
        <w:spacing w:after="0"/>
        <w:jc w:val="both"/>
        <w:rPr>
          <w:sz w:val="24"/>
        </w:rPr>
        <w:sectPr>
          <w:pgSz w:w="11910" w:h="16840"/>
          <w:pgMar w:header="0" w:footer="981" w:top="1320" w:bottom="1180" w:left="1240" w:right="560"/>
        </w:sectPr>
      </w:pPr>
    </w:p>
    <w:p>
      <w:pPr>
        <w:tabs>
          <w:tab w:pos="5127" w:val="left" w:leader="none"/>
        </w:tabs>
        <w:spacing w:line="240" w:lineRule="auto"/>
        <w:ind w:left="747" w:right="0" w:firstLine="0"/>
        <w:rPr>
          <w:sz w:val="20"/>
        </w:rPr>
      </w:pPr>
      <w:r>
        <w:rPr>
          <w:sz w:val="20"/>
        </w:rPr>
        <w:drawing>
          <wp:inline distT="0" distB="0" distL="0" distR="0">
            <wp:extent cx="2443268" cy="2304288"/>
            <wp:effectExtent l="0" t="0" r="0" b="0"/>
            <wp:docPr id="28" name="Image 28" descr="C:\Users\USER\Desktop\ZAKARI'S PHOTO SLIDES\ef cmb stm.jpg"/>
            <wp:cNvGraphicFramePr>
              <a:graphicFrameLocks/>
            </wp:cNvGraphicFramePr>
            <a:graphic>
              <a:graphicData uri="http://schemas.openxmlformats.org/drawingml/2006/picture">
                <pic:pic>
                  <pic:nvPicPr>
                    <pic:cNvPr id="28" name="Image 28" descr="C:\Users\USER\Desktop\ZAKARI'S PHOTO SLIDES\ef cmb stm.jpg"/>
                    <pic:cNvPicPr/>
                  </pic:nvPicPr>
                  <pic:blipFill>
                    <a:blip r:embed="rId9" cstate="print"/>
                    <a:stretch>
                      <a:fillRect/>
                    </a:stretch>
                  </pic:blipFill>
                  <pic:spPr>
                    <a:xfrm>
                      <a:off x="0" y="0"/>
                      <a:ext cx="2443268" cy="2304288"/>
                    </a:xfrm>
                    <a:prstGeom prst="rect">
                      <a:avLst/>
                    </a:prstGeom>
                  </pic:spPr>
                </pic:pic>
              </a:graphicData>
            </a:graphic>
          </wp:inline>
        </w:drawing>
      </w:r>
      <w:r>
        <w:rPr>
          <w:sz w:val="20"/>
        </w:rPr>
      </w:r>
      <w:r>
        <w:rPr>
          <w:sz w:val="20"/>
        </w:rPr>
        <w:tab/>
      </w:r>
      <w:r>
        <w:rPr>
          <w:sz w:val="20"/>
        </w:rPr>
        <mc:AlternateContent>
          <mc:Choice Requires="wps">
            <w:drawing>
              <wp:inline distT="0" distB="0" distL="0" distR="0">
                <wp:extent cx="2480945" cy="2315210"/>
                <wp:effectExtent l="0" t="0" r="0" b="8889"/>
                <wp:docPr id="29" name="Group 29" descr="C:\Users\USER\Desktop\ZAKARI'S PHOTO SLIDES\ef cma stm.jpg"/>
                <wp:cNvGraphicFramePr>
                  <a:graphicFrameLocks/>
                </wp:cNvGraphicFramePr>
                <a:graphic>
                  <a:graphicData uri="http://schemas.microsoft.com/office/word/2010/wordprocessingGroup">
                    <wpg:wgp>
                      <wpg:cNvPr id="29" name="Group 29" descr="C:\Users\USER\Desktop\ZAKARI'S PHOTO SLIDES\ef cma stm.jpg"/>
                      <wpg:cNvGrpSpPr/>
                      <wpg:grpSpPr>
                        <a:xfrm>
                          <a:off x="0" y="0"/>
                          <a:ext cx="2480945" cy="2315210"/>
                          <a:chExt cx="2480945" cy="2315210"/>
                        </a:xfrm>
                      </wpg:grpSpPr>
                      <pic:pic>
                        <pic:nvPicPr>
                          <pic:cNvPr id="30" name="Image 30" descr="C:\Users\USER\Desktop\ZAKARI'S PHOTO SLIDES\ef cma stm.jpg"/>
                          <pic:cNvPicPr/>
                        </pic:nvPicPr>
                        <pic:blipFill>
                          <a:blip r:embed="rId10" cstate="print"/>
                          <a:stretch>
                            <a:fillRect/>
                          </a:stretch>
                        </pic:blipFill>
                        <pic:spPr>
                          <a:xfrm>
                            <a:off x="0" y="0"/>
                            <a:ext cx="2480945" cy="2315210"/>
                          </a:xfrm>
                          <a:prstGeom prst="rect">
                            <a:avLst/>
                          </a:prstGeom>
                        </pic:spPr>
                      </pic:pic>
                      <wps:wsp>
                        <wps:cNvPr id="31" name="Graphic 31"/>
                        <wps:cNvSpPr/>
                        <wps:spPr>
                          <a:xfrm>
                            <a:off x="661288" y="493902"/>
                            <a:ext cx="374015" cy="461645"/>
                          </a:xfrm>
                          <a:custGeom>
                            <a:avLst/>
                            <a:gdLst/>
                            <a:ahLst/>
                            <a:cxnLst/>
                            <a:rect l="l" t="t" r="r" b="b"/>
                            <a:pathLst>
                              <a:path w="374015" h="461645">
                                <a:moveTo>
                                  <a:pt x="373506" y="0"/>
                                </a:moveTo>
                                <a:lnTo>
                                  <a:pt x="249046" y="83566"/>
                                </a:lnTo>
                                <a:lnTo>
                                  <a:pt x="266826" y="97663"/>
                                </a:lnTo>
                                <a:lnTo>
                                  <a:pt x="0" y="433070"/>
                                </a:lnTo>
                                <a:lnTo>
                                  <a:pt x="35560" y="461391"/>
                                </a:lnTo>
                                <a:lnTo>
                                  <a:pt x="302387" y="125984"/>
                                </a:lnTo>
                                <a:lnTo>
                                  <a:pt x="320166" y="140080"/>
                                </a:lnTo>
                                <a:lnTo>
                                  <a:pt x="373506"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661288" y="493902"/>
                            <a:ext cx="374015" cy="461645"/>
                          </a:xfrm>
                          <a:custGeom>
                            <a:avLst/>
                            <a:gdLst/>
                            <a:ahLst/>
                            <a:cxnLst/>
                            <a:rect l="l" t="t" r="r" b="b"/>
                            <a:pathLst>
                              <a:path w="374015" h="461645">
                                <a:moveTo>
                                  <a:pt x="249046" y="83566"/>
                                </a:moveTo>
                                <a:lnTo>
                                  <a:pt x="266826" y="97663"/>
                                </a:lnTo>
                                <a:lnTo>
                                  <a:pt x="0" y="433070"/>
                                </a:lnTo>
                                <a:lnTo>
                                  <a:pt x="35560" y="461391"/>
                                </a:lnTo>
                                <a:lnTo>
                                  <a:pt x="302387" y="125984"/>
                                </a:lnTo>
                                <a:lnTo>
                                  <a:pt x="320166" y="140080"/>
                                </a:lnTo>
                                <a:lnTo>
                                  <a:pt x="373506" y="0"/>
                                </a:lnTo>
                                <a:lnTo>
                                  <a:pt x="249046" y="8356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5.35pt;height:182.3pt;mso-position-horizontal-relative:char;mso-position-vertical-relative:line" id="docshapegroup23" coordorigin="0,0" coordsize="3907,3646" alt="C:\Users\USER\Desktop\ZAKARI'S PHOTO SLIDES\ef cma stm.jpg">
                <v:shape style="position:absolute;left:0;top:0;width:3907;height:3646" type="#_x0000_t75" id="docshape24" alt="C:\Users\USER\Desktop\ZAKARI'S PHOTO SLIDES\ef cma stm.jpg" stroked="false">
                  <v:imagedata r:id="rId10" o:title=""/>
                </v:shape>
                <v:shape style="position:absolute;left:1041;top:777;width:589;height:727" id="docshape25" coordorigin="1041,778" coordsize="589,727" path="m1630,778l1434,909,1462,932,1041,1460,1097,1504,1518,976,1546,998,1630,778xe" filled="true" fillcolor="#ffffff" stroked="false">
                  <v:path arrowok="t"/>
                  <v:fill type="solid"/>
                </v:shape>
                <v:shape style="position:absolute;left:1041;top:777;width:589;height:727" id="docshape26" coordorigin="1041,778" coordsize="589,727" path="m1434,909l1462,932,1041,1460,1097,1504,1518,976,1546,998,1630,778,1434,909xe" filled="false" stroked="true" strokeweight=".75pt" strokecolor="#000000">
                  <v:path arrowok="t"/>
                  <v:stroke dashstyle="solid"/>
                </v:shape>
              </v:group>
            </w:pict>
          </mc:Fallback>
        </mc:AlternateContent>
      </w:r>
      <w:r>
        <w:rPr>
          <w:sz w:val="20"/>
        </w:rPr>
      </w:r>
    </w:p>
    <w:p>
      <w:pPr>
        <w:pStyle w:val="BodyText"/>
        <w:tabs>
          <w:tab w:pos="4994" w:val="left" w:leader="none"/>
        </w:tabs>
        <w:spacing w:before="193"/>
        <w:ind w:left="747"/>
      </w:pPr>
      <w:r>
        <w:rPr/>
        <w:t>Plate</w:t>
      </w:r>
      <w:r>
        <w:rPr>
          <w:spacing w:val="1"/>
        </w:rPr>
        <w:t> </w:t>
      </w:r>
      <w:r>
        <w:rPr>
          <w:spacing w:val="-4"/>
        </w:rPr>
        <w:t>IIIa</w:t>
      </w:r>
      <w:r>
        <w:rPr/>
        <w:tab/>
        <w:t>Plate</w:t>
      </w:r>
      <w:r>
        <w:rPr>
          <w:spacing w:val="1"/>
        </w:rPr>
        <w:t> </w:t>
      </w:r>
      <w:r>
        <w:rPr>
          <w:spacing w:val="-4"/>
        </w:rPr>
        <w:t>IIIb</w:t>
      </w:r>
    </w:p>
    <w:p>
      <w:pPr>
        <w:pStyle w:val="BodyText"/>
        <w:spacing w:line="276" w:lineRule="auto" w:before="243"/>
        <w:ind w:left="747" w:right="880"/>
      </w:pPr>
      <w:r>
        <w:rPr/>
        <w:t>Plate</w:t>
      </w:r>
      <w:r>
        <w:rPr>
          <w:spacing w:val="-3"/>
        </w:rPr>
        <w:t> </w:t>
      </w:r>
      <w:r>
        <w:rPr/>
        <w:t>III:</w:t>
      </w:r>
      <w:r>
        <w:rPr>
          <w:spacing w:val="-3"/>
        </w:rPr>
        <w:t> </w:t>
      </w:r>
      <w:r>
        <w:rPr/>
        <w:t>Stomach</w:t>
      </w:r>
      <w:r>
        <w:rPr>
          <w:spacing w:val="-3"/>
        </w:rPr>
        <w:t> </w:t>
      </w:r>
      <w:r>
        <w:rPr/>
        <w:t>mucosa</w:t>
      </w:r>
      <w:r>
        <w:rPr>
          <w:spacing w:val="-4"/>
        </w:rPr>
        <w:t> </w:t>
      </w:r>
      <w:r>
        <w:rPr/>
        <w:t>of</w:t>
      </w:r>
      <w:r>
        <w:rPr>
          <w:spacing w:val="-3"/>
        </w:rPr>
        <w:t> </w:t>
      </w:r>
      <w:r>
        <w:rPr/>
        <w:t>sacrificed</w:t>
      </w:r>
      <w:r>
        <w:rPr>
          <w:spacing w:val="-3"/>
        </w:rPr>
        <w:t> </w:t>
      </w:r>
      <w:r>
        <w:rPr/>
        <w:t>mouse</w:t>
      </w:r>
      <w:r>
        <w:rPr>
          <w:spacing w:val="-4"/>
        </w:rPr>
        <w:t> </w:t>
      </w:r>
      <w:r>
        <w:rPr/>
        <w:t>pretreated</w:t>
      </w:r>
      <w:r>
        <w:rPr>
          <w:spacing w:val="-3"/>
        </w:rPr>
        <w:t> </w:t>
      </w:r>
      <w:r>
        <w:rPr/>
        <w:t>with </w:t>
      </w:r>
      <w:r>
        <w:rPr>
          <w:i/>
        </w:rPr>
        <w:t>C.</w:t>
      </w:r>
      <w:r>
        <w:rPr>
          <w:i/>
          <w:spacing w:val="-3"/>
        </w:rPr>
        <w:t> </w:t>
      </w:r>
      <w:r>
        <w:rPr>
          <w:i/>
        </w:rPr>
        <w:t>micranthum</w:t>
      </w:r>
      <w:r>
        <w:rPr>
          <w:i/>
          <w:spacing w:val="-3"/>
        </w:rPr>
        <w:t> </w:t>
      </w:r>
      <w:r>
        <w:rPr/>
        <w:t>(a)</w:t>
      </w:r>
      <w:r>
        <w:rPr>
          <w:spacing w:val="-3"/>
        </w:rPr>
        <w:t> </w:t>
      </w:r>
      <w:r>
        <w:rPr/>
        <w:t>with no alteration versus that of the post mortem distilled water pretreated control mouse showing ulceration (b) (H and E staining, × 250)</w:t>
      </w:r>
    </w:p>
    <w:p>
      <w:pPr>
        <w:spacing w:after="0" w:line="276" w:lineRule="auto"/>
        <w:sectPr>
          <w:pgSz w:w="11910" w:h="16840"/>
          <w:pgMar w:header="0" w:footer="981" w:top="1400" w:bottom="1180" w:left="1240" w:right="560"/>
        </w:sectPr>
      </w:pPr>
    </w:p>
    <w:p>
      <w:pPr>
        <w:tabs>
          <w:tab w:pos="5067" w:val="left" w:leader="none"/>
        </w:tabs>
        <w:spacing w:line="240" w:lineRule="auto"/>
        <w:ind w:left="747" w:right="0" w:firstLine="0"/>
        <w:rPr>
          <w:sz w:val="20"/>
        </w:rPr>
      </w:pPr>
      <w:r>
        <w:rPr>
          <w:sz w:val="20"/>
        </w:rPr>
        <w:drawing>
          <wp:inline distT="0" distB="0" distL="0" distR="0">
            <wp:extent cx="2554216" cy="2139696"/>
            <wp:effectExtent l="0" t="0" r="0" b="0"/>
            <wp:docPr id="33" name="Image 33" descr="C:\Users\USER\Desktop\ZAKARI'S PHOTO SLIDES\cm b int.bmp"/>
            <wp:cNvGraphicFramePr>
              <a:graphicFrameLocks/>
            </wp:cNvGraphicFramePr>
            <a:graphic>
              <a:graphicData uri="http://schemas.openxmlformats.org/drawingml/2006/picture">
                <pic:pic>
                  <pic:nvPicPr>
                    <pic:cNvPr id="33" name="Image 33" descr="C:\Users\USER\Desktop\ZAKARI'S PHOTO SLIDES\cm b int.bmp"/>
                    <pic:cNvPicPr/>
                  </pic:nvPicPr>
                  <pic:blipFill>
                    <a:blip r:embed="rId11" cstate="print"/>
                    <a:stretch>
                      <a:fillRect/>
                    </a:stretch>
                  </pic:blipFill>
                  <pic:spPr>
                    <a:xfrm>
                      <a:off x="0" y="0"/>
                      <a:ext cx="2554216" cy="2139696"/>
                    </a:xfrm>
                    <a:prstGeom prst="rect">
                      <a:avLst/>
                    </a:prstGeom>
                  </pic:spPr>
                </pic:pic>
              </a:graphicData>
            </a:graphic>
          </wp:inline>
        </w:drawing>
      </w:r>
      <w:r>
        <w:rPr>
          <w:sz w:val="20"/>
        </w:rPr>
      </w:r>
      <w:r>
        <w:rPr>
          <w:sz w:val="20"/>
        </w:rPr>
        <w:tab/>
      </w:r>
      <w:r>
        <w:rPr>
          <w:position w:val="1"/>
          <w:sz w:val="20"/>
        </w:rPr>
        <w:drawing>
          <wp:inline distT="0" distB="0" distL="0" distR="0">
            <wp:extent cx="2577923" cy="2135124"/>
            <wp:effectExtent l="0" t="0" r="0" b="0"/>
            <wp:docPr id="34" name="Image 34" descr="C:\Users\USER\Desktop\ZAKARI'S PHOTO SLIDES\cm a int.bmp"/>
            <wp:cNvGraphicFramePr>
              <a:graphicFrameLocks/>
            </wp:cNvGraphicFramePr>
            <a:graphic>
              <a:graphicData uri="http://schemas.openxmlformats.org/drawingml/2006/picture">
                <pic:pic>
                  <pic:nvPicPr>
                    <pic:cNvPr id="34" name="Image 34" descr="C:\Users\USER\Desktop\ZAKARI'S PHOTO SLIDES\cm a int.bmp"/>
                    <pic:cNvPicPr/>
                  </pic:nvPicPr>
                  <pic:blipFill>
                    <a:blip r:embed="rId12" cstate="print"/>
                    <a:stretch>
                      <a:fillRect/>
                    </a:stretch>
                  </pic:blipFill>
                  <pic:spPr>
                    <a:xfrm>
                      <a:off x="0" y="0"/>
                      <a:ext cx="2577923" cy="2135124"/>
                    </a:xfrm>
                    <a:prstGeom prst="rect">
                      <a:avLst/>
                    </a:prstGeom>
                  </pic:spPr>
                </pic:pic>
              </a:graphicData>
            </a:graphic>
          </wp:inline>
        </w:drawing>
      </w:r>
      <w:r>
        <w:rPr>
          <w:position w:val="1"/>
          <w:sz w:val="20"/>
        </w:rPr>
      </w:r>
    </w:p>
    <w:p>
      <w:pPr>
        <w:pStyle w:val="BodyText"/>
        <w:tabs>
          <w:tab w:pos="6328" w:val="left" w:leader="none"/>
        </w:tabs>
        <w:spacing w:before="232"/>
        <w:ind w:left="1167"/>
      </w:pPr>
      <w:r>
        <w:rPr/>
        <w:t>Plate</w:t>
      </w:r>
      <w:r>
        <w:rPr>
          <w:spacing w:val="1"/>
        </w:rPr>
        <w:t> </w:t>
      </w:r>
      <w:r>
        <w:rPr>
          <w:spacing w:val="-5"/>
        </w:rPr>
        <w:t>IVa</w:t>
      </w:r>
      <w:r>
        <w:rPr/>
        <w:tab/>
        <w:t>Plate</w:t>
      </w:r>
      <w:r>
        <w:rPr>
          <w:spacing w:val="2"/>
        </w:rPr>
        <w:t> </w:t>
      </w:r>
      <w:r>
        <w:rPr>
          <w:spacing w:val="-5"/>
        </w:rPr>
        <w:t>IVb</w:t>
      </w:r>
    </w:p>
    <w:p>
      <w:pPr>
        <w:pStyle w:val="BodyText"/>
      </w:pPr>
    </w:p>
    <w:p>
      <w:pPr>
        <w:pStyle w:val="BodyText"/>
        <w:spacing w:before="207"/>
      </w:pPr>
    </w:p>
    <w:p>
      <w:pPr>
        <w:pStyle w:val="BodyText"/>
        <w:spacing w:line="276" w:lineRule="auto"/>
        <w:ind w:left="747" w:right="1056"/>
        <w:jc w:val="both"/>
      </w:pPr>
      <w:r>
        <w:rPr/>
        <w:t>Plate IV:</w:t>
      </w:r>
      <w:r>
        <w:rPr>
          <w:spacing w:val="40"/>
        </w:rPr>
        <w:t> </w:t>
      </w:r>
      <w:r>
        <w:rPr/>
        <w:t>Intestines</w:t>
      </w:r>
      <w:r>
        <w:rPr>
          <w:spacing w:val="-1"/>
        </w:rPr>
        <w:t> </w:t>
      </w:r>
      <w:r>
        <w:rPr/>
        <w:t>of</w:t>
      </w:r>
      <w:r>
        <w:rPr>
          <w:spacing w:val="-1"/>
        </w:rPr>
        <w:t> </w:t>
      </w:r>
      <w:r>
        <w:rPr/>
        <w:t>sacrificed</w:t>
      </w:r>
      <w:r>
        <w:rPr>
          <w:spacing w:val="-1"/>
        </w:rPr>
        <w:t> </w:t>
      </w:r>
      <w:r>
        <w:rPr/>
        <w:t>mouse</w:t>
      </w:r>
      <w:r>
        <w:rPr>
          <w:spacing w:val="-2"/>
        </w:rPr>
        <w:t> </w:t>
      </w:r>
      <w:r>
        <w:rPr/>
        <w:t>pretreated with </w:t>
      </w:r>
      <w:r>
        <w:rPr>
          <w:i/>
        </w:rPr>
        <w:t>C.</w:t>
      </w:r>
      <w:r>
        <w:rPr>
          <w:i/>
          <w:spacing w:val="-1"/>
        </w:rPr>
        <w:t> </w:t>
      </w:r>
      <w:r>
        <w:rPr>
          <w:i/>
        </w:rPr>
        <w:t>micranthum</w:t>
      </w:r>
      <w:r>
        <w:rPr>
          <w:i/>
          <w:spacing w:val="-1"/>
        </w:rPr>
        <w:t> </w:t>
      </w:r>
      <w:r>
        <w:rPr/>
        <w:t>(a) versus</w:t>
      </w:r>
      <w:r>
        <w:rPr>
          <w:spacing w:val="-1"/>
        </w:rPr>
        <w:t> </w:t>
      </w:r>
      <w:r>
        <w:rPr/>
        <w:t>that of</w:t>
      </w:r>
      <w:r>
        <w:rPr>
          <w:spacing w:val="-4"/>
        </w:rPr>
        <w:t> </w:t>
      </w:r>
      <w:r>
        <w:rPr/>
        <w:t>the</w:t>
      </w:r>
      <w:r>
        <w:rPr>
          <w:spacing w:val="-3"/>
        </w:rPr>
        <w:t> </w:t>
      </w:r>
      <w:r>
        <w:rPr/>
        <w:t>post</w:t>
      </w:r>
      <w:r>
        <w:rPr>
          <w:spacing w:val="-3"/>
        </w:rPr>
        <w:t> </w:t>
      </w:r>
      <w:r>
        <w:rPr/>
        <w:t>mortem</w:t>
      </w:r>
      <w:r>
        <w:rPr>
          <w:spacing w:val="-3"/>
        </w:rPr>
        <w:t> </w:t>
      </w:r>
      <w:r>
        <w:rPr/>
        <w:t>distilled</w:t>
      </w:r>
      <w:r>
        <w:rPr>
          <w:spacing w:val="-3"/>
        </w:rPr>
        <w:t> </w:t>
      </w:r>
      <w:r>
        <w:rPr/>
        <w:t>water</w:t>
      </w:r>
      <w:r>
        <w:rPr>
          <w:spacing w:val="-5"/>
        </w:rPr>
        <w:t> </w:t>
      </w:r>
      <w:r>
        <w:rPr/>
        <w:t>pretreated</w:t>
      </w:r>
      <w:r>
        <w:rPr>
          <w:spacing w:val="-2"/>
        </w:rPr>
        <w:t> </w:t>
      </w:r>
      <w:r>
        <w:rPr/>
        <w:t>control</w:t>
      </w:r>
      <w:r>
        <w:rPr>
          <w:spacing w:val="-3"/>
        </w:rPr>
        <w:t> </w:t>
      </w:r>
      <w:r>
        <w:rPr/>
        <w:t>mouse (b)</w:t>
      </w:r>
      <w:r>
        <w:rPr>
          <w:spacing w:val="-5"/>
        </w:rPr>
        <w:t> </w:t>
      </w:r>
      <w:r>
        <w:rPr/>
        <w:t>both</w:t>
      </w:r>
      <w:r>
        <w:rPr>
          <w:spacing w:val="-3"/>
        </w:rPr>
        <w:t> </w:t>
      </w:r>
      <w:r>
        <w:rPr/>
        <w:t>of</w:t>
      </w:r>
      <w:r>
        <w:rPr>
          <w:spacing w:val="-3"/>
        </w:rPr>
        <w:t> </w:t>
      </w:r>
      <w:r>
        <w:rPr/>
        <w:t>which</w:t>
      </w:r>
      <w:r>
        <w:rPr>
          <w:spacing w:val="-3"/>
        </w:rPr>
        <w:t> </w:t>
      </w:r>
      <w:r>
        <w:rPr/>
        <w:t>showing not altered (H and E staining, × 250)</w:t>
      </w:r>
      <w:r>
        <w:rPr>
          <w:spacing w:val="80"/>
        </w:rPr>
        <w:t> </w:t>
      </w:r>
      <w:r>
        <w:rPr/>
        <w:t>.</w:t>
      </w:r>
    </w:p>
    <w:p>
      <w:pPr>
        <w:spacing w:after="0" w:line="276" w:lineRule="auto"/>
        <w:jc w:val="both"/>
        <w:sectPr>
          <w:pgSz w:w="11910" w:h="16840"/>
          <w:pgMar w:header="0" w:footer="981" w:top="1400" w:bottom="1180" w:left="1240" w:right="560"/>
        </w:sectPr>
      </w:pPr>
    </w:p>
    <w:p>
      <w:pPr>
        <w:pStyle w:val="Heading2"/>
        <w:spacing w:before="69"/>
        <w:ind w:left="2188" w:firstLine="0"/>
        <w:jc w:val="both"/>
      </w:pPr>
      <w:r>
        <w:rPr/>
        <w:t>4.7</w:t>
      </w:r>
      <w:r>
        <w:rPr>
          <w:spacing w:val="78"/>
        </w:rPr>
        <w:t>   </w:t>
      </w:r>
      <w:r>
        <w:rPr/>
        <w:t>Inhibitory Effect</w:t>
      </w:r>
      <w:r>
        <w:rPr>
          <w:spacing w:val="-1"/>
        </w:rPr>
        <w:t> </w:t>
      </w:r>
      <w:r>
        <w:rPr/>
        <w:t>of</w:t>
      </w:r>
      <w:r>
        <w:rPr>
          <w:spacing w:val="-1"/>
        </w:rPr>
        <w:t> </w:t>
      </w:r>
      <w:r>
        <w:rPr/>
        <w:t>the</w:t>
      </w:r>
      <w:r>
        <w:rPr>
          <w:spacing w:val="-1"/>
        </w:rPr>
        <w:t> </w:t>
      </w:r>
      <w:r>
        <w:rPr/>
        <w:t>Extract</w:t>
      </w:r>
      <w:r>
        <w:rPr>
          <w:spacing w:val="-1"/>
        </w:rPr>
        <w:t> </w:t>
      </w:r>
      <w:r>
        <w:rPr/>
        <w:t>on</w:t>
      </w:r>
      <w:r>
        <w:rPr>
          <w:spacing w:val="-1"/>
        </w:rPr>
        <w:t> </w:t>
      </w:r>
      <w:r>
        <w:rPr/>
        <w:t>Bacterial </w:t>
      </w:r>
      <w:r>
        <w:rPr>
          <w:spacing w:val="-2"/>
        </w:rPr>
        <w:t>Growth</w:t>
      </w:r>
    </w:p>
    <w:p>
      <w:pPr>
        <w:pStyle w:val="BodyText"/>
        <w:spacing w:line="480" w:lineRule="auto" w:before="272"/>
        <w:ind w:left="747" w:right="845"/>
        <w:jc w:val="both"/>
      </w:pPr>
      <w:r>
        <w:rPr/>
        <w:t>The extract at a concentration of 100 mg/ml did not inhibit the growth of </w:t>
      </w:r>
      <w:r>
        <w:rPr>
          <w:i/>
        </w:rPr>
        <w:t>Escherichia. coli</w:t>
      </w:r>
      <w:r>
        <w:rPr/>
        <w:t>, but at 200 mg/ml, it had a zone diameter of 14.00 mm similar to that of</w:t>
      </w:r>
      <w:r>
        <w:rPr>
          <w:spacing w:val="40"/>
        </w:rPr>
        <w:t> </w:t>
      </w:r>
      <w:r>
        <w:rPr/>
        <w:t>gentamycin. According to European Committee on Antimicrobial susceptibility</w:t>
      </w:r>
      <w:r>
        <w:rPr>
          <w:spacing w:val="-1"/>
        </w:rPr>
        <w:t> </w:t>
      </w:r>
      <w:r>
        <w:rPr/>
        <w:t>Testing Intepretation (Appendix I). </w:t>
      </w:r>
      <w:r>
        <w:rPr>
          <w:i/>
        </w:rPr>
        <w:t>Escherichia. coli </w:t>
      </w:r>
      <w:r>
        <w:rPr/>
        <w:t>were susceptible to meropenem (23.00 mm), intermediate to gentamycin (14.00 mm) and ceftriaxone (22.00 mm) but resistant to ciprofloxacin (17.50 mm) (Table 4.5).</w:t>
      </w:r>
    </w:p>
    <w:p>
      <w:pPr>
        <w:pStyle w:val="Heading2"/>
        <w:spacing w:line="242" w:lineRule="auto" w:before="205"/>
        <w:ind w:left="2188" w:right="848" w:hanging="1441"/>
        <w:jc w:val="both"/>
        <w:rPr>
          <w:i/>
        </w:rPr>
      </w:pPr>
      <w:r>
        <w:rPr/>
        <w:t>Table</w:t>
      </w:r>
      <w:r>
        <w:rPr>
          <w:spacing w:val="-2"/>
        </w:rPr>
        <w:t> </w:t>
      </w:r>
      <w:r>
        <w:rPr/>
        <w:t>4.5:</w:t>
      </w:r>
      <w:r>
        <w:rPr>
          <w:spacing w:val="80"/>
          <w:w w:val="150"/>
        </w:rPr>
        <w:t> </w:t>
      </w:r>
      <w:r>
        <w:rPr/>
        <w:t>Growth Inhibition Zones of Two Extract Doses and Four Standard Antibiotics Specific for </w:t>
      </w:r>
      <w:r>
        <w:rPr>
          <w:i/>
        </w:rPr>
        <w:t>Escherichia. coli</w:t>
      </w:r>
    </w:p>
    <w:p>
      <w:pPr>
        <w:pStyle w:val="BodyText"/>
        <w:spacing w:before="1"/>
        <w:rPr>
          <w:b/>
          <w:i/>
          <w:sz w:val="17"/>
        </w:rPr>
      </w:pPr>
    </w:p>
    <w:tbl>
      <w:tblPr>
        <w:tblW w:w="0" w:type="auto"/>
        <w:jc w:val="lef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3"/>
        <w:gridCol w:w="2331"/>
        <w:gridCol w:w="2628"/>
        <w:gridCol w:w="2062"/>
      </w:tblGrid>
      <w:tr>
        <w:trPr>
          <w:trHeight w:val="1305" w:hRule="atLeast"/>
        </w:trPr>
        <w:tc>
          <w:tcPr>
            <w:tcW w:w="1703" w:type="dxa"/>
            <w:tcBorders>
              <w:top w:val="single" w:sz="4" w:space="0" w:color="000000"/>
              <w:bottom w:val="single" w:sz="4" w:space="0" w:color="000000"/>
            </w:tcBorders>
          </w:tcPr>
          <w:p>
            <w:pPr>
              <w:pStyle w:val="TableParagraph"/>
              <w:spacing w:before="1"/>
              <w:ind w:left="108"/>
              <w:rPr>
                <w:b/>
                <w:sz w:val="24"/>
              </w:rPr>
            </w:pPr>
            <w:r>
              <w:rPr>
                <w:b/>
                <w:spacing w:val="-2"/>
                <w:sz w:val="24"/>
              </w:rPr>
              <w:t>Organism</w:t>
            </w:r>
          </w:p>
        </w:tc>
        <w:tc>
          <w:tcPr>
            <w:tcW w:w="2331" w:type="dxa"/>
            <w:tcBorders>
              <w:top w:val="single" w:sz="4" w:space="0" w:color="000000"/>
              <w:bottom w:val="single" w:sz="4" w:space="0" w:color="000000"/>
            </w:tcBorders>
          </w:tcPr>
          <w:p>
            <w:pPr>
              <w:pStyle w:val="TableParagraph"/>
              <w:spacing w:before="1"/>
              <w:ind w:left="567"/>
              <w:rPr>
                <w:b/>
                <w:sz w:val="24"/>
              </w:rPr>
            </w:pPr>
            <w:r>
              <w:rPr>
                <w:b/>
                <w:spacing w:val="-4"/>
                <w:sz w:val="24"/>
              </w:rPr>
              <w:t>Agent</w:t>
            </w:r>
          </w:p>
        </w:tc>
        <w:tc>
          <w:tcPr>
            <w:tcW w:w="2628" w:type="dxa"/>
            <w:tcBorders>
              <w:top w:val="single" w:sz="4" w:space="0" w:color="000000"/>
              <w:bottom w:val="single" w:sz="4" w:space="0" w:color="000000"/>
            </w:tcBorders>
          </w:tcPr>
          <w:p>
            <w:pPr>
              <w:pStyle w:val="TableParagraph"/>
              <w:spacing w:line="482" w:lineRule="auto"/>
              <w:ind w:left="430"/>
              <w:rPr>
                <w:b/>
                <w:sz w:val="24"/>
              </w:rPr>
            </w:pPr>
            <w:r>
              <w:rPr>
                <w:b/>
                <w:sz w:val="24"/>
              </w:rPr>
              <w:t>Zone</w:t>
            </w:r>
            <w:r>
              <w:rPr>
                <w:b/>
                <w:spacing w:val="80"/>
                <w:sz w:val="24"/>
              </w:rPr>
              <w:t> </w:t>
            </w:r>
            <w:r>
              <w:rPr>
                <w:b/>
                <w:sz w:val="24"/>
              </w:rPr>
              <w:t>of</w:t>
            </w:r>
            <w:r>
              <w:rPr>
                <w:b/>
                <w:spacing w:val="80"/>
                <w:sz w:val="24"/>
              </w:rPr>
              <w:t> </w:t>
            </w:r>
            <w:r>
              <w:rPr>
                <w:b/>
                <w:sz w:val="24"/>
              </w:rPr>
              <w:t>Inhibition Mean ± SEM</w:t>
            </w:r>
          </w:p>
        </w:tc>
        <w:tc>
          <w:tcPr>
            <w:tcW w:w="2062" w:type="dxa"/>
            <w:tcBorders>
              <w:top w:val="single" w:sz="4" w:space="0" w:color="000000"/>
              <w:bottom w:val="single" w:sz="4" w:space="0" w:color="000000"/>
            </w:tcBorders>
          </w:tcPr>
          <w:p>
            <w:pPr>
              <w:pStyle w:val="TableParagraph"/>
              <w:spacing w:before="1"/>
              <w:ind w:left="109"/>
              <w:rPr>
                <w:b/>
                <w:sz w:val="24"/>
              </w:rPr>
            </w:pPr>
            <w:r>
              <w:rPr>
                <w:b/>
                <w:spacing w:val="-2"/>
                <w:sz w:val="24"/>
              </w:rPr>
              <w:t>Interpretation</w:t>
            </w:r>
          </w:p>
        </w:tc>
      </w:tr>
      <w:tr>
        <w:trPr>
          <w:trHeight w:val="513" w:hRule="atLeast"/>
        </w:trPr>
        <w:tc>
          <w:tcPr>
            <w:tcW w:w="1703" w:type="dxa"/>
            <w:tcBorders>
              <w:top w:val="single" w:sz="4" w:space="0" w:color="000000"/>
            </w:tcBorders>
          </w:tcPr>
          <w:p>
            <w:pPr>
              <w:pStyle w:val="TableParagraph"/>
              <w:spacing w:line="270" w:lineRule="exact"/>
              <w:ind w:left="108"/>
              <w:rPr>
                <w:i/>
                <w:sz w:val="24"/>
              </w:rPr>
            </w:pPr>
            <w:r>
              <w:rPr>
                <w:i/>
                <w:sz w:val="24"/>
              </w:rPr>
              <w:t>E. </w:t>
            </w:r>
            <w:r>
              <w:rPr>
                <w:i/>
                <w:spacing w:val="-4"/>
                <w:sz w:val="24"/>
              </w:rPr>
              <w:t>coli</w:t>
            </w:r>
          </w:p>
        </w:tc>
        <w:tc>
          <w:tcPr>
            <w:tcW w:w="2331" w:type="dxa"/>
            <w:tcBorders>
              <w:top w:val="single" w:sz="4" w:space="0" w:color="000000"/>
            </w:tcBorders>
          </w:tcPr>
          <w:p>
            <w:pPr>
              <w:pStyle w:val="TableParagraph"/>
              <w:spacing w:line="270" w:lineRule="exact"/>
              <w:ind w:left="567"/>
              <w:rPr>
                <w:sz w:val="24"/>
              </w:rPr>
            </w:pPr>
            <w:r>
              <w:rPr>
                <w:sz w:val="24"/>
              </w:rPr>
              <w:t>CME </w:t>
            </w:r>
            <w:r>
              <w:rPr>
                <w:spacing w:val="-5"/>
                <w:sz w:val="24"/>
              </w:rPr>
              <w:t>100</w:t>
            </w:r>
          </w:p>
        </w:tc>
        <w:tc>
          <w:tcPr>
            <w:tcW w:w="2628" w:type="dxa"/>
            <w:tcBorders>
              <w:top w:val="single" w:sz="4" w:space="0" w:color="000000"/>
            </w:tcBorders>
          </w:tcPr>
          <w:p>
            <w:pPr>
              <w:pStyle w:val="TableParagraph"/>
              <w:spacing w:line="270" w:lineRule="exact"/>
              <w:ind w:left="430"/>
              <w:rPr>
                <w:sz w:val="24"/>
              </w:rPr>
            </w:pPr>
            <w:r>
              <w:rPr>
                <w:spacing w:val="-5"/>
                <w:sz w:val="24"/>
              </w:rPr>
              <w:t>Nil</w:t>
            </w:r>
          </w:p>
        </w:tc>
        <w:tc>
          <w:tcPr>
            <w:tcW w:w="2062" w:type="dxa"/>
            <w:tcBorders>
              <w:top w:val="single" w:sz="4" w:space="0" w:color="000000"/>
            </w:tcBorders>
          </w:tcPr>
          <w:p>
            <w:pPr>
              <w:pStyle w:val="TableParagraph"/>
              <w:spacing w:line="270" w:lineRule="exact"/>
              <w:ind w:left="109"/>
              <w:rPr>
                <w:sz w:val="24"/>
              </w:rPr>
            </w:pPr>
            <w:r>
              <w:rPr>
                <w:spacing w:val="-10"/>
                <w:sz w:val="24"/>
              </w:rPr>
              <w:t>R</w:t>
            </w:r>
          </w:p>
        </w:tc>
      </w:tr>
      <w:tr>
        <w:trPr>
          <w:trHeight w:val="752" w:hRule="atLeast"/>
        </w:trPr>
        <w:tc>
          <w:tcPr>
            <w:tcW w:w="1703" w:type="dxa"/>
          </w:tcPr>
          <w:p>
            <w:pPr>
              <w:pStyle w:val="TableParagraph"/>
              <w:rPr>
                <w:sz w:val="24"/>
              </w:rPr>
            </w:pPr>
          </w:p>
        </w:tc>
        <w:tc>
          <w:tcPr>
            <w:tcW w:w="2331" w:type="dxa"/>
          </w:tcPr>
          <w:p>
            <w:pPr>
              <w:pStyle w:val="TableParagraph"/>
              <w:spacing w:before="232"/>
              <w:ind w:left="567"/>
              <w:rPr>
                <w:sz w:val="24"/>
              </w:rPr>
            </w:pPr>
            <w:r>
              <w:rPr>
                <w:sz w:val="24"/>
              </w:rPr>
              <w:t>CME </w:t>
            </w:r>
            <w:r>
              <w:rPr>
                <w:spacing w:val="-5"/>
                <w:sz w:val="24"/>
              </w:rPr>
              <w:t>200</w:t>
            </w:r>
          </w:p>
        </w:tc>
        <w:tc>
          <w:tcPr>
            <w:tcW w:w="2628" w:type="dxa"/>
          </w:tcPr>
          <w:p>
            <w:pPr>
              <w:pStyle w:val="TableParagraph"/>
              <w:spacing w:before="232"/>
              <w:ind w:left="430"/>
              <w:rPr>
                <w:sz w:val="24"/>
              </w:rPr>
            </w:pPr>
            <w:r>
              <w:rPr>
                <w:sz w:val="24"/>
              </w:rPr>
              <w:t>14.00 </w:t>
            </w:r>
            <w:r>
              <w:rPr>
                <w:spacing w:val="-5"/>
                <w:sz w:val="24"/>
              </w:rPr>
              <w:t>±0</w:t>
            </w:r>
          </w:p>
        </w:tc>
        <w:tc>
          <w:tcPr>
            <w:tcW w:w="2062" w:type="dxa"/>
          </w:tcPr>
          <w:p>
            <w:pPr>
              <w:pStyle w:val="TableParagraph"/>
              <w:spacing w:before="232"/>
              <w:ind w:left="109"/>
              <w:rPr>
                <w:sz w:val="24"/>
              </w:rPr>
            </w:pPr>
            <w:r>
              <w:rPr>
                <w:spacing w:val="-10"/>
                <w:sz w:val="24"/>
              </w:rPr>
              <w:t>I</w:t>
            </w:r>
          </w:p>
        </w:tc>
      </w:tr>
      <w:tr>
        <w:trPr>
          <w:trHeight w:val="752" w:hRule="atLeast"/>
        </w:trPr>
        <w:tc>
          <w:tcPr>
            <w:tcW w:w="1703" w:type="dxa"/>
          </w:tcPr>
          <w:p>
            <w:pPr>
              <w:pStyle w:val="TableParagraph"/>
              <w:rPr>
                <w:sz w:val="24"/>
              </w:rPr>
            </w:pPr>
          </w:p>
        </w:tc>
        <w:tc>
          <w:tcPr>
            <w:tcW w:w="2331" w:type="dxa"/>
          </w:tcPr>
          <w:p>
            <w:pPr>
              <w:pStyle w:val="TableParagraph"/>
              <w:spacing w:before="233"/>
              <w:ind w:left="567"/>
              <w:rPr>
                <w:sz w:val="24"/>
              </w:rPr>
            </w:pPr>
            <w:r>
              <w:rPr>
                <w:spacing w:val="-2"/>
                <w:sz w:val="24"/>
              </w:rPr>
              <w:t>Gentamycin</w:t>
            </w:r>
          </w:p>
        </w:tc>
        <w:tc>
          <w:tcPr>
            <w:tcW w:w="2628" w:type="dxa"/>
          </w:tcPr>
          <w:p>
            <w:pPr>
              <w:pStyle w:val="TableParagraph"/>
              <w:spacing w:before="233"/>
              <w:ind w:left="430"/>
              <w:rPr>
                <w:sz w:val="24"/>
              </w:rPr>
            </w:pPr>
            <w:r>
              <w:rPr>
                <w:sz w:val="24"/>
              </w:rPr>
              <w:t>14.00 ± </w:t>
            </w:r>
            <w:r>
              <w:rPr>
                <w:spacing w:val="-10"/>
                <w:sz w:val="24"/>
              </w:rPr>
              <w:t>0</w:t>
            </w:r>
          </w:p>
        </w:tc>
        <w:tc>
          <w:tcPr>
            <w:tcW w:w="2062" w:type="dxa"/>
          </w:tcPr>
          <w:p>
            <w:pPr>
              <w:pStyle w:val="TableParagraph"/>
              <w:spacing w:before="233"/>
              <w:ind w:left="109"/>
              <w:rPr>
                <w:sz w:val="24"/>
              </w:rPr>
            </w:pPr>
            <w:r>
              <w:rPr>
                <w:spacing w:val="-10"/>
                <w:sz w:val="24"/>
              </w:rPr>
              <w:t>I</w:t>
            </w:r>
          </w:p>
        </w:tc>
      </w:tr>
      <w:tr>
        <w:trPr>
          <w:trHeight w:val="751" w:hRule="atLeast"/>
        </w:trPr>
        <w:tc>
          <w:tcPr>
            <w:tcW w:w="1703" w:type="dxa"/>
          </w:tcPr>
          <w:p>
            <w:pPr>
              <w:pStyle w:val="TableParagraph"/>
              <w:rPr>
                <w:sz w:val="24"/>
              </w:rPr>
            </w:pPr>
          </w:p>
        </w:tc>
        <w:tc>
          <w:tcPr>
            <w:tcW w:w="2331" w:type="dxa"/>
          </w:tcPr>
          <w:p>
            <w:pPr>
              <w:pStyle w:val="TableParagraph"/>
              <w:spacing w:before="232"/>
              <w:ind w:left="567"/>
              <w:rPr>
                <w:sz w:val="24"/>
              </w:rPr>
            </w:pPr>
            <w:r>
              <w:rPr>
                <w:spacing w:val="-2"/>
                <w:sz w:val="24"/>
              </w:rPr>
              <w:t>Ciprofloxacin</w:t>
            </w:r>
          </w:p>
        </w:tc>
        <w:tc>
          <w:tcPr>
            <w:tcW w:w="2628" w:type="dxa"/>
          </w:tcPr>
          <w:p>
            <w:pPr>
              <w:pStyle w:val="TableParagraph"/>
              <w:spacing w:before="232"/>
              <w:ind w:left="430"/>
              <w:rPr>
                <w:sz w:val="24"/>
              </w:rPr>
            </w:pPr>
            <w:r>
              <w:rPr>
                <w:sz w:val="24"/>
              </w:rPr>
              <w:t>17.50 </w:t>
            </w:r>
            <w:r>
              <w:rPr>
                <w:spacing w:val="-4"/>
                <w:sz w:val="24"/>
              </w:rPr>
              <w:t>±0.5</w:t>
            </w:r>
          </w:p>
        </w:tc>
        <w:tc>
          <w:tcPr>
            <w:tcW w:w="2062" w:type="dxa"/>
          </w:tcPr>
          <w:p>
            <w:pPr>
              <w:pStyle w:val="TableParagraph"/>
              <w:spacing w:before="232"/>
              <w:ind w:left="109"/>
              <w:rPr>
                <w:sz w:val="24"/>
              </w:rPr>
            </w:pPr>
            <w:r>
              <w:rPr>
                <w:spacing w:val="-10"/>
                <w:sz w:val="24"/>
              </w:rPr>
              <w:t>R</w:t>
            </w:r>
          </w:p>
        </w:tc>
      </w:tr>
      <w:tr>
        <w:trPr>
          <w:trHeight w:val="752" w:hRule="atLeast"/>
        </w:trPr>
        <w:tc>
          <w:tcPr>
            <w:tcW w:w="1703" w:type="dxa"/>
          </w:tcPr>
          <w:p>
            <w:pPr>
              <w:pStyle w:val="TableParagraph"/>
              <w:rPr>
                <w:sz w:val="24"/>
              </w:rPr>
            </w:pPr>
          </w:p>
        </w:tc>
        <w:tc>
          <w:tcPr>
            <w:tcW w:w="2331" w:type="dxa"/>
          </w:tcPr>
          <w:p>
            <w:pPr>
              <w:pStyle w:val="TableParagraph"/>
              <w:spacing w:before="232"/>
              <w:ind w:left="567"/>
              <w:rPr>
                <w:sz w:val="24"/>
              </w:rPr>
            </w:pPr>
            <w:r>
              <w:rPr>
                <w:spacing w:val="-2"/>
                <w:sz w:val="24"/>
              </w:rPr>
              <w:t>Ceftriaxone</w:t>
            </w:r>
          </w:p>
        </w:tc>
        <w:tc>
          <w:tcPr>
            <w:tcW w:w="2628" w:type="dxa"/>
          </w:tcPr>
          <w:p>
            <w:pPr>
              <w:pStyle w:val="TableParagraph"/>
              <w:spacing w:before="232"/>
              <w:ind w:left="430"/>
              <w:rPr>
                <w:sz w:val="24"/>
              </w:rPr>
            </w:pPr>
            <w:r>
              <w:rPr>
                <w:sz w:val="24"/>
              </w:rPr>
              <w:t>22.00 </w:t>
            </w:r>
            <w:r>
              <w:rPr>
                <w:spacing w:val="-5"/>
                <w:sz w:val="24"/>
              </w:rPr>
              <w:t>±0</w:t>
            </w:r>
          </w:p>
        </w:tc>
        <w:tc>
          <w:tcPr>
            <w:tcW w:w="2062" w:type="dxa"/>
          </w:tcPr>
          <w:p>
            <w:pPr>
              <w:pStyle w:val="TableParagraph"/>
              <w:spacing w:before="232"/>
              <w:ind w:left="109"/>
              <w:rPr>
                <w:sz w:val="24"/>
              </w:rPr>
            </w:pPr>
            <w:r>
              <w:rPr>
                <w:spacing w:val="-10"/>
                <w:sz w:val="24"/>
              </w:rPr>
              <w:t>I</w:t>
            </w:r>
          </w:p>
        </w:tc>
      </w:tr>
      <w:tr>
        <w:trPr>
          <w:trHeight w:val="509" w:hRule="atLeast"/>
        </w:trPr>
        <w:tc>
          <w:tcPr>
            <w:tcW w:w="1703" w:type="dxa"/>
          </w:tcPr>
          <w:p>
            <w:pPr>
              <w:pStyle w:val="TableParagraph"/>
              <w:rPr>
                <w:sz w:val="24"/>
              </w:rPr>
            </w:pPr>
          </w:p>
        </w:tc>
        <w:tc>
          <w:tcPr>
            <w:tcW w:w="2331" w:type="dxa"/>
          </w:tcPr>
          <w:p>
            <w:pPr>
              <w:pStyle w:val="TableParagraph"/>
              <w:spacing w:line="256" w:lineRule="exact" w:before="233"/>
              <w:ind w:left="567"/>
              <w:rPr>
                <w:sz w:val="24"/>
              </w:rPr>
            </w:pPr>
            <w:r>
              <w:rPr>
                <w:spacing w:val="-2"/>
                <w:sz w:val="24"/>
              </w:rPr>
              <w:t>Meropenem</w:t>
            </w:r>
          </w:p>
        </w:tc>
        <w:tc>
          <w:tcPr>
            <w:tcW w:w="2628" w:type="dxa"/>
          </w:tcPr>
          <w:p>
            <w:pPr>
              <w:pStyle w:val="TableParagraph"/>
              <w:spacing w:line="256" w:lineRule="exact" w:before="233"/>
              <w:ind w:left="430"/>
              <w:rPr>
                <w:sz w:val="24"/>
              </w:rPr>
            </w:pPr>
            <w:r>
              <w:rPr>
                <w:sz w:val="24"/>
              </w:rPr>
              <w:t>23.00 </w:t>
            </w:r>
            <w:r>
              <w:rPr>
                <w:spacing w:val="-4"/>
                <w:sz w:val="24"/>
              </w:rPr>
              <w:t>±1.0</w:t>
            </w:r>
          </w:p>
        </w:tc>
        <w:tc>
          <w:tcPr>
            <w:tcW w:w="2062" w:type="dxa"/>
          </w:tcPr>
          <w:p>
            <w:pPr>
              <w:pStyle w:val="TableParagraph"/>
              <w:spacing w:line="256" w:lineRule="exact" w:before="233"/>
              <w:ind w:left="109"/>
              <w:rPr>
                <w:sz w:val="24"/>
              </w:rPr>
            </w:pPr>
            <w:r>
              <w:rPr>
                <w:spacing w:val="-10"/>
                <w:sz w:val="24"/>
              </w:rPr>
              <w:t>S</w:t>
            </w:r>
          </w:p>
        </w:tc>
      </w:tr>
    </w:tbl>
    <w:p>
      <w:pPr>
        <w:pStyle w:val="BodyText"/>
        <w:spacing w:before="229"/>
        <w:rPr>
          <w:b/>
          <w:i/>
          <w:sz w:val="20"/>
        </w:rPr>
      </w:pPr>
      <w:r>
        <w:rPr/>
        <mc:AlternateContent>
          <mc:Choice Requires="wps">
            <w:drawing>
              <wp:anchor distT="0" distB="0" distL="0" distR="0" allowOverlap="1" layoutInCell="1" locked="0" behindDoc="1" simplePos="0" relativeHeight="487598080">
                <wp:simplePos x="0" y="0"/>
                <wp:positionH relativeFrom="page">
                  <wp:posOffset>1184452</wp:posOffset>
                </wp:positionH>
                <wp:positionV relativeFrom="paragraph">
                  <wp:posOffset>307225</wp:posOffset>
                </wp:positionV>
                <wp:extent cx="5550535" cy="635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5550535" cy="6350"/>
                        </a:xfrm>
                        <a:custGeom>
                          <a:avLst/>
                          <a:gdLst/>
                          <a:ahLst/>
                          <a:cxnLst/>
                          <a:rect l="l" t="t" r="r" b="b"/>
                          <a:pathLst>
                            <a:path w="5550535" h="6350">
                              <a:moveTo>
                                <a:pt x="5550103" y="0"/>
                              </a:moveTo>
                              <a:lnTo>
                                <a:pt x="5550103" y="0"/>
                              </a:lnTo>
                              <a:lnTo>
                                <a:pt x="0" y="0"/>
                              </a:lnTo>
                              <a:lnTo>
                                <a:pt x="0" y="6083"/>
                              </a:lnTo>
                              <a:lnTo>
                                <a:pt x="5550103" y="6083"/>
                              </a:lnTo>
                              <a:lnTo>
                                <a:pt x="5550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24.190998pt;width:437.016021pt;height:.479pt;mso-position-horizontal-relative:page;mso-position-vertical-relative:paragraph;z-index:-15718400;mso-wrap-distance-left:0;mso-wrap-distance-right:0" id="docshape27" filled="true" fillcolor="#000000" stroked="false">
                <v:fill type="solid"/>
                <w10:wrap type="topAndBottom"/>
              </v:rect>
            </w:pict>
          </mc:Fallback>
        </mc:AlternateContent>
      </w:r>
    </w:p>
    <w:p>
      <w:pPr>
        <w:spacing w:line="242" w:lineRule="auto" w:before="0"/>
        <w:ind w:left="747" w:right="847" w:firstLine="0"/>
        <w:jc w:val="both"/>
        <w:rPr>
          <w:sz w:val="24"/>
        </w:rPr>
      </w:pPr>
      <w:r>
        <w:rPr>
          <w:sz w:val="24"/>
        </w:rPr>
        <w:t>n</w:t>
      </w:r>
      <w:r>
        <w:rPr>
          <w:b/>
          <w:sz w:val="24"/>
        </w:rPr>
        <w:t>=</w:t>
      </w:r>
      <w:r>
        <w:rPr>
          <w:sz w:val="24"/>
        </w:rPr>
        <w:t>2,</w:t>
      </w:r>
      <w:r>
        <w:rPr>
          <w:spacing w:val="-3"/>
          <w:sz w:val="24"/>
        </w:rPr>
        <w:t> </w:t>
      </w:r>
      <w:r>
        <w:rPr>
          <w:sz w:val="24"/>
        </w:rPr>
        <w:t>CME</w:t>
      </w:r>
      <w:r>
        <w:rPr>
          <w:spacing w:val="-3"/>
          <w:sz w:val="24"/>
        </w:rPr>
        <w:t> </w:t>
      </w:r>
      <w:r>
        <w:rPr>
          <w:sz w:val="24"/>
        </w:rPr>
        <w:t>100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100</w:t>
      </w:r>
      <w:r>
        <w:rPr>
          <w:spacing w:val="-3"/>
          <w:sz w:val="24"/>
        </w:rPr>
        <w:t> </w:t>
      </w:r>
      <w:r>
        <w:rPr>
          <w:sz w:val="24"/>
        </w:rPr>
        <w:t>mg/ml),</w:t>
      </w:r>
      <w:r>
        <w:rPr>
          <w:spacing w:val="-3"/>
          <w:sz w:val="24"/>
        </w:rPr>
        <w:t> </w:t>
      </w:r>
      <w:r>
        <w:rPr>
          <w:sz w:val="24"/>
        </w:rPr>
        <w:t>CME 200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200</w:t>
      </w:r>
      <w:r>
        <w:rPr>
          <w:spacing w:val="-1"/>
          <w:sz w:val="24"/>
        </w:rPr>
        <w:t> </w:t>
      </w:r>
      <w:r>
        <w:rPr>
          <w:sz w:val="24"/>
        </w:rPr>
        <w:t>mg/ml),</w:t>
      </w:r>
      <w:r>
        <w:rPr>
          <w:spacing w:val="-3"/>
          <w:sz w:val="24"/>
        </w:rPr>
        <w:t> </w:t>
      </w:r>
      <w:r>
        <w:rPr>
          <w:sz w:val="24"/>
        </w:rPr>
        <w:t>R</w:t>
      </w:r>
      <w:r>
        <w:rPr>
          <w:spacing w:val="-3"/>
          <w:sz w:val="24"/>
        </w:rPr>
        <w:t> </w:t>
      </w:r>
      <w:r>
        <w:rPr>
          <w:sz w:val="24"/>
        </w:rPr>
        <w:t>= Resistant, I = Intermediate, S = Susceptibility.</w:t>
      </w:r>
    </w:p>
    <w:p>
      <w:pPr>
        <w:spacing w:after="0" w:line="242" w:lineRule="auto"/>
        <w:jc w:val="both"/>
        <w:rPr>
          <w:sz w:val="24"/>
        </w:rPr>
        <w:sectPr>
          <w:pgSz w:w="11910" w:h="16840"/>
          <w:pgMar w:header="0" w:footer="981" w:top="1320" w:bottom="1180" w:left="1240" w:right="560"/>
        </w:sectPr>
      </w:pPr>
    </w:p>
    <w:p>
      <w:pPr>
        <w:pStyle w:val="BodyText"/>
        <w:spacing w:line="480" w:lineRule="auto" w:before="64"/>
        <w:ind w:left="747" w:right="844"/>
        <w:jc w:val="both"/>
      </w:pPr>
      <w:r>
        <w:rPr/>
        <w:t>The</w:t>
      </w:r>
      <w:r>
        <w:rPr>
          <w:spacing w:val="-3"/>
        </w:rPr>
        <w:t> </w:t>
      </w:r>
      <w:r>
        <w:rPr/>
        <w:t>100</w:t>
      </w:r>
      <w:r>
        <w:rPr>
          <w:spacing w:val="-1"/>
        </w:rPr>
        <w:t> </w:t>
      </w:r>
      <w:r>
        <w:rPr/>
        <w:t>and</w:t>
      </w:r>
      <w:r>
        <w:rPr>
          <w:spacing w:val="-1"/>
        </w:rPr>
        <w:t> </w:t>
      </w:r>
      <w:r>
        <w:rPr/>
        <w:t>200</w:t>
      </w:r>
      <w:r>
        <w:rPr>
          <w:spacing w:val="-1"/>
        </w:rPr>
        <w:t> </w:t>
      </w:r>
      <w:r>
        <w:rPr/>
        <w:t>mg/ml</w:t>
      </w:r>
      <w:r>
        <w:rPr>
          <w:spacing w:val="-1"/>
        </w:rPr>
        <w:t> </w:t>
      </w:r>
      <w:r>
        <w:rPr/>
        <w:t>of</w:t>
      </w:r>
      <w:r>
        <w:rPr>
          <w:spacing w:val="-2"/>
        </w:rPr>
        <w:t> </w:t>
      </w:r>
      <w:r>
        <w:rPr/>
        <w:t>the</w:t>
      </w:r>
      <w:r>
        <w:rPr>
          <w:spacing w:val="-2"/>
        </w:rPr>
        <w:t> </w:t>
      </w:r>
      <w:r>
        <w:rPr/>
        <w:t>extract inhibit</w:t>
      </w:r>
      <w:r>
        <w:rPr>
          <w:spacing w:val="-3"/>
        </w:rPr>
        <w:t> </w:t>
      </w:r>
      <w:r>
        <w:rPr/>
        <w:t>the</w:t>
      </w:r>
      <w:r>
        <w:rPr>
          <w:spacing w:val="-3"/>
        </w:rPr>
        <w:t> </w:t>
      </w:r>
      <w:r>
        <w:rPr/>
        <w:t>growth</w:t>
      </w:r>
      <w:r>
        <w:rPr>
          <w:spacing w:val="-1"/>
        </w:rPr>
        <w:t> </w:t>
      </w:r>
      <w:r>
        <w:rPr/>
        <w:t>of </w:t>
      </w:r>
      <w:r>
        <w:rPr>
          <w:i/>
        </w:rPr>
        <w:t>Staphylococcus.</w:t>
      </w:r>
      <w:r>
        <w:rPr>
          <w:i/>
          <w:spacing w:val="-1"/>
        </w:rPr>
        <w:t> </w:t>
      </w:r>
      <w:r>
        <w:rPr>
          <w:i/>
        </w:rPr>
        <w:t>aureus </w:t>
      </w:r>
      <w:r>
        <w:rPr/>
        <w:t>with the zone diameter of 16.00 and 20.00 mm respectively.</w:t>
      </w:r>
      <w:r>
        <w:rPr>
          <w:spacing w:val="40"/>
        </w:rPr>
        <w:t> </w:t>
      </w:r>
      <w:r>
        <w:rPr>
          <w:i/>
        </w:rPr>
        <w:t>Staphylococcus. aureus </w:t>
      </w:r>
      <w:r>
        <w:rPr/>
        <w:t>was susceptible to both azithromycin (26.00 mm) and tetracycline (16.50 mm), while vancomycin and augmentin did not show any growth zone inhibition (resistant) (Table </w:t>
      </w:r>
      <w:r>
        <w:rPr>
          <w:spacing w:val="-2"/>
        </w:rPr>
        <w:t>4.6).</w:t>
      </w:r>
    </w:p>
    <w:p>
      <w:pPr>
        <w:pStyle w:val="Heading2"/>
        <w:spacing w:line="242" w:lineRule="auto" w:before="205"/>
        <w:ind w:left="2188" w:right="848" w:hanging="1441"/>
        <w:jc w:val="both"/>
        <w:rPr>
          <w:i/>
        </w:rPr>
      </w:pPr>
      <w:r>
        <w:rPr/>
        <w:t>Table</w:t>
      </w:r>
      <w:r>
        <w:rPr>
          <w:spacing w:val="-2"/>
        </w:rPr>
        <w:t> </w:t>
      </w:r>
      <w:r>
        <w:rPr/>
        <w:t>4.6:</w:t>
      </w:r>
      <w:r>
        <w:rPr>
          <w:spacing w:val="80"/>
          <w:w w:val="150"/>
        </w:rPr>
        <w:t> </w:t>
      </w:r>
      <w:r>
        <w:rPr/>
        <w:t>Growth Inhibition Zones of Two Extract Doses and Four Standard Antibiotics Specific for </w:t>
      </w:r>
      <w:r>
        <w:rPr>
          <w:i/>
        </w:rPr>
        <w:t>Staphylococcus. aureus</w:t>
      </w:r>
    </w:p>
    <w:p>
      <w:pPr>
        <w:pStyle w:val="BodyText"/>
        <w:spacing w:before="2"/>
        <w:rPr>
          <w:b/>
          <w:i/>
          <w:sz w:val="17"/>
        </w:r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8"/>
        <w:gridCol w:w="2331"/>
        <w:gridCol w:w="2487"/>
        <w:gridCol w:w="2207"/>
      </w:tblGrid>
      <w:tr>
        <w:trPr>
          <w:trHeight w:val="553" w:hRule="atLeast"/>
        </w:trPr>
        <w:tc>
          <w:tcPr>
            <w:tcW w:w="1718"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Organism</w:t>
            </w:r>
          </w:p>
        </w:tc>
        <w:tc>
          <w:tcPr>
            <w:tcW w:w="2331" w:type="dxa"/>
            <w:tcBorders>
              <w:top w:val="single" w:sz="4" w:space="0" w:color="000000"/>
              <w:bottom w:val="single" w:sz="4" w:space="0" w:color="000000"/>
            </w:tcBorders>
          </w:tcPr>
          <w:p>
            <w:pPr>
              <w:pStyle w:val="TableParagraph"/>
              <w:spacing w:line="275" w:lineRule="exact"/>
              <w:ind w:left="567"/>
              <w:rPr>
                <w:b/>
                <w:sz w:val="24"/>
              </w:rPr>
            </w:pPr>
            <w:r>
              <w:rPr>
                <w:b/>
                <w:spacing w:val="-4"/>
                <w:sz w:val="24"/>
              </w:rPr>
              <w:t>Agent</w:t>
            </w:r>
          </w:p>
        </w:tc>
        <w:tc>
          <w:tcPr>
            <w:tcW w:w="2487" w:type="dxa"/>
            <w:tcBorders>
              <w:top w:val="single" w:sz="4" w:space="0" w:color="000000"/>
              <w:bottom w:val="single" w:sz="4" w:space="0" w:color="000000"/>
            </w:tcBorders>
          </w:tcPr>
          <w:p>
            <w:pPr>
              <w:pStyle w:val="TableParagraph"/>
              <w:spacing w:line="276" w:lineRule="exact"/>
              <w:ind w:left="430"/>
              <w:rPr>
                <w:b/>
                <w:sz w:val="24"/>
              </w:rPr>
            </w:pPr>
            <w:r>
              <w:rPr>
                <w:b/>
                <w:sz w:val="24"/>
              </w:rPr>
              <w:t>Zone</w:t>
            </w:r>
            <w:r>
              <w:rPr>
                <w:b/>
                <w:spacing w:val="19"/>
                <w:sz w:val="24"/>
              </w:rPr>
              <w:t> </w:t>
            </w:r>
            <w:r>
              <w:rPr>
                <w:b/>
                <w:sz w:val="24"/>
              </w:rPr>
              <w:t>of</w:t>
            </w:r>
            <w:r>
              <w:rPr>
                <w:b/>
                <w:spacing w:val="21"/>
                <w:sz w:val="24"/>
              </w:rPr>
              <w:t> </w:t>
            </w:r>
            <w:r>
              <w:rPr>
                <w:b/>
                <w:sz w:val="24"/>
              </w:rPr>
              <w:t>Inhibition Mean ± SEM</w:t>
            </w:r>
          </w:p>
        </w:tc>
        <w:tc>
          <w:tcPr>
            <w:tcW w:w="2207" w:type="dxa"/>
            <w:tcBorders>
              <w:top w:val="single" w:sz="4" w:space="0" w:color="000000"/>
              <w:bottom w:val="single" w:sz="4" w:space="0" w:color="000000"/>
            </w:tcBorders>
          </w:tcPr>
          <w:p>
            <w:pPr>
              <w:pStyle w:val="TableParagraph"/>
              <w:spacing w:line="275" w:lineRule="exact"/>
              <w:ind w:left="106"/>
              <w:rPr>
                <w:b/>
                <w:sz w:val="24"/>
              </w:rPr>
            </w:pPr>
            <w:r>
              <w:rPr>
                <w:b/>
                <w:spacing w:val="-2"/>
                <w:sz w:val="24"/>
              </w:rPr>
              <w:t>Interpretation</w:t>
            </w:r>
          </w:p>
        </w:tc>
      </w:tr>
      <w:tr>
        <w:trPr>
          <w:trHeight w:val="751" w:hRule="atLeast"/>
        </w:trPr>
        <w:tc>
          <w:tcPr>
            <w:tcW w:w="1718" w:type="dxa"/>
            <w:tcBorders>
              <w:top w:val="single" w:sz="4" w:space="0" w:color="000000"/>
            </w:tcBorders>
          </w:tcPr>
          <w:p>
            <w:pPr>
              <w:pStyle w:val="TableParagraph"/>
              <w:spacing w:line="268" w:lineRule="exact"/>
              <w:ind w:left="122"/>
              <w:rPr>
                <w:i/>
                <w:sz w:val="24"/>
              </w:rPr>
            </w:pPr>
            <w:r>
              <w:rPr>
                <w:i/>
                <w:sz w:val="24"/>
              </w:rPr>
              <w:t>S. </w:t>
            </w:r>
            <w:r>
              <w:rPr>
                <w:i/>
                <w:spacing w:val="-2"/>
                <w:sz w:val="24"/>
              </w:rPr>
              <w:t>aureus</w:t>
            </w:r>
          </w:p>
        </w:tc>
        <w:tc>
          <w:tcPr>
            <w:tcW w:w="2331" w:type="dxa"/>
            <w:tcBorders>
              <w:top w:val="single" w:sz="4" w:space="0" w:color="000000"/>
            </w:tcBorders>
          </w:tcPr>
          <w:p>
            <w:pPr>
              <w:pStyle w:val="TableParagraph"/>
              <w:spacing w:line="268" w:lineRule="exact"/>
              <w:ind w:left="567"/>
              <w:rPr>
                <w:sz w:val="24"/>
              </w:rPr>
            </w:pPr>
            <w:r>
              <w:rPr>
                <w:spacing w:val="-2"/>
                <w:sz w:val="24"/>
              </w:rPr>
              <w:t>CME100</w:t>
            </w:r>
          </w:p>
        </w:tc>
        <w:tc>
          <w:tcPr>
            <w:tcW w:w="2487" w:type="dxa"/>
            <w:tcBorders>
              <w:top w:val="single" w:sz="4" w:space="0" w:color="000000"/>
            </w:tcBorders>
          </w:tcPr>
          <w:p>
            <w:pPr>
              <w:pStyle w:val="TableParagraph"/>
              <w:spacing w:line="268" w:lineRule="exact"/>
              <w:ind w:left="430"/>
              <w:rPr>
                <w:sz w:val="24"/>
              </w:rPr>
            </w:pPr>
            <w:r>
              <w:rPr>
                <w:sz w:val="24"/>
              </w:rPr>
              <w:t>16.00 </w:t>
            </w:r>
            <w:r>
              <w:rPr>
                <w:spacing w:val="-5"/>
                <w:sz w:val="24"/>
              </w:rPr>
              <w:t>±0</w:t>
            </w:r>
          </w:p>
        </w:tc>
        <w:tc>
          <w:tcPr>
            <w:tcW w:w="2207" w:type="dxa"/>
            <w:tcBorders>
              <w:top w:val="single" w:sz="4" w:space="0" w:color="000000"/>
            </w:tcBorders>
          </w:tcPr>
          <w:p>
            <w:pPr>
              <w:pStyle w:val="TableParagraph"/>
              <w:spacing w:line="268" w:lineRule="exact"/>
              <w:ind w:left="106"/>
              <w:rPr>
                <w:sz w:val="24"/>
              </w:rPr>
            </w:pPr>
            <w:r>
              <w:rPr>
                <w:spacing w:val="-10"/>
                <w:sz w:val="24"/>
              </w:rPr>
              <w:t>S</w:t>
            </w:r>
          </w:p>
        </w:tc>
      </w:tr>
      <w:tr>
        <w:trPr>
          <w:trHeight w:val="1161" w:hRule="atLeast"/>
        </w:trPr>
        <w:tc>
          <w:tcPr>
            <w:tcW w:w="1718" w:type="dxa"/>
          </w:tcPr>
          <w:p>
            <w:pPr>
              <w:pStyle w:val="TableParagraph"/>
              <w:rPr>
                <w:sz w:val="24"/>
              </w:rPr>
            </w:pPr>
          </w:p>
        </w:tc>
        <w:tc>
          <w:tcPr>
            <w:tcW w:w="2331" w:type="dxa"/>
          </w:tcPr>
          <w:p>
            <w:pPr>
              <w:pStyle w:val="TableParagraph"/>
              <w:spacing w:before="197"/>
              <w:rPr>
                <w:b/>
                <w:i/>
                <w:sz w:val="24"/>
              </w:rPr>
            </w:pPr>
          </w:p>
          <w:p>
            <w:pPr>
              <w:pStyle w:val="TableParagraph"/>
              <w:ind w:left="567"/>
              <w:rPr>
                <w:sz w:val="24"/>
              </w:rPr>
            </w:pPr>
            <w:r>
              <w:rPr>
                <w:spacing w:val="-2"/>
                <w:sz w:val="24"/>
              </w:rPr>
              <w:t>CME200</w:t>
            </w:r>
          </w:p>
        </w:tc>
        <w:tc>
          <w:tcPr>
            <w:tcW w:w="2487" w:type="dxa"/>
          </w:tcPr>
          <w:p>
            <w:pPr>
              <w:pStyle w:val="TableParagraph"/>
              <w:spacing w:before="197"/>
              <w:rPr>
                <w:b/>
                <w:i/>
                <w:sz w:val="24"/>
              </w:rPr>
            </w:pPr>
          </w:p>
          <w:p>
            <w:pPr>
              <w:pStyle w:val="TableParagraph"/>
              <w:ind w:left="430"/>
              <w:rPr>
                <w:sz w:val="24"/>
              </w:rPr>
            </w:pPr>
            <w:r>
              <w:rPr>
                <w:sz w:val="24"/>
              </w:rPr>
              <w:t>20.00 </w:t>
            </w:r>
            <w:r>
              <w:rPr>
                <w:spacing w:val="-5"/>
                <w:sz w:val="24"/>
              </w:rPr>
              <w:t>±0</w:t>
            </w:r>
          </w:p>
        </w:tc>
        <w:tc>
          <w:tcPr>
            <w:tcW w:w="2207" w:type="dxa"/>
          </w:tcPr>
          <w:p>
            <w:pPr>
              <w:pStyle w:val="TableParagraph"/>
              <w:spacing w:before="197"/>
              <w:rPr>
                <w:b/>
                <w:i/>
                <w:sz w:val="24"/>
              </w:rPr>
            </w:pPr>
          </w:p>
          <w:p>
            <w:pPr>
              <w:pStyle w:val="TableParagraph"/>
              <w:ind w:left="106"/>
              <w:rPr>
                <w:sz w:val="24"/>
              </w:rPr>
            </w:pPr>
            <w:r>
              <w:rPr>
                <w:spacing w:val="-10"/>
                <w:sz w:val="24"/>
              </w:rPr>
              <w:t>S</w:t>
            </w:r>
          </w:p>
        </w:tc>
      </w:tr>
      <w:tr>
        <w:trPr>
          <w:trHeight w:val="1194" w:hRule="atLeast"/>
        </w:trPr>
        <w:tc>
          <w:tcPr>
            <w:tcW w:w="1718" w:type="dxa"/>
          </w:tcPr>
          <w:p>
            <w:pPr>
              <w:pStyle w:val="TableParagraph"/>
              <w:rPr>
                <w:sz w:val="24"/>
              </w:rPr>
            </w:pPr>
          </w:p>
        </w:tc>
        <w:tc>
          <w:tcPr>
            <w:tcW w:w="2331" w:type="dxa"/>
          </w:tcPr>
          <w:p>
            <w:pPr>
              <w:pStyle w:val="TableParagraph"/>
              <w:spacing w:before="125"/>
              <w:rPr>
                <w:b/>
                <w:i/>
                <w:sz w:val="24"/>
              </w:rPr>
            </w:pPr>
          </w:p>
          <w:p>
            <w:pPr>
              <w:pStyle w:val="TableParagraph"/>
              <w:ind w:left="567"/>
              <w:rPr>
                <w:sz w:val="24"/>
              </w:rPr>
            </w:pPr>
            <w:r>
              <w:rPr>
                <w:spacing w:val="-2"/>
                <w:sz w:val="24"/>
              </w:rPr>
              <w:t>Augmentin</w:t>
            </w:r>
          </w:p>
        </w:tc>
        <w:tc>
          <w:tcPr>
            <w:tcW w:w="2487" w:type="dxa"/>
          </w:tcPr>
          <w:p>
            <w:pPr>
              <w:pStyle w:val="TableParagraph"/>
              <w:spacing w:before="125"/>
              <w:rPr>
                <w:b/>
                <w:i/>
                <w:sz w:val="24"/>
              </w:rPr>
            </w:pPr>
          </w:p>
          <w:p>
            <w:pPr>
              <w:pStyle w:val="TableParagraph"/>
              <w:ind w:left="430"/>
              <w:rPr>
                <w:sz w:val="24"/>
              </w:rPr>
            </w:pPr>
            <w:r>
              <w:rPr>
                <w:spacing w:val="-5"/>
                <w:sz w:val="24"/>
              </w:rPr>
              <w:t>Nil</w:t>
            </w:r>
          </w:p>
        </w:tc>
        <w:tc>
          <w:tcPr>
            <w:tcW w:w="2207" w:type="dxa"/>
          </w:tcPr>
          <w:p>
            <w:pPr>
              <w:pStyle w:val="TableParagraph"/>
              <w:spacing w:before="125"/>
              <w:rPr>
                <w:b/>
                <w:i/>
                <w:sz w:val="24"/>
              </w:rPr>
            </w:pPr>
          </w:p>
          <w:p>
            <w:pPr>
              <w:pStyle w:val="TableParagraph"/>
              <w:ind w:left="106"/>
              <w:rPr>
                <w:sz w:val="24"/>
              </w:rPr>
            </w:pPr>
            <w:r>
              <w:rPr>
                <w:spacing w:val="-10"/>
                <w:sz w:val="24"/>
              </w:rPr>
              <w:t>R</w:t>
            </w:r>
          </w:p>
        </w:tc>
      </w:tr>
      <w:tr>
        <w:trPr>
          <w:trHeight w:val="1135" w:hRule="atLeast"/>
        </w:trPr>
        <w:tc>
          <w:tcPr>
            <w:tcW w:w="1718" w:type="dxa"/>
          </w:tcPr>
          <w:p>
            <w:pPr>
              <w:pStyle w:val="TableParagraph"/>
              <w:rPr>
                <w:sz w:val="24"/>
              </w:rPr>
            </w:pPr>
          </w:p>
        </w:tc>
        <w:tc>
          <w:tcPr>
            <w:tcW w:w="2331" w:type="dxa"/>
          </w:tcPr>
          <w:p>
            <w:pPr>
              <w:pStyle w:val="TableParagraph"/>
              <w:spacing w:before="230"/>
              <w:rPr>
                <w:b/>
                <w:i/>
                <w:sz w:val="24"/>
              </w:rPr>
            </w:pPr>
          </w:p>
          <w:p>
            <w:pPr>
              <w:pStyle w:val="TableParagraph"/>
              <w:ind w:left="567"/>
              <w:rPr>
                <w:sz w:val="24"/>
              </w:rPr>
            </w:pPr>
            <w:r>
              <w:rPr>
                <w:spacing w:val="-2"/>
                <w:sz w:val="24"/>
              </w:rPr>
              <w:t>Vancomycin</w:t>
            </w:r>
          </w:p>
        </w:tc>
        <w:tc>
          <w:tcPr>
            <w:tcW w:w="2487" w:type="dxa"/>
          </w:tcPr>
          <w:p>
            <w:pPr>
              <w:pStyle w:val="TableParagraph"/>
              <w:spacing w:before="230"/>
              <w:rPr>
                <w:b/>
                <w:i/>
                <w:sz w:val="24"/>
              </w:rPr>
            </w:pPr>
          </w:p>
          <w:p>
            <w:pPr>
              <w:pStyle w:val="TableParagraph"/>
              <w:ind w:left="430"/>
              <w:rPr>
                <w:sz w:val="24"/>
              </w:rPr>
            </w:pPr>
            <w:r>
              <w:rPr>
                <w:spacing w:val="-5"/>
                <w:sz w:val="24"/>
              </w:rPr>
              <w:t>Nil</w:t>
            </w:r>
          </w:p>
        </w:tc>
        <w:tc>
          <w:tcPr>
            <w:tcW w:w="2207" w:type="dxa"/>
          </w:tcPr>
          <w:p>
            <w:pPr>
              <w:pStyle w:val="TableParagraph"/>
              <w:spacing w:before="230"/>
              <w:rPr>
                <w:b/>
                <w:i/>
                <w:sz w:val="24"/>
              </w:rPr>
            </w:pPr>
          </w:p>
          <w:p>
            <w:pPr>
              <w:pStyle w:val="TableParagraph"/>
              <w:ind w:left="106"/>
              <w:rPr>
                <w:sz w:val="24"/>
              </w:rPr>
            </w:pPr>
            <w:r>
              <w:rPr>
                <w:spacing w:val="-10"/>
                <w:sz w:val="24"/>
              </w:rPr>
              <w:t>R</w:t>
            </w:r>
          </w:p>
        </w:tc>
      </w:tr>
      <w:tr>
        <w:trPr>
          <w:trHeight w:val="761" w:hRule="atLeast"/>
        </w:trPr>
        <w:tc>
          <w:tcPr>
            <w:tcW w:w="1718" w:type="dxa"/>
          </w:tcPr>
          <w:p>
            <w:pPr>
              <w:pStyle w:val="TableParagraph"/>
              <w:rPr>
                <w:sz w:val="24"/>
              </w:rPr>
            </w:pPr>
          </w:p>
        </w:tc>
        <w:tc>
          <w:tcPr>
            <w:tcW w:w="2331" w:type="dxa"/>
          </w:tcPr>
          <w:p>
            <w:pPr>
              <w:pStyle w:val="TableParagraph"/>
              <w:spacing w:before="66"/>
              <w:rPr>
                <w:b/>
                <w:i/>
                <w:sz w:val="24"/>
              </w:rPr>
            </w:pPr>
          </w:p>
          <w:p>
            <w:pPr>
              <w:pStyle w:val="TableParagraph"/>
              <w:spacing w:before="1"/>
              <w:ind w:left="567"/>
              <w:rPr>
                <w:sz w:val="24"/>
              </w:rPr>
            </w:pPr>
            <w:r>
              <w:rPr>
                <w:spacing w:val="-2"/>
                <w:sz w:val="24"/>
              </w:rPr>
              <w:t>Tetracycline</w:t>
            </w:r>
          </w:p>
        </w:tc>
        <w:tc>
          <w:tcPr>
            <w:tcW w:w="2487" w:type="dxa"/>
          </w:tcPr>
          <w:p>
            <w:pPr>
              <w:pStyle w:val="TableParagraph"/>
              <w:spacing w:before="66"/>
              <w:rPr>
                <w:b/>
                <w:i/>
                <w:sz w:val="24"/>
              </w:rPr>
            </w:pPr>
          </w:p>
          <w:p>
            <w:pPr>
              <w:pStyle w:val="TableParagraph"/>
              <w:spacing w:before="1"/>
              <w:ind w:left="430"/>
              <w:rPr>
                <w:sz w:val="24"/>
              </w:rPr>
            </w:pPr>
            <w:r>
              <w:rPr>
                <w:sz w:val="24"/>
              </w:rPr>
              <w:t>16.50 </w:t>
            </w:r>
            <w:r>
              <w:rPr>
                <w:spacing w:val="-5"/>
                <w:sz w:val="24"/>
              </w:rPr>
              <w:t>±0</w:t>
            </w:r>
          </w:p>
        </w:tc>
        <w:tc>
          <w:tcPr>
            <w:tcW w:w="2207" w:type="dxa"/>
          </w:tcPr>
          <w:p>
            <w:pPr>
              <w:pStyle w:val="TableParagraph"/>
              <w:spacing w:before="66"/>
              <w:rPr>
                <w:b/>
                <w:i/>
                <w:sz w:val="24"/>
              </w:rPr>
            </w:pPr>
          </w:p>
          <w:p>
            <w:pPr>
              <w:pStyle w:val="TableParagraph"/>
              <w:spacing w:before="1"/>
              <w:ind w:left="106"/>
              <w:rPr>
                <w:sz w:val="24"/>
              </w:rPr>
            </w:pPr>
            <w:r>
              <w:rPr>
                <w:spacing w:val="-10"/>
                <w:sz w:val="24"/>
              </w:rPr>
              <w:t>S</w:t>
            </w:r>
          </w:p>
        </w:tc>
      </w:tr>
      <w:tr>
        <w:trPr>
          <w:trHeight w:val="416" w:hRule="atLeast"/>
        </w:trPr>
        <w:tc>
          <w:tcPr>
            <w:tcW w:w="1718" w:type="dxa"/>
            <w:tcBorders>
              <w:bottom w:val="single" w:sz="4" w:space="0" w:color="000000"/>
            </w:tcBorders>
          </w:tcPr>
          <w:p>
            <w:pPr>
              <w:pStyle w:val="TableParagraph"/>
              <w:rPr>
                <w:sz w:val="24"/>
              </w:rPr>
            </w:pPr>
          </w:p>
        </w:tc>
        <w:tc>
          <w:tcPr>
            <w:tcW w:w="2331" w:type="dxa"/>
            <w:tcBorders>
              <w:bottom w:val="single" w:sz="4" w:space="0" w:color="000000"/>
            </w:tcBorders>
          </w:tcPr>
          <w:p>
            <w:pPr>
              <w:pStyle w:val="TableParagraph"/>
              <w:spacing w:line="264" w:lineRule="exact" w:before="133"/>
              <w:ind w:left="567"/>
              <w:rPr>
                <w:sz w:val="24"/>
              </w:rPr>
            </w:pPr>
            <w:r>
              <w:rPr>
                <w:spacing w:val="-2"/>
                <w:sz w:val="24"/>
              </w:rPr>
              <w:t>Azithromycin</w:t>
            </w:r>
          </w:p>
        </w:tc>
        <w:tc>
          <w:tcPr>
            <w:tcW w:w="2487" w:type="dxa"/>
            <w:tcBorders>
              <w:bottom w:val="single" w:sz="4" w:space="0" w:color="000000"/>
            </w:tcBorders>
          </w:tcPr>
          <w:p>
            <w:pPr>
              <w:pStyle w:val="TableParagraph"/>
              <w:spacing w:line="264" w:lineRule="exact" w:before="133"/>
              <w:ind w:left="430"/>
              <w:rPr>
                <w:sz w:val="24"/>
              </w:rPr>
            </w:pPr>
            <w:r>
              <w:rPr>
                <w:sz w:val="24"/>
              </w:rPr>
              <w:t>26.00 </w:t>
            </w:r>
            <w:r>
              <w:rPr>
                <w:spacing w:val="-5"/>
                <w:sz w:val="24"/>
              </w:rPr>
              <w:t>±0</w:t>
            </w:r>
          </w:p>
        </w:tc>
        <w:tc>
          <w:tcPr>
            <w:tcW w:w="2207" w:type="dxa"/>
            <w:tcBorders>
              <w:bottom w:val="single" w:sz="4" w:space="0" w:color="000000"/>
            </w:tcBorders>
          </w:tcPr>
          <w:p>
            <w:pPr>
              <w:pStyle w:val="TableParagraph"/>
              <w:spacing w:line="264" w:lineRule="exact" w:before="133"/>
              <w:ind w:left="106"/>
              <w:rPr>
                <w:sz w:val="24"/>
              </w:rPr>
            </w:pPr>
            <w:r>
              <w:rPr>
                <w:spacing w:val="-10"/>
                <w:sz w:val="24"/>
              </w:rPr>
              <w:t>S</w:t>
            </w:r>
          </w:p>
        </w:tc>
      </w:tr>
    </w:tbl>
    <w:p>
      <w:pPr>
        <w:spacing w:before="0"/>
        <w:ind w:left="747" w:right="0" w:firstLine="0"/>
        <w:jc w:val="left"/>
        <w:rPr>
          <w:sz w:val="24"/>
        </w:rPr>
      </w:pPr>
      <w:r>
        <w:rPr>
          <w:sz w:val="24"/>
        </w:rPr>
        <w:t>n</w:t>
      </w:r>
      <w:r>
        <w:rPr>
          <w:b/>
          <w:sz w:val="24"/>
        </w:rPr>
        <w:t>=</w:t>
      </w:r>
      <w:r>
        <w:rPr>
          <w:sz w:val="24"/>
        </w:rPr>
        <w:t>2,</w:t>
      </w:r>
      <w:r>
        <w:rPr>
          <w:spacing w:val="-3"/>
          <w:sz w:val="24"/>
        </w:rPr>
        <w:t> </w:t>
      </w:r>
      <w:r>
        <w:rPr>
          <w:sz w:val="24"/>
        </w:rPr>
        <w:t>CME</w:t>
      </w:r>
      <w:r>
        <w:rPr>
          <w:spacing w:val="-3"/>
          <w:sz w:val="24"/>
        </w:rPr>
        <w:t> </w:t>
      </w:r>
      <w:r>
        <w:rPr>
          <w:sz w:val="24"/>
        </w:rPr>
        <w:t>100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100</w:t>
      </w:r>
      <w:r>
        <w:rPr>
          <w:spacing w:val="-3"/>
          <w:sz w:val="24"/>
        </w:rPr>
        <w:t> </w:t>
      </w:r>
      <w:r>
        <w:rPr>
          <w:sz w:val="24"/>
        </w:rPr>
        <w:t>mg/ml),</w:t>
      </w:r>
      <w:r>
        <w:rPr>
          <w:spacing w:val="-3"/>
          <w:sz w:val="24"/>
        </w:rPr>
        <w:t> </w:t>
      </w:r>
      <w:r>
        <w:rPr>
          <w:sz w:val="24"/>
        </w:rPr>
        <w:t>CME 200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200</w:t>
      </w:r>
      <w:r>
        <w:rPr>
          <w:spacing w:val="-1"/>
          <w:sz w:val="24"/>
        </w:rPr>
        <w:t> </w:t>
      </w:r>
      <w:r>
        <w:rPr>
          <w:sz w:val="24"/>
        </w:rPr>
        <w:t>mg/ml),</w:t>
      </w:r>
      <w:r>
        <w:rPr>
          <w:spacing w:val="-3"/>
          <w:sz w:val="24"/>
        </w:rPr>
        <w:t> </w:t>
      </w:r>
      <w:r>
        <w:rPr>
          <w:sz w:val="24"/>
        </w:rPr>
        <w:t>R</w:t>
      </w:r>
      <w:r>
        <w:rPr>
          <w:spacing w:val="-3"/>
          <w:sz w:val="24"/>
        </w:rPr>
        <w:t> </w:t>
      </w:r>
      <w:r>
        <w:rPr>
          <w:sz w:val="24"/>
        </w:rPr>
        <w:t>= Resistant, I = Intermediate, S = Susceptibility.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3"/>
      </w:pPr>
    </w:p>
    <w:p>
      <w:pPr>
        <w:pStyle w:val="BodyText"/>
        <w:ind w:left="747"/>
      </w:pPr>
      <w:r>
        <w:rPr/>
        <w:t>Both</w:t>
      </w:r>
      <w:r>
        <w:rPr>
          <w:spacing w:val="11"/>
        </w:rPr>
        <w:t> </w:t>
      </w:r>
      <w:r>
        <w:rPr/>
        <w:t>the</w:t>
      </w:r>
      <w:r>
        <w:rPr>
          <w:spacing w:val="11"/>
        </w:rPr>
        <w:t> </w:t>
      </w:r>
      <w:r>
        <w:rPr/>
        <w:t>100</w:t>
      </w:r>
      <w:r>
        <w:rPr>
          <w:spacing w:val="11"/>
        </w:rPr>
        <w:t> </w:t>
      </w:r>
      <w:r>
        <w:rPr/>
        <w:t>and</w:t>
      </w:r>
      <w:r>
        <w:rPr>
          <w:spacing w:val="10"/>
        </w:rPr>
        <w:t> </w:t>
      </w:r>
      <w:r>
        <w:rPr/>
        <w:t>200</w:t>
      </w:r>
      <w:r>
        <w:rPr>
          <w:spacing w:val="11"/>
        </w:rPr>
        <w:t> </w:t>
      </w:r>
      <w:r>
        <w:rPr/>
        <w:t>mg/ml</w:t>
      </w:r>
      <w:r>
        <w:rPr>
          <w:spacing w:val="12"/>
        </w:rPr>
        <w:t> </w:t>
      </w:r>
      <w:r>
        <w:rPr/>
        <w:t>of</w:t>
      </w:r>
      <w:r>
        <w:rPr>
          <w:spacing w:val="10"/>
        </w:rPr>
        <w:t> </w:t>
      </w:r>
      <w:r>
        <w:rPr/>
        <w:t>the</w:t>
      </w:r>
      <w:r>
        <w:rPr>
          <w:spacing w:val="11"/>
        </w:rPr>
        <w:t> </w:t>
      </w:r>
      <w:r>
        <w:rPr/>
        <w:t>extract</w:t>
      </w:r>
      <w:r>
        <w:rPr>
          <w:spacing w:val="12"/>
        </w:rPr>
        <w:t> </w:t>
      </w:r>
      <w:r>
        <w:rPr/>
        <w:t>had</w:t>
      </w:r>
      <w:r>
        <w:rPr>
          <w:spacing w:val="10"/>
        </w:rPr>
        <w:t> </w:t>
      </w:r>
      <w:r>
        <w:rPr/>
        <w:t>the</w:t>
      </w:r>
      <w:r>
        <w:rPr>
          <w:spacing w:val="10"/>
        </w:rPr>
        <w:t> </w:t>
      </w:r>
      <w:r>
        <w:rPr/>
        <w:t>same</w:t>
      </w:r>
      <w:r>
        <w:rPr>
          <w:spacing w:val="11"/>
        </w:rPr>
        <w:t> </w:t>
      </w:r>
      <w:r>
        <w:rPr/>
        <w:t>zone</w:t>
      </w:r>
      <w:r>
        <w:rPr>
          <w:spacing w:val="9"/>
        </w:rPr>
        <w:t> </w:t>
      </w:r>
      <w:r>
        <w:rPr/>
        <w:t>diameter</w:t>
      </w:r>
      <w:r>
        <w:rPr>
          <w:spacing w:val="10"/>
        </w:rPr>
        <w:t> </w:t>
      </w:r>
      <w:r>
        <w:rPr/>
        <w:t>of</w:t>
      </w:r>
      <w:r>
        <w:rPr>
          <w:spacing w:val="11"/>
        </w:rPr>
        <w:t> </w:t>
      </w:r>
      <w:r>
        <w:rPr/>
        <w:t>(20.00</w:t>
      </w:r>
      <w:r>
        <w:rPr>
          <w:spacing w:val="11"/>
        </w:rPr>
        <w:t> </w:t>
      </w:r>
      <w:r>
        <w:rPr>
          <w:spacing w:val="-4"/>
        </w:rPr>
        <w:t>mm).</w:t>
      </w:r>
    </w:p>
    <w:p>
      <w:pPr>
        <w:pStyle w:val="BodyText"/>
      </w:pPr>
    </w:p>
    <w:p>
      <w:pPr>
        <w:spacing w:before="0"/>
        <w:ind w:left="747" w:right="0" w:firstLine="0"/>
        <w:jc w:val="left"/>
        <w:rPr>
          <w:sz w:val="24"/>
        </w:rPr>
      </w:pPr>
      <w:r>
        <w:rPr>
          <w:i/>
          <w:sz w:val="24"/>
        </w:rPr>
        <w:t>Klebsiella</w:t>
      </w:r>
      <w:r>
        <w:rPr>
          <w:i/>
          <w:spacing w:val="35"/>
          <w:sz w:val="24"/>
        </w:rPr>
        <w:t> </w:t>
      </w:r>
      <w:r>
        <w:rPr>
          <w:i/>
          <w:sz w:val="24"/>
        </w:rPr>
        <w:t>pneumoniae</w:t>
      </w:r>
      <w:r>
        <w:rPr>
          <w:i/>
          <w:spacing w:val="36"/>
          <w:sz w:val="24"/>
        </w:rPr>
        <w:t> </w:t>
      </w:r>
      <w:r>
        <w:rPr>
          <w:sz w:val="24"/>
        </w:rPr>
        <w:t>was</w:t>
      </w:r>
      <w:r>
        <w:rPr>
          <w:spacing w:val="37"/>
          <w:sz w:val="24"/>
        </w:rPr>
        <w:t> </w:t>
      </w:r>
      <w:r>
        <w:rPr>
          <w:sz w:val="24"/>
        </w:rPr>
        <w:t>susceptible</w:t>
      </w:r>
      <w:r>
        <w:rPr>
          <w:spacing w:val="36"/>
          <w:sz w:val="24"/>
        </w:rPr>
        <w:t> </w:t>
      </w:r>
      <w:r>
        <w:rPr>
          <w:sz w:val="24"/>
        </w:rPr>
        <w:t>to</w:t>
      </w:r>
      <w:r>
        <w:rPr>
          <w:spacing w:val="37"/>
          <w:sz w:val="24"/>
        </w:rPr>
        <w:t> </w:t>
      </w:r>
      <w:r>
        <w:rPr>
          <w:sz w:val="24"/>
        </w:rPr>
        <w:t>nitrofurantoin</w:t>
      </w:r>
      <w:r>
        <w:rPr>
          <w:spacing w:val="37"/>
          <w:sz w:val="24"/>
        </w:rPr>
        <w:t> </w:t>
      </w:r>
      <w:r>
        <w:rPr>
          <w:sz w:val="24"/>
        </w:rPr>
        <w:t>(21.00</w:t>
      </w:r>
      <w:r>
        <w:rPr>
          <w:spacing w:val="37"/>
          <w:sz w:val="24"/>
        </w:rPr>
        <w:t> </w:t>
      </w:r>
      <w:r>
        <w:rPr>
          <w:sz w:val="24"/>
        </w:rPr>
        <w:t>mm),</w:t>
      </w:r>
      <w:r>
        <w:rPr>
          <w:spacing w:val="36"/>
          <w:sz w:val="24"/>
        </w:rPr>
        <w:t> </w:t>
      </w:r>
      <w:r>
        <w:rPr>
          <w:sz w:val="24"/>
        </w:rPr>
        <w:t>intermediate</w:t>
      </w:r>
      <w:r>
        <w:rPr>
          <w:spacing w:val="39"/>
          <w:sz w:val="24"/>
        </w:rPr>
        <w:t> </w:t>
      </w:r>
      <w:r>
        <w:rPr>
          <w:spacing w:val="-5"/>
          <w:sz w:val="24"/>
        </w:rPr>
        <w:t>to</w:t>
      </w:r>
    </w:p>
    <w:p>
      <w:pPr>
        <w:spacing w:after="0"/>
        <w:jc w:val="left"/>
        <w:rPr>
          <w:sz w:val="24"/>
        </w:rPr>
        <w:sectPr>
          <w:pgSz w:w="11910" w:h="16840"/>
          <w:pgMar w:header="0" w:footer="981" w:top="1320" w:bottom="1180" w:left="1240" w:right="560"/>
        </w:sectPr>
      </w:pPr>
    </w:p>
    <w:p>
      <w:pPr>
        <w:pStyle w:val="BodyText"/>
        <w:spacing w:line="482" w:lineRule="auto" w:before="64"/>
        <w:ind w:left="747" w:right="852"/>
        <w:jc w:val="both"/>
      </w:pPr>
      <w:r>
        <w:rPr/>
        <w:t>ofloxacin (20.50 mm), but resistant to both augmentine (11.00 mm) and amoxicillin (11.00 mm) (Table 4.7).</w:t>
      </w:r>
    </w:p>
    <w:p>
      <w:pPr>
        <w:pStyle w:val="Heading2"/>
        <w:tabs>
          <w:tab w:pos="2188" w:val="left" w:leader="none"/>
        </w:tabs>
        <w:spacing w:line="242" w:lineRule="auto" w:before="199"/>
        <w:ind w:left="2188" w:right="847" w:hanging="1441"/>
        <w:rPr>
          <w:i/>
        </w:rPr>
      </w:pPr>
      <w:r>
        <w:rPr/>
        <w:t>Table 4.7</w:t>
        <w:tab/>
        <w:t>Growth Inhibition Zones of Two Extract Doses and Four Standard Antibiotics Specific for </w:t>
      </w:r>
      <w:r>
        <w:rPr>
          <w:i/>
        </w:rPr>
        <w:t>Klebsiella. pneumoneae</w:t>
      </w:r>
    </w:p>
    <w:p>
      <w:pPr>
        <w:pStyle w:val="BodyText"/>
        <w:spacing w:before="4"/>
        <w:rPr>
          <w:b/>
          <w:i/>
          <w:sz w:val="17"/>
        </w:rPr>
      </w:pPr>
    </w:p>
    <w:tbl>
      <w:tblPr>
        <w:tblW w:w="0" w:type="auto"/>
        <w:jc w:val="lef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1"/>
        <w:gridCol w:w="2131"/>
        <w:gridCol w:w="2452"/>
        <w:gridCol w:w="2202"/>
      </w:tblGrid>
      <w:tr>
        <w:trPr>
          <w:trHeight w:val="1302" w:hRule="atLeast"/>
        </w:trPr>
        <w:tc>
          <w:tcPr>
            <w:tcW w:w="1941"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Organism</w:t>
            </w:r>
          </w:p>
        </w:tc>
        <w:tc>
          <w:tcPr>
            <w:tcW w:w="2131" w:type="dxa"/>
            <w:tcBorders>
              <w:top w:val="single" w:sz="4" w:space="0" w:color="000000"/>
              <w:bottom w:val="single" w:sz="4" w:space="0" w:color="000000"/>
            </w:tcBorders>
          </w:tcPr>
          <w:p>
            <w:pPr>
              <w:pStyle w:val="TableParagraph"/>
              <w:spacing w:line="275" w:lineRule="exact"/>
              <w:ind w:left="341"/>
              <w:rPr>
                <w:b/>
                <w:sz w:val="24"/>
              </w:rPr>
            </w:pPr>
            <w:r>
              <w:rPr>
                <w:b/>
                <w:spacing w:val="-4"/>
                <w:sz w:val="24"/>
              </w:rPr>
              <w:t>Agent</w:t>
            </w:r>
          </w:p>
        </w:tc>
        <w:tc>
          <w:tcPr>
            <w:tcW w:w="2452" w:type="dxa"/>
            <w:tcBorders>
              <w:top w:val="single" w:sz="4" w:space="0" w:color="000000"/>
              <w:bottom w:val="single" w:sz="4" w:space="0" w:color="000000"/>
            </w:tcBorders>
          </w:tcPr>
          <w:p>
            <w:pPr>
              <w:pStyle w:val="TableParagraph"/>
              <w:spacing w:line="482" w:lineRule="auto"/>
              <w:ind w:left="404"/>
              <w:rPr>
                <w:b/>
                <w:sz w:val="24"/>
              </w:rPr>
            </w:pPr>
            <w:r>
              <w:rPr>
                <w:b/>
                <w:sz w:val="24"/>
              </w:rPr>
              <w:t>Zone</w:t>
            </w:r>
            <w:r>
              <w:rPr>
                <w:b/>
                <w:spacing w:val="16"/>
                <w:sz w:val="24"/>
              </w:rPr>
              <w:t> </w:t>
            </w:r>
            <w:r>
              <w:rPr>
                <w:b/>
                <w:sz w:val="24"/>
              </w:rPr>
              <w:t>of</w:t>
            </w:r>
            <w:r>
              <w:rPr>
                <w:b/>
                <w:spacing w:val="18"/>
                <w:sz w:val="24"/>
              </w:rPr>
              <w:t> </w:t>
            </w:r>
            <w:r>
              <w:rPr>
                <w:b/>
                <w:sz w:val="24"/>
              </w:rPr>
              <w:t>Inhibition Mean ± SEM</w:t>
            </w:r>
          </w:p>
        </w:tc>
        <w:tc>
          <w:tcPr>
            <w:tcW w:w="2202"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Interpretation</w:t>
            </w:r>
          </w:p>
        </w:tc>
      </w:tr>
      <w:tr>
        <w:trPr>
          <w:trHeight w:val="513" w:hRule="atLeast"/>
        </w:trPr>
        <w:tc>
          <w:tcPr>
            <w:tcW w:w="1941" w:type="dxa"/>
            <w:tcBorders>
              <w:top w:val="single" w:sz="4" w:space="0" w:color="000000"/>
            </w:tcBorders>
          </w:tcPr>
          <w:p>
            <w:pPr>
              <w:pStyle w:val="TableParagraph"/>
              <w:spacing w:line="271" w:lineRule="exact"/>
              <w:ind w:left="108"/>
              <w:rPr>
                <w:i/>
                <w:sz w:val="24"/>
              </w:rPr>
            </w:pPr>
            <w:r>
              <w:rPr>
                <w:i/>
                <w:sz w:val="24"/>
              </w:rPr>
              <w:t>K. </w:t>
            </w:r>
            <w:r>
              <w:rPr>
                <w:i/>
                <w:spacing w:val="-2"/>
                <w:sz w:val="24"/>
              </w:rPr>
              <w:t>pneumoneae</w:t>
            </w:r>
          </w:p>
        </w:tc>
        <w:tc>
          <w:tcPr>
            <w:tcW w:w="2131" w:type="dxa"/>
            <w:tcBorders>
              <w:top w:val="single" w:sz="4" w:space="0" w:color="000000"/>
            </w:tcBorders>
          </w:tcPr>
          <w:p>
            <w:pPr>
              <w:pStyle w:val="TableParagraph"/>
              <w:spacing w:line="271" w:lineRule="exact"/>
              <w:ind w:left="341"/>
              <w:rPr>
                <w:sz w:val="24"/>
              </w:rPr>
            </w:pPr>
            <w:r>
              <w:rPr>
                <w:sz w:val="24"/>
              </w:rPr>
              <w:t>CME </w:t>
            </w:r>
            <w:r>
              <w:rPr>
                <w:spacing w:val="-5"/>
                <w:sz w:val="24"/>
              </w:rPr>
              <w:t>100</w:t>
            </w:r>
          </w:p>
        </w:tc>
        <w:tc>
          <w:tcPr>
            <w:tcW w:w="2452" w:type="dxa"/>
            <w:tcBorders>
              <w:top w:val="single" w:sz="4" w:space="0" w:color="000000"/>
            </w:tcBorders>
          </w:tcPr>
          <w:p>
            <w:pPr>
              <w:pStyle w:val="TableParagraph"/>
              <w:spacing w:line="271" w:lineRule="exact"/>
              <w:ind w:left="404"/>
              <w:rPr>
                <w:sz w:val="24"/>
              </w:rPr>
            </w:pPr>
            <w:r>
              <w:rPr>
                <w:sz w:val="24"/>
              </w:rPr>
              <w:t>20.00 </w:t>
            </w:r>
            <w:r>
              <w:rPr>
                <w:spacing w:val="-5"/>
                <w:sz w:val="24"/>
              </w:rPr>
              <w:t>±0</w:t>
            </w:r>
          </w:p>
        </w:tc>
        <w:tc>
          <w:tcPr>
            <w:tcW w:w="2202" w:type="dxa"/>
            <w:tcBorders>
              <w:top w:val="single" w:sz="4" w:space="0" w:color="000000"/>
            </w:tcBorders>
          </w:tcPr>
          <w:p>
            <w:pPr>
              <w:pStyle w:val="TableParagraph"/>
              <w:spacing w:line="271" w:lineRule="exact"/>
              <w:ind w:left="108"/>
              <w:rPr>
                <w:sz w:val="24"/>
              </w:rPr>
            </w:pPr>
            <w:r>
              <w:rPr>
                <w:spacing w:val="-10"/>
                <w:sz w:val="24"/>
              </w:rPr>
              <w:t>I</w:t>
            </w:r>
          </w:p>
        </w:tc>
      </w:tr>
      <w:tr>
        <w:trPr>
          <w:trHeight w:val="752" w:hRule="atLeast"/>
        </w:trPr>
        <w:tc>
          <w:tcPr>
            <w:tcW w:w="1941" w:type="dxa"/>
          </w:tcPr>
          <w:p>
            <w:pPr>
              <w:pStyle w:val="TableParagraph"/>
              <w:rPr>
                <w:sz w:val="24"/>
              </w:rPr>
            </w:pPr>
          </w:p>
        </w:tc>
        <w:tc>
          <w:tcPr>
            <w:tcW w:w="2131" w:type="dxa"/>
          </w:tcPr>
          <w:p>
            <w:pPr>
              <w:pStyle w:val="TableParagraph"/>
              <w:spacing w:before="232"/>
              <w:ind w:left="341"/>
              <w:rPr>
                <w:sz w:val="24"/>
              </w:rPr>
            </w:pPr>
            <w:r>
              <w:rPr>
                <w:sz w:val="24"/>
              </w:rPr>
              <w:t>CME </w:t>
            </w:r>
            <w:r>
              <w:rPr>
                <w:spacing w:val="-5"/>
                <w:sz w:val="24"/>
              </w:rPr>
              <w:t>200</w:t>
            </w:r>
          </w:p>
        </w:tc>
        <w:tc>
          <w:tcPr>
            <w:tcW w:w="2452" w:type="dxa"/>
          </w:tcPr>
          <w:p>
            <w:pPr>
              <w:pStyle w:val="TableParagraph"/>
              <w:spacing w:before="232"/>
              <w:ind w:left="404"/>
              <w:rPr>
                <w:sz w:val="24"/>
              </w:rPr>
            </w:pPr>
            <w:r>
              <w:rPr>
                <w:sz w:val="24"/>
              </w:rPr>
              <w:t>20.00 </w:t>
            </w:r>
            <w:r>
              <w:rPr>
                <w:spacing w:val="-5"/>
                <w:sz w:val="24"/>
              </w:rPr>
              <w:t>±0</w:t>
            </w:r>
          </w:p>
        </w:tc>
        <w:tc>
          <w:tcPr>
            <w:tcW w:w="2202" w:type="dxa"/>
          </w:tcPr>
          <w:p>
            <w:pPr>
              <w:pStyle w:val="TableParagraph"/>
              <w:spacing w:before="232"/>
              <w:ind w:left="108"/>
              <w:rPr>
                <w:sz w:val="24"/>
              </w:rPr>
            </w:pPr>
            <w:r>
              <w:rPr>
                <w:spacing w:val="-10"/>
                <w:sz w:val="24"/>
              </w:rPr>
              <w:t>I</w:t>
            </w:r>
          </w:p>
        </w:tc>
      </w:tr>
      <w:tr>
        <w:trPr>
          <w:trHeight w:val="752" w:hRule="atLeast"/>
        </w:trPr>
        <w:tc>
          <w:tcPr>
            <w:tcW w:w="1941" w:type="dxa"/>
          </w:tcPr>
          <w:p>
            <w:pPr>
              <w:pStyle w:val="TableParagraph"/>
              <w:rPr>
                <w:sz w:val="24"/>
              </w:rPr>
            </w:pPr>
          </w:p>
        </w:tc>
        <w:tc>
          <w:tcPr>
            <w:tcW w:w="2131" w:type="dxa"/>
          </w:tcPr>
          <w:p>
            <w:pPr>
              <w:pStyle w:val="TableParagraph"/>
              <w:spacing w:before="233"/>
              <w:ind w:left="341"/>
              <w:rPr>
                <w:sz w:val="24"/>
              </w:rPr>
            </w:pPr>
            <w:r>
              <w:rPr>
                <w:spacing w:val="-2"/>
                <w:sz w:val="24"/>
              </w:rPr>
              <w:t>Augmentin</w:t>
            </w:r>
          </w:p>
        </w:tc>
        <w:tc>
          <w:tcPr>
            <w:tcW w:w="2452" w:type="dxa"/>
          </w:tcPr>
          <w:p>
            <w:pPr>
              <w:pStyle w:val="TableParagraph"/>
              <w:spacing w:before="233"/>
              <w:ind w:left="404"/>
              <w:rPr>
                <w:sz w:val="24"/>
              </w:rPr>
            </w:pPr>
            <w:r>
              <w:rPr>
                <w:sz w:val="24"/>
              </w:rPr>
              <w:t>11.00 </w:t>
            </w:r>
            <w:r>
              <w:rPr>
                <w:spacing w:val="-4"/>
                <w:sz w:val="24"/>
              </w:rPr>
              <w:t>±1.0</w:t>
            </w:r>
          </w:p>
        </w:tc>
        <w:tc>
          <w:tcPr>
            <w:tcW w:w="2202" w:type="dxa"/>
          </w:tcPr>
          <w:p>
            <w:pPr>
              <w:pStyle w:val="TableParagraph"/>
              <w:spacing w:before="233"/>
              <w:ind w:left="108"/>
              <w:rPr>
                <w:sz w:val="24"/>
              </w:rPr>
            </w:pPr>
            <w:r>
              <w:rPr>
                <w:spacing w:val="-10"/>
                <w:sz w:val="24"/>
              </w:rPr>
              <w:t>R</w:t>
            </w:r>
          </w:p>
        </w:tc>
      </w:tr>
      <w:tr>
        <w:trPr>
          <w:trHeight w:val="751" w:hRule="atLeast"/>
        </w:trPr>
        <w:tc>
          <w:tcPr>
            <w:tcW w:w="1941" w:type="dxa"/>
          </w:tcPr>
          <w:p>
            <w:pPr>
              <w:pStyle w:val="TableParagraph"/>
              <w:rPr>
                <w:sz w:val="24"/>
              </w:rPr>
            </w:pPr>
          </w:p>
        </w:tc>
        <w:tc>
          <w:tcPr>
            <w:tcW w:w="2131" w:type="dxa"/>
          </w:tcPr>
          <w:p>
            <w:pPr>
              <w:pStyle w:val="TableParagraph"/>
              <w:spacing w:before="232"/>
              <w:ind w:left="341"/>
              <w:rPr>
                <w:sz w:val="24"/>
              </w:rPr>
            </w:pPr>
            <w:r>
              <w:rPr>
                <w:spacing w:val="-2"/>
                <w:sz w:val="24"/>
              </w:rPr>
              <w:t>Amoxycillin</w:t>
            </w:r>
          </w:p>
        </w:tc>
        <w:tc>
          <w:tcPr>
            <w:tcW w:w="2452" w:type="dxa"/>
          </w:tcPr>
          <w:p>
            <w:pPr>
              <w:pStyle w:val="TableParagraph"/>
              <w:spacing w:before="232"/>
              <w:ind w:left="404"/>
              <w:rPr>
                <w:sz w:val="24"/>
              </w:rPr>
            </w:pPr>
            <w:r>
              <w:rPr>
                <w:sz w:val="24"/>
              </w:rPr>
              <w:t>11.00 </w:t>
            </w:r>
            <w:r>
              <w:rPr>
                <w:spacing w:val="-4"/>
                <w:sz w:val="24"/>
              </w:rPr>
              <w:t>±1.0</w:t>
            </w:r>
          </w:p>
        </w:tc>
        <w:tc>
          <w:tcPr>
            <w:tcW w:w="2202" w:type="dxa"/>
          </w:tcPr>
          <w:p>
            <w:pPr>
              <w:pStyle w:val="TableParagraph"/>
              <w:spacing w:before="232"/>
              <w:ind w:left="108"/>
              <w:rPr>
                <w:sz w:val="24"/>
              </w:rPr>
            </w:pPr>
            <w:r>
              <w:rPr>
                <w:spacing w:val="-10"/>
                <w:sz w:val="24"/>
              </w:rPr>
              <w:t>R</w:t>
            </w:r>
          </w:p>
        </w:tc>
      </w:tr>
      <w:tr>
        <w:trPr>
          <w:trHeight w:val="752" w:hRule="atLeast"/>
        </w:trPr>
        <w:tc>
          <w:tcPr>
            <w:tcW w:w="1941" w:type="dxa"/>
          </w:tcPr>
          <w:p>
            <w:pPr>
              <w:pStyle w:val="TableParagraph"/>
              <w:rPr>
                <w:sz w:val="24"/>
              </w:rPr>
            </w:pPr>
          </w:p>
        </w:tc>
        <w:tc>
          <w:tcPr>
            <w:tcW w:w="2131" w:type="dxa"/>
          </w:tcPr>
          <w:p>
            <w:pPr>
              <w:pStyle w:val="TableParagraph"/>
              <w:spacing w:before="232"/>
              <w:ind w:left="341"/>
              <w:rPr>
                <w:sz w:val="24"/>
              </w:rPr>
            </w:pPr>
            <w:r>
              <w:rPr>
                <w:spacing w:val="-2"/>
                <w:sz w:val="24"/>
              </w:rPr>
              <w:t>Ofloxacin</w:t>
            </w:r>
          </w:p>
        </w:tc>
        <w:tc>
          <w:tcPr>
            <w:tcW w:w="2452" w:type="dxa"/>
          </w:tcPr>
          <w:p>
            <w:pPr>
              <w:pStyle w:val="TableParagraph"/>
              <w:spacing w:before="232"/>
              <w:ind w:left="404"/>
              <w:rPr>
                <w:sz w:val="24"/>
              </w:rPr>
            </w:pPr>
            <w:r>
              <w:rPr>
                <w:sz w:val="24"/>
              </w:rPr>
              <w:t>20.5 </w:t>
            </w:r>
            <w:r>
              <w:rPr>
                <w:spacing w:val="-4"/>
                <w:sz w:val="24"/>
              </w:rPr>
              <w:t>±0.5</w:t>
            </w:r>
          </w:p>
        </w:tc>
        <w:tc>
          <w:tcPr>
            <w:tcW w:w="2202" w:type="dxa"/>
          </w:tcPr>
          <w:p>
            <w:pPr>
              <w:pStyle w:val="TableParagraph"/>
              <w:spacing w:before="232"/>
              <w:ind w:left="108"/>
              <w:rPr>
                <w:sz w:val="24"/>
              </w:rPr>
            </w:pPr>
            <w:r>
              <w:rPr>
                <w:spacing w:val="-10"/>
                <w:sz w:val="24"/>
              </w:rPr>
              <w:t>I</w:t>
            </w:r>
          </w:p>
        </w:tc>
      </w:tr>
      <w:tr>
        <w:trPr>
          <w:trHeight w:val="509" w:hRule="atLeast"/>
        </w:trPr>
        <w:tc>
          <w:tcPr>
            <w:tcW w:w="1941" w:type="dxa"/>
          </w:tcPr>
          <w:p>
            <w:pPr>
              <w:pStyle w:val="TableParagraph"/>
              <w:rPr>
                <w:sz w:val="24"/>
              </w:rPr>
            </w:pPr>
          </w:p>
        </w:tc>
        <w:tc>
          <w:tcPr>
            <w:tcW w:w="2131" w:type="dxa"/>
          </w:tcPr>
          <w:p>
            <w:pPr>
              <w:pStyle w:val="TableParagraph"/>
              <w:spacing w:line="256" w:lineRule="exact" w:before="234"/>
              <w:ind w:left="341"/>
              <w:rPr>
                <w:sz w:val="24"/>
              </w:rPr>
            </w:pPr>
            <w:r>
              <w:rPr>
                <w:spacing w:val="-2"/>
                <w:sz w:val="24"/>
              </w:rPr>
              <w:t>Nitrofurantoin</w:t>
            </w:r>
          </w:p>
        </w:tc>
        <w:tc>
          <w:tcPr>
            <w:tcW w:w="2452" w:type="dxa"/>
          </w:tcPr>
          <w:p>
            <w:pPr>
              <w:pStyle w:val="TableParagraph"/>
              <w:spacing w:line="256" w:lineRule="exact" w:before="234"/>
              <w:ind w:left="404"/>
              <w:rPr>
                <w:sz w:val="24"/>
              </w:rPr>
            </w:pPr>
            <w:r>
              <w:rPr>
                <w:sz w:val="24"/>
              </w:rPr>
              <w:t>21.00 </w:t>
            </w:r>
            <w:r>
              <w:rPr>
                <w:spacing w:val="-4"/>
                <w:sz w:val="24"/>
              </w:rPr>
              <w:t>±1.0</w:t>
            </w:r>
          </w:p>
        </w:tc>
        <w:tc>
          <w:tcPr>
            <w:tcW w:w="2202" w:type="dxa"/>
          </w:tcPr>
          <w:p>
            <w:pPr>
              <w:pStyle w:val="TableParagraph"/>
              <w:spacing w:line="256" w:lineRule="exact" w:before="234"/>
              <w:ind w:left="108"/>
              <w:rPr>
                <w:sz w:val="24"/>
              </w:rPr>
            </w:pPr>
            <w:r>
              <w:rPr>
                <w:spacing w:val="-10"/>
                <w:sz w:val="24"/>
              </w:rPr>
              <w:t>S</w:t>
            </w:r>
          </w:p>
        </w:tc>
      </w:tr>
    </w:tbl>
    <w:p>
      <w:pPr>
        <w:pStyle w:val="BodyText"/>
        <w:rPr>
          <w:b/>
          <w:i/>
          <w:sz w:val="20"/>
        </w:rPr>
      </w:pPr>
    </w:p>
    <w:p>
      <w:pPr>
        <w:pStyle w:val="BodyText"/>
        <w:rPr>
          <w:b/>
          <w:i/>
          <w:sz w:val="20"/>
        </w:rPr>
      </w:pPr>
      <w:r>
        <w:rPr/>
        <mc:AlternateContent>
          <mc:Choice Requires="wps">
            <w:drawing>
              <wp:anchor distT="0" distB="0" distL="0" distR="0" allowOverlap="1" layoutInCell="1" locked="0" behindDoc="1" simplePos="0" relativeHeight="487598592">
                <wp:simplePos x="0" y="0"/>
                <wp:positionH relativeFrom="page">
                  <wp:posOffset>1184452</wp:posOffset>
                </wp:positionH>
                <wp:positionV relativeFrom="paragraph">
                  <wp:posOffset>161569</wp:posOffset>
                </wp:positionV>
                <wp:extent cx="5550535"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550535" cy="6350"/>
                        </a:xfrm>
                        <a:custGeom>
                          <a:avLst/>
                          <a:gdLst/>
                          <a:ahLst/>
                          <a:cxnLst/>
                          <a:rect l="l" t="t" r="r" b="b"/>
                          <a:pathLst>
                            <a:path w="5550535" h="6350">
                              <a:moveTo>
                                <a:pt x="5550103" y="0"/>
                              </a:moveTo>
                              <a:lnTo>
                                <a:pt x="5550103" y="0"/>
                              </a:lnTo>
                              <a:lnTo>
                                <a:pt x="0" y="0"/>
                              </a:lnTo>
                              <a:lnTo>
                                <a:pt x="0" y="6083"/>
                              </a:lnTo>
                              <a:lnTo>
                                <a:pt x="5550103" y="6083"/>
                              </a:lnTo>
                              <a:lnTo>
                                <a:pt x="5550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12.721969pt;width:437.016021pt;height:.479pt;mso-position-horizontal-relative:page;mso-position-vertical-relative:paragraph;z-index:-15717888;mso-wrap-distance-left:0;mso-wrap-distance-right:0" id="docshape28" filled="true" fillcolor="#000000" stroked="false">
                <v:fill type="solid"/>
                <w10:wrap type="topAndBottom"/>
              </v:rect>
            </w:pict>
          </mc:Fallback>
        </mc:AlternateContent>
      </w:r>
    </w:p>
    <w:p>
      <w:pPr>
        <w:spacing w:line="242" w:lineRule="auto" w:before="0"/>
        <w:ind w:left="747" w:right="847" w:firstLine="0"/>
        <w:jc w:val="both"/>
        <w:rPr>
          <w:sz w:val="24"/>
        </w:rPr>
      </w:pPr>
      <w:r>
        <w:rPr>
          <w:sz w:val="24"/>
        </w:rPr>
        <w:t>n</w:t>
      </w:r>
      <w:r>
        <w:rPr>
          <w:b/>
          <w:sz w:val="24"/>
        </w:rPr>
        <w:t>=</w:t>
      </w:r>
      <w:r>
        <w:rPr>
          <w:sz w:val="24"/>
        </w:rPr>
        <w:t>2,</w:t>
      </w:r>
      <w:r>
        <w:rPr>
          <w:spacing w:val="-3"/>
          <w:sz w:val="24"/>
        </w:rPr>
        <w:t> </w:t>
      </w:r>
      <w:r>
        <w:rPr>
          <w:sz w:val="24"/>
        </w:rPr>
        <w:t>CME</w:t>
      </w:r>
      <w:r>
        <w:rPr>
          <w:spacing w:val="-3"/>
          <w:sz w:val="24"/>
        </w:rPr>
        <w:t> </w:t>
      </w:r>
      <w:r>
        <w:rPr>
          <w:sz w:val="24"/>
        </w:rPr>
        <w:t>100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100</w:t>
      </w:r>
      <w:r>
        <w:rPr>
          <w:spacing w:val="-3"/>
          <w:sz w:val="24"/>
        </w:rPr>
        <w:t> </w:t>
      </w:r>
      <w:r>
        <w:rPr>
          <w:sz w:val="24"/>
        </w:rPr>
        <w:t>mg/ml),</w:t>
      </w:r>
      <w:r>
        <w:rPr>
          <w:spacing w:val="-3"/>
          <w:sz w:val="24"/>
        </w:rPr>
        <w:t> </w:t>
      </w:r>
      <w:r>
        <w:rPr>
          <w:sz w:val="24"/>
        </w:rPr>
        <w:t>CME 200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200</w:t>
      </w:r>
      <w:r>
        <w:rPr>
          <w:spacing w:val="-1"/>
          <w:sz w:val="24"/>
        </w:rPr>
        <w:t> </w:t>
      </w:r>
      <w:r>
        <w:rPr>
          <w:sz w:val="24"/>
        </w:rPr>
        <w:t>mg/ml),</w:t>
      </w:r>
      <w:r>
        <w:rPr>
          <w:spacing w:val="-3"/>
          <w:sz w:val="24"/>
        </w:rPr>
        <w:t> </w:t>
      </w:r>
      <w:r>
        <w:rPr>
          <w:sz w:val="24"/>
        </w:rPr>
        <w:t>R</w:t>
      </w:r>
      <w:r>
        <w:rPr>
          <w:spacing w:val="-3"/>
          <w:sz w:val="24"/>
        </w:rPr>
        <w:t> </w:t>
      </w:r>
      <w:r>
        <w:rPr>
          <w:sz w:val="24"/>
        </w:rPr>
        <w:t>= Resistant, I = Intermediate, S = Susceptibility.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7"/>
      </w:pPr>
    </w:p>
    <w:p>
      <w:pPr>
        <w:pStyle w:val="BodyText"/>
        <w:spacing w:line="480" w:lineRule="auto"/>
        <w:ind w:left="747" w:right="846"/>
        <w:jc w:val="both"/>
      </w:pPr>
      <w:r>
        <w:rPr/>
        <w:t>The extract at the tested doses (100 and 200 mg/ml) had similar zone of inhibition ( 20.00 mm). </w:t>
      </w:r>
      <w:r>
        <w:rPr>
          <w:i/>
        </w:rPr>
        <w:t>Salmonella typhi </w:t>
      </w:r>
      <w:r>
        <w:rPr/>
        <w:t>was susceptible to chloramphenicol (35.00 mm), cephalexin (31.00 mm),</w:t>
      </w:r>
      <w:r>
        <w:rPr>
          <w:spacing w:val="40"/>
        </w:rPr>
        <w:t> </w:t>
      </w:r>
      <w:r>
        <w:rPr/>
        <w:t>nalidixic acid (19.00 mm) and resistant to cefuroxime (15.00 mm) (Table 4.8).</w:t>
      </w:r>
    </w:p>
    <w:p>
      <w:pPr>
        <w:spacing w:after="0" w:line="480" w:lineRule="auto"/>
        <w:jc w:val="both"/>
        <w:sectPr>
          <w:pgSz w:w="11910" w:h="16840"/>
          <w:pgMar w:header="0" w:footer="981" w:top="1320" w:bottom="1180" w:left="1240" w:right="560"/>
        </w:sectPr>
      </w:pPr>
    </w:p>
    <w:p>
      <w:pPr>
        <w:pStyle w:val="Heading2"/>
        <w:spacing w:line="242" w:lineRule="auto" w:before="69"/>
        <w:ind w:left="2188" w:right="849" w:hanging="1441"/>
        <w:jc w:val="both"/>
        <w:rPr>
          <w:i/>
        </w:rPr>
      </w:pPr>
      <w:r>
        <w:rPr/>
        <w:t>Table</w:t>
      </w:r>
      <w:r>
        <w:rPr>
          <w:spacing w:val="-2"/>
        </w:rPr>
        <w:t> </w:t>
      </w:r>
      <w:r>
        <w:rPr/>
        <w:t>4.8</w:t>
      </w:r>
      <w:r>
        <w:rPr>
          <w:spacing w:val="40"/>
        </w:rPr>
        <w:t>  </w:t>
      </w:r>
      <w:r>
        <w:rPr/>
        <w:t>Growth Inhibition Zones of Two Extract Doses and Four Standard Antibiotics Specific for </w:t>
      </w:r>
      <w:r>
        <w:rPr>
          <w:i/>
        </w:rPr>
        <w:t>Salmonella. typhi</w:t>
      </w:r>
    </w:p>
    <w:p>
      <w:pPr>
        <w:pStyle w:val="BodyText"/>
        <w:spacing w:before="2"/>
        <w:rPr>
          <w:b/>
          <w:i/>
          <w:sz w:val="17"/>
        </w:r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3"/>
        <w:gridCol w:w="2506"/>
        <w:gridCol w:w="2323"/>
        <w:gridCol w:w="2200"/>
      </w:tblGrid>
      <w:tr>
        <w:trPr>
          <w:trHeight w:val="1305" w:hRule="atLeast"/>
        </w:trPr>
        <w:tc>
          <w:tcPr>
            <w:tcW w:w="1713"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Organism</w:t>
            </w:r>
          </w:p>
        </w:tc>
        <w:tc>
          <w:tcPr>
            <w:tcW w:w="2506" w:type="dxa"/>
            <w:tcBorders>
              <w:top w:val="single" w:sz="4" w:space="0" w:color="000000"/>
              <w:bottom w:val="single" w:sz="4" w:space="0" w:color="000000"/>
            </w:tcBorders>
          </w:tcPr>
          <w:p>
            <w:pPr>
              <w:pStyle w:val="TableParagraph"/>
              <w:spacing w:line="275" w:lineRule="exact"/>
              <w:ind w:left="562"/>
              <w:rPr>
                <w:b/>
                <w:sz w:val="24"/>
              </w:rPr>
            </w:pPr>
            <w:r>
              <w:rPr>
                <w:b/>
                <w:spacing w:val="-4"/>
                <w:sz w:val="24"/>
              </w:rPr>
              <w:t>Agent</w:t>
            </w:r>
          </w:p>
        </w:tc>
        <w:tc>
          <w:tcPr>
            <w:tcW w:w="2323" w:type="dxa"/>
            <w:tcBorders>
              <w:top w:val="single" w:sz="4" w:space="0" w:color="000000"/>
              <w:bottom w:val="single" w:sz="4" w:space="0" w:color="000000"/>
            </w:tcBorders>
          </w:tcPr>
          <w:p>
            <w:pPr>
              <w:pStyle w:val="TableParagraph"/>
              <w:spacing w:line="482" w:lineRule="auto"/>
              <w:ind w:left="277"/>
              <w:rPr>
                <w:b/>
                <w:sz w:val="24"/>
              </w:rPr>
            </w:pPr>
            <w:r>
              <w:rPr>
                <w:b/>
                <w:sz w:val="24"/>
              </w:rPr>
              <w:t>Zone of</w:t>
            </w:r>
            <w:r>
              <w:rPr>
                <w:b/>
                <w:spacing w:val="16"/>
                <w:sz w:val="24"/>
              </w:rPr>
              <w:t> </w:t>
            </w:r>
            <w:r>
              <w:rPr>
                <w:b/>
                <w:sz w:val="24"/>
              </w:rPr>
              <w:t>Inhibition Mean ± SEM</w:t>
            </w:r>
          </w:p>
        </w:tc>
        <w:tc>
          <w:tcPr>
            <w:tcW w:w="2200" w:type="dxa"/>
            <w:tcBorders>
              <w:top w:val="single" w:sz="4" w:space="0" w:color="000000"/>
              <w:bottom w:val="single" w:sz="4" w:space="0" w:color="000000"/>
            </w:tcBorders>
          </w:tcPr>
          <w:p>
            <w:pPr>
              <w:pStyle w:val="TableParagraph"/>
              <w:spacing w:line="275" w:lineRule="exact"/>
              <w:ind w:left="107"/>
              <w:rPr>
                <w:b/>
                <w:sz w:val="24"/>
              </w:rPr>
            </w:pPr>
            <w:r>
              <w:rPr>
                <w:b/>
                <w:spacing w:val="-2"/>
                <w:sz w:val="24"/>
              </w:rPr>
              <w:t>Interpretation</w:t>
            </w:r>
          </w:p>
        </w:tc>
      </w:tr>
      <w:tr>
        <w:trPr>
          <w:trHeight w:val="512" w:hRule="atLeast"/>
        </w:trPr>
        <w:tc>
          <w:tcPr>
            <w:tcW w:w="1713" w:type="dxa"/>
            <w:tcBorders>
              <w:top w:val="single" w:sz="4" w:space="0" w:color="000000"/>
            </w:tcBorders>
          </w:tcPr>
          <w:p>
            <w:pPr>
              <w:pStyle w:val="TableParagraph"/>
              <w:spacing w:line="270" w:lineRule="exact"/>
              <w:ind w:left="122"/>
              <w:rPr>
                <w:i/>
                <w:sz w:val="24"/>
              </w:rPr>
            </w:pPr>
            <w:r>
              <w:rPr>
                <w:i/>
                <w:sz w:val="24"/>
              </w:rPr>
              <w:t>S. </w:t>
            </w:r>
            <w:r>
              <w:rPr>
                <w:i/>
                <w:spacing w:val="-2"/>
                <w:sz w:val="24"/>
              </w:rPr>
              <w:t>typhi</w:t>
            </w:r>
          </w:p>
        </w:tc>
        <w:tc>
          <w:tcPr>
            <w:tcW w:w="2506" w:type="dxa"/>
            <w:tcBorders>
              <w:top w:val="single" w:sz="4" w:space="0" w:color="000000"/>
            </w:tcBorders>
          </w:tcPr>
          <w:p>
            <w:pPr>
              <w:pStyle w:val="TableParagraph"/>
              <w:spacing w:line="270" w:lineRule="exact"/>
              <w:ind w:left="562"/>
              <w:rPr>
                <w:sz w:val="24"/>
              </w:rPr>
            </w:pPr>
            <w:r>
              <w:rPr>
                <w:sz w:val="24"/>
              </w:rPr>
              <w:t>CME </w:t>
            </w:r>
            <w:r>
              <w:rPr>
                <w:spacing w:val="-5"/>
                <w:sz w:val="24"/>
              </w:rPr>
              <w:t>100</w:t>
            </w:r>
          </w:p>
        </w:tc>
        <w:tc>
          <w:tcPr>
            <w:tcW w:w="2323" w:type="dxa"/>
            <w:tcBorders>
              <w:top w:val="single" w:sz="4" w:space="0" w:color="000000"/>
            </w:tcBorders>
          </w:tcPr>
          <w:p>
            <w:pPr>
              <w:pStyle w:val="TableParagraph"/>
              <w:spacing w:line="270" w:lineRule="exact"/>
              <w:ind w:left="277"/>
              <w:rPr>
                <w:sz w:val="24"/>
              </w:rPr>
            </w:pPr>
            <w:r>
              <w:rPr>
                <w:sz w:val="24"/>
              </w:rPr>
              <w:t>20.00 </w:t>
            </w:r>
            <w:r>
              <w:rPr>
                <w:spacing w:val="-5"/>
                <w:sz w:val="24"/>
              </w:rPr>
              <w:t>±0</w:t>
            </w:r>
          </w:p>
        </w:tc>
        <w:tc>
          <w:tcPr>
            <w:tcW w:w="2200" w:type="dxa"/>
            <w:tcBorders>
              <w:top w:val="single" w:sz="4" w:space="0" w:color="000000"/>
            </w:tcBorders>
          </w:tcPr>
          <w:p>
            <w:pPr>
              <w:pStyle w:val="TableParagraph"/>
              <w:spacing w:line="270" w:lineRule="exact"/>
              <w:ind w:left="107"/>
              <w:rPr>
                <w:sz w:val="24"/>
              </w:rPr>
            </w:pPr>
            <w:r>
              <w:rPr>
                <w:spacing w:val="-10"/>
                <w:sz w:val="24"/>
              </w:rPr>
              <w:t>S</w:t>
            </w:r>
          </w:p>
        </w:tc>
      </w:tr>
      <w:tr>
        <w:trPr>
          <w:trHeight w:val="751" w:hRule="atLeast"/>
        </w:trPr>
        <w:tc>
          <w:tcPr>
            <w:tcW w:w="1713" w:type="dxa"/>
          </w:tcPr>
          <w:p>
            <w:pPr>
              <w:pStyle w:val="TableParagraph"/>
              <w:rPr>
                <w:sz w:val="24"/>
              </w:rPr>
            </w:pPr>
          </w:p>
        </w:tc>
        <w:tc>
          <w:tcPr>
            <w:tcW w:w="2506" w:type="dxa"/>
          </w:tcPr>
          <w:p>
            <w:pPr>
              <w:pStyle w:val="TableParagraph"/>
              <w:spacing w:before="232"/>
              <w:ind w:left="562"/>
              <w:rPr>
                <w:sz w:val="24"/>
              </w:rPr>
            </w:pPr>
            <w:r>
              <w:rPr>
                <w:sz w:val="24"/>
              </w:rPr>
              <w:t>CME </w:t>
            </w:r>
            <w:r>
              <w:rPr>
                <w:spacing w:val="-5"/>
                <w:sz w:val="24"/>
              </w:rPr>
              <w:t>200</w:t>
            </w:r>
          </w:p>
        </w:tc>
        <w:tc>
          <w:tcPr>
            <w:tcW w:w="2323" w:type="dxa"/>
          </w:tcPr>
          <w:p>
            <w:pPr>
              <w:pStyle w:val="TableParagraph"/>
              <w:spacing w:before="232"/>
              <w:ind w:left="277"/>
              <w:rPr>
                <w:sz w:val="24"/>
              </w:rPr>
            </w:pPr>
            <w:r>
              <w:rPr>
                <w:sz w:val="24"/>
              </w:rPr>
              <w:t>20.00 </w:t>
            </w:r>
            <w:r>
              <w:rPr>
                <w:spacing w:val="-5"/>
                <w:sz w:val="24"/>
              </w:rPr>
              <w:t>±0</w:t>
            </w:r>
          </w:p>
        </w:tc>
        <w:tc>
          <w:tcPr>
            <w:tcW w:w="2200" w:type="dxa"/>
          </w:tcPr>
          <w:p>
            <w:pPr>
              <w:pStyle w:val="TableParagraph"/>
              <w:spacing w:before="232"/>
              <w:ind w:left="107"/>
              <w:rPr>
                <w:sz w:val="24"/>
              </w:rPr>
            </w:pPr>
            <w:r>
              <w:rPr>
                <w:spacing w:val="-10"/>
                <w:sz w:val="24"/>
              </w:rPr>
              <w:t>S</w:t>
            </w:r>
          </w:p>
        </w:tc>
      </w:tr>
      <w:tr>
        <w:trPr>
          <w:trHeight w:val="752" w:hRule="atLeast"/>
        </w:trPr>
        <w:tc>
          <w:tcPr>
            <w:tcW w:w="1713" w:type="dxa"/>
          </w:tcPr>
          <w:p>
            <w:pPr>
              <w:pStyle w:val="TableParagraph"/>
              <w:rPr>
                <w:sz w:val="24"/>
              </w:rPr>
            </w:pPr>
          </w:p>
        </w:tc>
        <w:tc>
          <w:tcPr>
            <w:tcW w:w="2506" w:type="dxa"/>
          </w:tcPr>
          <w:p>
            <w:pPr>
              <w:pStyle w:val="TableParagraph"/>
              <w:spacing w:before="233"/>
              <w:ind w:left="562"/>
              <w:rPr>
                <w:sz w:val="24"/>
              </w:rPr>
            </w:pPr>
            <w:r>
              <w:rPr>
                <w:spacing w:val="-2"/>
                <w:sz w:val="24"/>
              </w:rPr>
              <w:t>Cefuroxime</w:t>
            </w:r>
          </w:p>
        </w:tc>
        <w:tc>
          <w:tcPr>
            <w:tcW w:w="2323" w:type="dxa"/>
          </w:tcPr>
          <w:p>
            <w:pPr>
              <w:pStyle w:val="TableParagraph"/>
              <w:spacing w:before="233"/>
              <w:ind w:left="277"/>
              <w:rPr>
                <w:sz w:val="24"/>
              </w:rPr>
            </w:pPr>
            <w:r>
              <w:rPr>
                <w:sz w:val="24"/>
              </w:rPr>
              <w:t>15.00 </w:t>
            </w:r>
            <w:r>
              <w:rPr>
                <w:spacing w:val="-4"/>
                <w:sz w:val="24"/>
              </w:rPr>
              <w:t>±1.0</w:t>
            </w:r>
          </w:p>
        </w:tc>
        <w:tc>
          <w:tcPr>
            <w:tcW w:w="2200" w:type="dxa"/>
          </w:tcPr>
          <w:p>
            <w:pPr>
              <w:pStyle w:val="TableParagraph"/>
              <w:spacing w:before="233"/>
              <w:ind w:left="107"/>
              <w:rPr>
                <w:sz w:val="24"/>
              </w:rPr>
            </w:pPr>
            <w:r>
              <w:rPr>
                <w:spacing w:val="-10"/>
                <w:sz w:val="24"/>
              </w:rPr>
              <w:t>R</w:t>
            </w:r>
          </w:p>
        </w:tc>
      </w:tr>
      <w:tr>
        <w:trPr>
          <w:trHeight w:val="752" w:hRule="atLeast"/>
        </w:trPr>
        <w:tc>
          <w:tcPr>
            <w:tcW w:w="1713" w:type="dxa"/>
          </w:tcPr>
          <w:p>
            <w:pPr>
              <w:pStyle w:val="TableParagraph"/>
              <w:rPr>
                <w:sz w:val="24"/>
              </w:rPr>
            </w:pPr>
          </w:p>
        </w:tc>
        <w:tc>
          <w:tcPr>
            <w:tcW w:w="2506" w:type="dxa"/>
          </w:tcPr>
          <w:p>
            <w:pPr>
              <w:pStyle w:val="TableParagraph"/>
              <w:spacing w:before="233"/>
              <w:ind w:left="562"/>
              <w:rPr>
                <w:sz w:val="24"/>
              </w:rPr>
            </w:pPr>
            <w:r>
              <w:rPr>
                <w:sz w:val="24"/>
              </w:rPr>
              <w:t>Nalidixic</w:t>
            </w:r>
            <w:r>
              <w:rPr>
                <w:spacing w:val="-2"/>
                <w:sz w:val="24"/>
              </w:rPr>
              <w:t> </w:t>
            </w:r>
            <w:r>
              <w:rPr>
                <w:spacing w:val="-4"/>
                <w:sz w:val="24"/>
              </w:rPr>
              <w:t>acid</w:t>
            </w:r>
          </w:p>
        </w:tc>
        <w:tc>
          <w:tcPr>
            <w:tcW w:w="2323" w:type="dxa"/>
          </w:tcPr>
          <w:p>
            <w:pPr>
              <w:pStyle w:val="TableParagraph"/>
              <w:spacing w:before="233"/>
              <w:ind w:left="277"/>
              <w:rPr>
                <w:sz w:val="24"/>
              </w:rPr>
            </w:pPr>
            <w:r>
              <w:rPr>
                <w:sz w:val="24"/>
              </w:rPr>
              <w:t>19.00 </w:t>
            </w:r>
            <w:r>
              <w:rPr>
                <w:spacing w:val="-4"/>
                <w:sz w:val="24"/>
              </w:rPr>
              <w:t>±1.0</w:t>
            </w:r>
          </w:p>
        </w:tc>
        <w:tc>
          <w:tcPr>
            <w:tcW w:w="2200" w:type="dxa"/>
          </w:tcPr>
          <w:p>
            <w:pPr>
              <w:pStyle w:val="TableParagraph"/>
              <w:spacing w:before="233"/>
              <w:ind w:left="107"/>
              <w:rPr>
                <w:sz w:val="24"/>
              </w:rPr>
            </w:pPr>
            <w:r>
              <w:rPr>
                <w:spacing w:val="-10"/>
                <w:sz w:val="24"/>
              </w:rPr>
              <w:t>S</w:t>
            </w:r>
          </w:p>
        </w:tc>
      </w:tr>
      <w:tr>
        <w:trPr>
          <w:trHeight w:val="751" w:hRule="atLeast"/>
        </w:trPr>
        <w:tc>
          <w:tcPr>
            <w:tcW w:w="1713" w:type="dxa"/>
          </w:tcPr>
          <w:p>
            <w:pPr>
              <w:pStyle w:val="TableParagraph"/>
              <w:rPr>
                <w:sz w:val="24"/>
              </w:rPr>
            </w:pPr>
          </w:p>
        </w:tc>
        <w:tc>
          <w:tcPr>
            <w:tcW w:w="2506" w:type="dxa"/>
          </w:tcPr>
          <w:p>
            <w:pPr>
              <w:pStyle w:val="TableParagraph"/>
              <w:spacing w:before="232"/>
              <w:ind w:left="562"/>
              <w:rPr>
                <w:sz w:val="24"/>
              </w:rPr>
            </w:pPr>
            <w:r>
              <w:rPr>
                <w:spacing w:val="-2"/>
                <w:sz w:val="24"/>
              </w:rPr>
              <w:t>Cephalexin</w:t>
            </w:r>
          </w:p>
        </w:tc>
        <w:tc>
          <w:tcPr>
            <w:tcW w:w="2323" w:type="dxa"/>
          </w:tcPr>
          <w:p>
            <w:pPr>
              <w:pStyle w:val="TableParagraph"/>
              <w:spacing w:before="232"/>
              <w:ind w:left="277"/>
              <w:rPr>
                <w:sz w:val="24"/>
              </w:rPr>
            </w:pPr>
            <w:r>
              <w:rPr>
                <w:sz w:val="24"/>
              </w:rPr>
              <w:t>31.00 </w:t>
            </w:r>
            <w:r>
              <w:rPr>
                <w:spacing w:val="-4"/>
                <w:sz w:val="24"/>
              </w:rPr>
              <w:t>±1.0</w:t>
            </w:r>
          </w:p>
        </w:tc>
        <w:tc>
          <w:tcPr>
            <w:tcW w:w="2200" w:type="dxa"/>
          </w:tcPr>
          <w:p>
            <w:pPr>
              <w:pStyle w:val="TableParagraph"/>
              <w:spacing w:before="232"/>
              <w:ind w:left="107"/>
              <w:rPr>
                <w:sz w:val="24"/>
              </w:rPr>
            </w:pPr>
            <w:r>
              <w:rPr>
                <w:spacing w:val="-10"/>
                <w:sz w:val="24"/>
              </w:rPr>
              <w:t>S</w:t>
            </w:r>
          </w:p>
        </w:tc>
      </w:tr>
      <w:tr>
        <w:trPr>
          <w:trHeight w:val="508" w:hRule="atLeast"/>
        </w:trPr>
        <w:tc>
          <w:tcPr>
            <w:tcW w:w="1713" w:type="dxa"/>
          </w:tcPr>
          <w:p>
            <w:pPr>
              <w:pStyle w:val="TableParagraph"/>
              <w:rPr>
                <w:sz w:val="24"/>
              </w:rPr>
            </w:pPr>
          </w:p>
        </w:tc>
        <w:tc>
          <w:tcPr>
            <w:tcW w:w="2506" w:type="dxa"/>
          </w:tcPr>
          <w:p>
            <w:pPr>
              <w:pStyle w:val="TableParagraph"/>
              <w:spacing w:line="256" w:lineRule="exact" w:before="232"/>
              <w:ind w:left="562"/>
              <w:rPr>
                <w:sz w:val="24"/>
              </w:rPr>
            </w:pPr>
            <w:r>
              <w:rPr>
                <w:spacing w:val="-2"/>
                <w:sz w:val="24"/>
              </w:rPr>
              <w:t>Chloramphenicol</w:t>
            </w:r>
          </w:p>
        </w:tc>
        <w:tc>
          <w:tcPr>
            <w:tcW w:w="2323" w:type="dxa"/>
          </w:tcPr>
          <w:p>
            <w:pPr>
              <w:pStyle w:val="TableParagraph"/>
              <w:spacing w:line="256" w:lineRule="exact" w:before="232"/>
              <w:ind w:left="277"/>
              <w:rPr>
                <w:sz w:val="24"/>
              </w:rPr>
            </w:pPr>
            <w:r>
              <w:rPr>
                <w:sz w:val="24"/>
              </w:rPr>
              <w:t>35.50 </w:t>
            </w:r>
            <w:r>
              <w:rPr>
                <w:spacing w:val="-4"/>
                <w:sz w:val="24"/>
              </w:rPr>
              <w:t>±0.5</w:t>
            </w:r>
          </w:p>
        </w:tc>
        <w:tc>
          <w:tcPr>
            <w:tcW w:w="2200" w:type="dxa"/>
          </w:tcPr>
          <w:p>
            <w:pPr>
              <w:pStyle w:val="TableParagraph"/>
              <w:spacing w:line="256" w:lineRule="exact" w:before="232"/>
              <w:ind w:left="107"/>
              <w:rPr>
                <w:sz w:val="24"/>
              </w:rPr>
            </w:pPr>
            <w:r>
              <w:rPr>
                <w:spacing w:val="-10"/>
                <w:sz w:val="24"/>
              </w:rPr>
              <w:t>S</w:t>
            </w:r>
          </w:p>
        </w:tc>
      </w:tr>
    </w:tbl>
    <w:p>
      <w:pPr>
        <w:pStyle w:val="BodyText"/>
        <w:rPr>
          <w:b/>
          <w:i/>
          <w:sz w:val="20"/>
        </w:rPr>
      </w:pPr>
    </w:p>
    <w:p>
      <w:pPr>
        <w:pStyle w:val="BodyText"/>
        <w:spacing w:before="2"/>
        <w:rPr>
          <w:b/>
          <w:i/>
          <w:sz w:val="20"/>
        </w:rPr>
      </w:pPr>
      <w:r>
        <w:rPr/>
        <mc:AlternateContent>
          <mc:Choice Requires="wps">
            <w:drawing>
              <wp:anchor distT="0" distB="0" distL="0" distR="0" allowOverlap="1" layoutInCell="1" locked="0" behindDoc="1" simplePos="0" relativeHeight="487599104">
                <wp:simplePos x="0" y="0"/>
                <wp:positionH relativeFrom="page">
                  <wp:posOffset>1184452</wp:posOffset>
                </wp:positionH>
                <wp:positionV relativeFrom="paragraph">
                  <wp:posOffset>162826</wp:posOffset>
                </wp:positionV>
                <wp:extent cx="5550535" cy="63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5550535" cy="6350"/>
                        </a:xfrm>
                        <a:custGeom>
                          <a:avLst/>
                          <a:gdLst/>
                          <a:ahLst/>
                          <a:cxnLst/>
                          <a:rect l="l" t="t" r="r" b="b"/>
                          <a:pathLst>
                            <a:path w="5550535" h="6350">
                              <a:moveTo>
                                <a:pt x="5550103" y="0"/>
                              </a:moveTo>
                              <a:lnTo>
                                <a:pt x="5550103" y="0"/>
                              </a:lnTo>
                              <a:lnTo>
                                <a:pt x="0" y="0"/>
                              </a:lnTo>
                              <a:lnTo>
                                <a:pt x="0" y="6096"/>
                              </a:lnTo>
                              <a:lnTo>
                                <a:pt x="5550103" y="6096"/>
                              </a:lnTo>
                              <a:lnTo>
                                <a:pt x="5550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12.820955pt;width:437.016021pt;height:.48pt;mso-position-horizontal-relative:page;mso-position-vertical-relative:paragraph;z-index:-15717376;mso-wrap-distance-left:0;mso-wrap-distance-right:0" id="docshape29" filled="true" fillcolor="#000000" stroked="false">
                <v:fill type="solid"/>
                <w10:wrap type="topAndBottom"/>
              </v:rect>
            </w:pict>
          </mc:Fallback>
        </mc:AlternateContent>
      </w:r>
    </w:p>
    <w:p>
      <w:pPr>
        <w:spacing w:line="242" w:lineRule="auto" w:before="0"/>
        <w:ind w:left="747" w:right="847" w:firstLine="0"/>
        <w:jc w:val="both"/>
        <w:rPr>
          <w:sz w:val="24"/>
        </w:rPr>
      </w:pPr>
      <w:r>
        <w:rPr>
          <w:sz w:val="24"/>
        </w:rPr>
        <w:t>n</w:t>
      </w:r>
      <w:r>
        <w:rPr>
          <w:b/>
          <w:sz w:val="24"/>
        </w:rPr>
        <w:t>=</w:t>
      </w:r>
      <w:r>
        <w:rPr>
          <w:sz w:val="24"/>
        </w:rPr>
        <w:t>2,</w:t>
      </w:r>
      <w:r>
        <w:rPr>
          <w:spacing w:val="-3"/>
          <w:sz w:val="24"/>
        </w:rPr>
        <w:t> </w:t>
      </w:r>
      <w:r>
        <w:rPr>
          <w:sz w:val="24"/>
        </w:rPr>
        <w:t>CME</w:t>
      </w:r>
      <w:r>
        <w:rPr>
          <w:spacing w:val="-3"/>
          <w:sz w:val="24"/>
        </w:rPr>
        <w:t> </w:t>
      </w:r>
      <w:r>
        <w:rPr>
          <w:sz w:val="24"/>
        </w:rPr>
        <w:t>100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100</w:t>
      </w:r>
      <w:r>
        <w:rPr>
          <w:spacing w:val="-3"/>
          <w:sz w:val="24"/>
        </w:rPr>
        <w:t> </w:t>
      </w:r>
      <w:r>
        <w:rPr>
          <w:sz w:val="24"/>
        </w:rPr>
        <w:t>mg/ml),</w:t>
      </w:r>
      <w:r>
        <w:rPr>
          <w:spacing w:val="-3"/>
          <w:sz w:val="24"/>
        </w:rPr>
        <w:t> </w:t>
      </w:r>
      <w:r>
        <w:rPr>
          <w:sz w:val="24"/>
        </w:rPr>
        <w:t>CME 200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200</w:t>
      </w:r>
      <w:r>
        <w:rPr>
          <w:spacing w:val="-1"/>
          <w:sz w:val="24"/>
        </w:rPr>
        <w:t> </w:t>
      </w:r>
      <w:r>
        <w:rPr>
          <w:sz w:val="24"/>
        </w:rPr>
        <w:t>mg/ml),</w:t>
      </w:r>
      <w:r>
        <w:rPr>
          <w:spacing w:val="-3"/>
          <w:sz w:val="24"/>
        </w:rPr>
        <w:t> </w:t>
      </w:r>
      <w:r>
        <w:rPr>
          <w:sz w:val="24"/>
        </w:rPr>
        <w:t>R</w:t>
      </w:r>
      <w:r>
        <w:rPr>
          <w:spacing w:val="-3"/>
          <w:sz w:val="24"/>
        </w:rPr>
        <w:t> </w:t>
      </w:r>
      <w:r>
        <w:rPr>
          <w:sz w:val="24"/>
        </w:rPr>
        <w:t>= Resistant, I = Intermediate, S = Susceptibility.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480" w:lineRule="auto" w:before="1"/>
        <w:ind w:left="747" w:right="850"/>
        <w:jc w:val="both"/>
      </w:pPr>
      <w:r>
        <w:rPr>
          <w:i/>
        </w:rPr>
        <w:t>Proteus</w:t>
      </w:r>
      <w:r>
        <w:rPr>
          <w:i/>
          <w:spacing w:val="-3"/>
        </w:rPr>
        <w:t> </w:t>
      </w:r>
      <w:r>
        <w:rPr>
          <w:i/>
        </w:rPr>
        <w:t>mirablis</w:t>
      </w:r>
      <w:r>
        <w:rPr>
          <w:i/>
          <w:spacing w:val="-2"/>
        </w:rPr>
        <w:t> </w:t>
      </w:r>
      <w:r>
        <w:rPr/>
        <w:t>was</w:t>
      </w:r>
      <w:r>
        <w:rPr>
          <w:spacing w:val="-3"/>
        </w:rPr>
        <w:t> </w:t>
      </w:r>
      <w:r>
        <w:rPr/>
        <w:t>susceptible</w:t>
      </w:r>
      <w:r>
        <w:rPr>
          <w:spacing w:val="-3"/>
        </w:rPr>
        <w:t> </w:t>
      </w:r>
      <w:r>
        <w:rPr/>
        <w:t>to</w:t>
      </w:r>
      <w:r>
        <w:rPr>
          <w:spacing w:val="-3"/>
        </w:rPr>
        <w:t> </w:t>
      </w:r>
      <w:r>
        <w:rPr/>
        <w:t>ceftriaxone</w:t>
      </w:r>
      <w:r>
        <w:rPr>
          <w:spacing w:val="-4"/>
        </w:rPr>
        <w:t> </w:t>
      </w:r>
      <w:r>
        <w:rPr/>
        <w:t>(35.00</w:t>
      </w:r>
      <w:r>
        <w:rPr>
          <w:spacing w:val="-3"/>
        </w:rPr>
        <w:t> </w:t>
      </w:r>
      <w:r>
        <w:rPr/>
        <w:t>mm),</w:t>
      </w:r>
      <w:r>
        <w:rPr>
          <w:spacing w:val="-3"/>
        </w:rPr>
        <w:t> </w:t>
      </w:r>
      <w:r>
        <w:rPr/>
        <w:t>cephalexin</w:t>
      </w:r>
      <w:r>
        <w:rPr>
          <w:spacing w:val="-3"/>
        </w:rPr>
        <w:t> </w:t>
      </w:r>
      <w:r>
        <w:rPr/>
        <w:t>(17.00</w:t>
      </w:r>
      <w:r>
        <w:rPr>
          <w:spacing w:val="-3"/>
        </w:rPr>
        <w:t> </w:t>
      </w:r>
      <w:r>
        <w:rPr/>
        <w:t>mm)</w:t>
      </w:r>
      <w:r>
        <w:rPr>
          <w:spacing w:val="-3"/>
        </w:rPr>
        <w:t> </w:t>
      </w:r>
      <w:r>
        <w:rPr/>
        <w:t>and nalidixic acid (24.00 mm), but resistant to ceftazidine (8.00 mm). Both extract doses, had 18.00 mm zone diameter (Table 4.9).</w:t>
      </w:r>
    </w:p>
    <w:p>
      <w:pPr>
        <w:pStyle w:val="Heading2"/>
        <w:spacing w:line="242" w:lineRule="auto" w:before="204"/>
        <w:ind w:left="2188" w:right="849" w:hanging="1441"/>
        <w:jc w:val="both"/>
        <w:rPr>
          <w:i/>
        </w:rPr>
      </w:pPr>
      <w:r>
        <w:rPr/>
        <w:t>Table</w:t>
      </w:r>
      <w:r>
        <w:rPr>
          <w:spacing w:val="-2"/>
        </w:rPr>
        <w:t> </w:t>
      </w:r>
      <w:r>
        <w:rPr/>
        <w:t>4.9</w:t>
      </w:r>
      <w:r>
        <w:rPr>
          <w:spacing w:val="40"/>
        </w:rPr>
        <w:t>  </w:t>
      </w:r>
      <w:r>
        <w:rPr/>
        <w:t>Growth Inhibition Zones of Two Extract Doses and Four Standard Antibiotics Specific for </w:t>
      </w:r>
      <w:r>
        <w:rPr>
          <w:i/>
        </w:rPr>
        <w:t>Proteus. mirabilis</w:t>
      </w:r>
    </w:p>
    <w:p>
      <w:pPr>
        <w:pStyle w:val="BodyText"/>
        <w:spacing w:before="3" w:after="1"/>
        <w:rPr>
          <w:b/>
          <w:i/>
          <w:sz w:val="17"/>
        </w:r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0"/>
        <w:gridCol w:w="1967"/>
        <w:gridCol w:w="2844"/>
        <w:gridCol w:w="2209"/>
      </w:tblGrid>
      <w:tr>
        <w:trPr>
          <w:trHeight w:val="274" w:hRule="atLeast"/>
        </w:trPr>
        <w:tc>
          <w:tcPr>
            <w:tcW w:w="1720" w:type="dxa"/>
            <w:tcBorders>
              <w:top w:val="single" w:sz="4" w:space="0" w:color="000000"/>
            </w:tcBorders>
          </w:tcPr>
          <w:p>
            <w:pPr>
              <w:pStyle w:val="TableParagraph"/>
              <w:spacing w:line="255" w:lineRule="exact"/>
              <w:ind w:left="122"/>
              <w:rPr>
                <w:b/>
                <w:sz w:val="24"/>
              </w:rPr>
            </w:pPr>
            <w:r>
              <w:rPr>
                <w:b/>
                <w:spacing w:val="-2"/>
                <w:sz w:val="24"/>
              </w:rPr>
              <w:t>Organism</w:t>
            </w:r>
          </w:p>
        </w:tc>
        <w:tc>
          <w:tcPr>
            <w:tcW w:w="1967" w:type="dxa"/>
            <w:tcBorders>
              <w:top w:val="single" w:sz="4" w:space="0" w:color="000000"/>
            </w:tcBorders>
          </w:tcPr>
          <w:p>
            <w:pPr>
              <w:pStyle w:val="TableParagraph"/>
              <w:spacing w:line="255" w:lineRule="exact"/>
              <w:ind w:left="570"/>
              <w:rPr>
                <w:b/>
                <w:sz w:val="24"/>
              </w:rPr>
            </w:pPr>
            <w:r>
              <w:rPr>
                <w:b/>
                <w:spacing w:val="-4"/>
                <w:sz w:val="24"/>
              </w:rPr>
              <w:t>Agent</w:t>
            </w:r>
          </w:p>
        </w:tc>
        <w:tc>
          <w:tcPr>
            <w:tcW w:w="2844" w:type="dxa"/>
            <w:tcBorders>
              <w:top w:val="single" w:sz="4" w:space="0" w:color="000000"/>
            </w:tcBorders>
          </w:tcPr>
          <w:p>
            <w:pPr>
              <w:pStyle w:val="TableParagraph"/>
              <w:spacing w:line="255" w:lineRule="exact"/>
              <w:ind w:left="785"/>
              <w:rPr>
                <w:b/>
                <w:sz w:val="24"/>
              </w:rPr>
            </w:pPr>
            <w:r>
              <w:rPr>
                <w:b/>
                <w:sz w:val="24"/>
              </w:rPr>
              <w:t>Zone</w:t>
            </w:r>
            <w:r>
              <w:rPr>
                <w:b/>
                <w:spacing w:val="38"/>
                <w:sz w:val="24"/>
              </w:rPr>
              <w:t> </w:t>
            </w:r>
            <w:r>
              <w:rPr>
                <w:b/>
                <w:sz w:val="24"/>
              </w:rPr>
              <w:t>of</w:t>
            </w:r>
            <w:r>
              <w:rPr>
                <w:b/>
                <w:spacing w:val="41"/>
                <w:sz w:val="24"/>
              </w:rPr>
              <w:t> </w:t>
            </w:r>
            <w:r>
              <w:rPr>
                <w:b/>
                <w:spacing w:val="-2"/>
                <w:sz w:val="24"/>
              </w:rPr>
              <w:t>Inhibition</w:t>
            </w:r>
          </w:p>
        </w:tc>
        <w:tc>
          <w:tcPr>
            <w:tcW w:w="2209" w:type="dxa"/>
            <w:tcBorders>
              <w:top w:val="single" w:sz="4" w:space="0" w:color="000000"/>
            </w:tcBorders>
          </w:tcPr>
          <w:p>
            <w:pPr>
              <w:pStyle w:val="TableParagraph"/>
              <w:spacing w:line="255" w:lineRule="exact"/>
              <w:ind w:left="108"/>
              <w:rPr>
                <w:b/>
                <w:sz w:val="24"/>
              </w:rPr>
            </w:pPr>
            <w:r>
              <w:rPr>
                <w:b/>
                <w:spacing w:val="-2"/>
                <w:sz w:val="24"/>
              </w:rPr>
              <w:t>Interpretation</w:t>
            </w:r>
          </w:p>
        </w:tc>
      </w:tr>
    </w:tbl>
    <w:p>
      <w:pPr>
        <w:pStyle w:val="BodyText"/>
        <w:spacing w:before="223"/>
        <w:rPr>
          <w:b/>
          <w:i/>
          <w:sz w:val="20"/>
        </w:rPr>
      </w:pPr>
      <w:r>
        <w:rPr/>
        <mc:AlternateContent>
          <mc:Choice Requires="wps">
            <w:drawing>
              <wp:anchor distT="0" distB="0" distL="0" distR="0" allowOverlap="1" layoutInCell="1" locked="0" behindDoc="1" simplePos="0" relativeHeight="487599616">
                <wp:simplePos x="0" y="0"/>
                <wp:positionH relativeFrom="page">
                  <wp:posOffset>1184452</wp:posOffset>
                </wp:positionH>
                <wp:positionV relativeFrom="paragraph">
                  <wp:posOffset>302894</wp:posOffset>
                </wp:positionV>
                <wp:extent cx="5550535"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550535" cy="6350"/>
                        </a:xfrm>
                        <a:custGeom>
                          <a:avLst/>
                          <a:gdLst/>
                          <a:ahLst/>
                          <a:cxnLst/>
                          <a:rect l="l" t="t" r="r" b="b"/>
                          <a:pathLst>
                            <a:path w="5550535" h="6350">
                              <a:moveTo>
                                <a:pt x="5550103" y="0"/>
                              </a:moveTo>
                              <a:lnTo>
                                <a:pt x="5550103" y="0"/>
                              </a:lnTo>
                              <a:lnTo>
                                <a:pt x="0" y="0"/>
                              </a:lnTo>
                              <a:lnTo>
                                <a:pt x="0" y="6083"/>
                              </a:lnTo>
                              <a:lnTo>
                                <a:pt x="5550103" y="6083"/>
                              </a:lnTo>
                              <a:lnTo>
                                <a:pt x="5550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23.849998pt;width:437.016021pt;height:.479pt;mso-position-horizontal-relative:page;mso-position-vertical-relative:paragraph;z-index:-15716864;mso-wrap-distance-left:0;mso-wrap-distance-right:0" id="docshape30" filled="true" fillcolor="#000000" stroked="false">
                <v:fill type="solid"/>
                <w10:wrap type="topAndBottom"/>
              </v:rect>
            </w:pict>
          </mc:Fallback>
        </mc:AlternateContent>
      </w:r>
    </w:p>
    <w:p>
      <w:pPr>
        <w:spacing w:after="0"/>
        <w:rPr>
          <w:sz w:val="20"/>
        </w:rPr>
        <w:sectPr>
          <w:pgSz w:w="11910" w:h="16840"/>
          <w:pgMar w:header="0" w:footer="981" w:top="1320" w:bottom="1180" w:left="1240" w:right="560"/>
        </w:sectPr>
      </w:pPr>
    </w:p>
    <w:tbl>
      <w:tblPr>
        <w:tblW w:w="0" w:type="auto"/>
        <w:jc w:val="lef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9"/>
        <w:gridCol w:w="2284"/>
        <w:gridCol w:w="2045"/>
        <w:gridCol w:w="2639"/>
      </w:tblGrid>
      <w:tr>
        <w:trPr>
          <w:trHeight w:val="751" w:hRule="atLeast"/>
        </w:trPr>
        <w:tc>
          <w:tcPr>
            <w:tcW w:w="1759" w:type="dxa"/>
            <w:tcBorders>
              <w:top w:val="single" w:sz="4" w:space="0" w:color="000000"/>
              <w:bottom w:val="single" w:sz="4" w:space="0" w:color="000000"/>
            </w:tcBorders>
          </w:tcPr>
          <w:p>
            <w:pPr>
              <w:pStyle w:val="TableParagraph"/>
              <w:rPr>
                <w:sz w:val="24"/>
              </w:rPr>
            </w:pPr>
          </w:p>
        </w:tc>
        <w:tc>
          <w:tcPr>
            <w:tcW w:w="2284" w:type="dxa"/>
            <w:tcBorders>
              <w:top w:val="single" w:sz="4" w:space="0" w:color="000000"/>
              <w:bottom w:val="single" w:sz="4" w:space="0" w:color="000000"/>
            </w:tcBorders>
          </w:tcPr>
          <w:p>
            <w:pPr>
              <w:pStyle w:val="TableParagraph"/>
              <w:rPr>
                <w:sz w:val="24"/>
              </w:rPr>
            </w:pPr>
          </w:p>
        </w:tc>
        <w:tc>
          <w:tcPr>
            <w:tcW w:w="2045" w:type="dxa"/>
            <w:tcBorders>
              <w:top w:val="single" w:sz="4" w:space="0" w:color="000000"/>
              <w:bottom w:val="single" w:sz="4" w:space="0" w:color="000000"/>
            </w:tcBorders>
          </w:tcPr>
          <w:p>
            <w:pPr>
              <w:pStyle w:val="TableParagraph"/>
              <w:spacing w:line="275" w:lineRule="exact"/>
              <w:ind w:left="414"/>
              <w:rPr>
                <w:b/>
                <w:sz w:val="24"/>
              </w:rPr>
            </w:pPr>
            <w:r>
              <w:rPr>
                <w:b/>
                <w:sz w:val="24"/>
              </w:rPr>
              <w:t>Mean</w:t>
            </w:r>
            <w:r>
              <w:rPr>
                <w:b/>
                <w:spacing w:val="-1"/>
                <w:sz w:val="24"/>
              </w:rPr>
              <w:t> </w:t>
            </w:r>
            <w:r>
              <w:rPr>
                <w:b/>
                <w:sz w:val="24"/>
              </w:rPr>
              <w:t>±</w:t>
            </w:r>
            <w:r>
              <w:rPr>
                <w:b/>
                <w:spacing w:val="-1"/>
                <w:sz w:val="24"/>
              </w:rPr>
              <w:t> </w:t>
            </w:r>
            <w:r>
              <w:rPr>
                <w:b/>
                <w:spacing w:val="-5"/>
                <w:sz w:val="24"/>
              </w:rPr>
              <w:t>SEM</w:t>
            </w:r>
          </w:p>
        </w:tc>
        <w:tc>
          <w:tcPr>
            <w:tcW w:w="2639" w:type="dxa"/>
            <w:tcBorders>
              <w:top w:val="single" w:sz="4" w:space="0" w:color="000000"/>
              <w:bottom w:val="single" w:sz="4" w:space="0" w:color="000000"/>
            </w:tcBorders>
          </w:tcPr>
          <w:p>
            <w:pPr>
              <w:pStyle w:val="TableParagraph"/>
              <w:rPr>
                <w:sz w:val="24"/>
              </w:rPr>
            </w:pPr>
          </w:p>
        </w:tc>
      </w:tr>
      <w:tr>
        <w:trPr>
          <w:trHeight w:val="515" w:hRule="atLeast"/>
        </w:trPr>
        <w:tc>
          <w:tcPr>
            <w:tcW w:w="1759" w:type="dxa"/>
            <w:tcBorders>
              <w:top w:val="single" w:sz="4" w:space="0" w:color="000000"/>
            </w:tcBorders>
          </w:tcPr>
          <w:p>
            <w:pPr>
              <w:pStyle w:val="TableParagraph"/>
              <w:spacing w:line="273" w:lineRule="exact"/>
              <w:ind w:left="108"/>
              <w:rPr>
                <w:i/>
                <w:sz w:val="24"/>
              </w:rPr>
            </w:pPr>
            <w:r>
              <w:rPr>
                <w:i/>
                <w:sz w:val="24"/>
              </w:rPr>
              <w:t>P. </w:t>
            </w:r>
            <w:r>
              <w:rPr>
                <w:i/>
                <w:spacing w:val="-2"/>
                <w:sz w:val="24"/>
              </w:rPr>
              <w:t>mirabilis</w:t>
            </w:r>
          </w:p>
        </w:tc>
        <w:tc>
          <w:tcPr>
            <w:tcW w:w="2284" w:type="dxa"/>
            <w:tcBorders>
              <w:top w:val="single" w:sz="4" w:space="0" w:color="000000"/>
            </w:tcBorders>
          </w:tcPr>
          <w:p>
            <w:pPr>
              <w:pStyle w:val="TableParagraph"/>
              <w:spacing w:line="273" w:lineRule="exact"/>
              <w:ind w:left="516"/>
              <w:rPr>
                <w:sz w:val="24"/>
              </w:rPr>
            </w:pPr>
            <w:r>
              <w:rPr>
                <w:sz w:val="24"/>
              </w:rPr>
              <w:t>CME </w:t>
            </w:r>
            <w:r>
              <w:rPr>
                <w:spacing w:val="-5"/>
                <w:sz w:val="24"/>
              </w:rPr>
              <w:t>100</w:t>
            </w:r>
          </w:p>
        </w:tc>
        <w:tc>
          <w:tcPr>
            <w:tcW w:w="2045" w:type="dxa"/>
            <w:tcBorders>
              <w:top w:val="single" w:sz="4" w:space="0" w:color="000000"/>
            </w:tcBorders>
          </w:tcPr>
          <w:p>
            <w:pPr>
              <w:pStyle w:val="TableParagraph"/>
              <w:spacing w:line="273" w:lineRule="exact"/>
              <w:ind w:left="414"/>
              <w:rPr>
                <w:sz w:val="24"/>
              </w:rPr>
            </w:pPr>
            <w:r>
              <w:rPr>
                <w:sz w:val="24"/>
              </w:rPr>
              <w:t>18.00 ± </w:t>
            </w:r>
            <w:r>
              <w:rPr>
                <w:spacing w:val="-5"/>
                <w:sz w:val="24"/>
              </w:rPr>
              <w:t>2.0</w:t>
            </w:r>
          </w:p>
        </w:tc>
        <w:tc>
          <w:tcPr>
            <w:tcW w:w="2639" w:type="dxa"/>
            <w:tcBorders>
              <w:top w:val="single" w:sz="4" w:space="0" w:color="000000"/>
            </w:tcBorders>
          </w:tcPr>
          <w:p>
            <w:pPr>
              <w:pStyle w:val="TableParagraph"/>
              <w:spacing w:line="273" w:lineRule="exact"/>
              <w:ind w:left="537"/>
              <w:rPr>
                <w:sz w:val="24"/>
              </w:rPr>
            </w:pPr>
            <w:r>
              <w:rPr>
                <w:spacing w:val="-10"/>
                <w:sz w:val="24"/>
              </w:rPr>
              <w:t>S</w:t>
            </w:r>
          </w:p>
        </w:tc>
      </w:tr>
      <w:tr>
        <w:trPr>
          <w:trHeight w:val="751" w:hRule="atLeast"/>
        </w:trPr>
        <w:tc>
          <w:tcPr>
            <w:tcW w:w="1759" w:type="dxa"/>
          </w:tcPr>
          <w:p>
            <w:pPr>
              <w:pStyle w:val="TableParagraph"/>
              <w:rPr>
                <w:sz w:val="24"/>
              </w:rPr>
            </w:pPr>
          </w:p>
        </w:tc>
        <w:tc>
          <w:tcPr>
            <w:tcW w:w="2284" w:type="dxa"/>
          </w:tcPr>
          <w:p>
            <w:pPr>
              <w:pStyle w:val="TableParagraph"/>
              <w:spacing w:before="232"/>
              <w:ind w:left="516"/>
              <w:rPr>
                <w:sz w:val="24"/>
              </w:rPr>
            </w:pPr>
            <w:r>
              <w:rPr>
                <w:sz w:val="24"/>
              </w:rPr>
              <w:t>CME </w:t>
            </w:r>
            <w:r>
              <w:rPr>
                <w:spacing w:val="-5"/>
                <w:sz w:val="24"/>
              </w:rPr>
              <w:t>200</w:t>
            </w:r>
          </w:p>
        </w:tc>
        <w:tc>
          <w:tcPr>
            <w:tcW w:w="2045" w:type="dxa"/>
          </w:tcPr>
          <w:p>
            <w:pPr>
              <w:pStyle w:val="TableParagraph"/>
              <w:spacing w:before="232"/>
              <w:ind w:left="414"/>
              <w:rPr>
                <w:sz w:val="24"/>
              </w:rPr>
            </w:pPr>
            <w:r>
              <w:rPr>
                <w:sz w:val="24"/>
              </w:rPr>
              <w:t>18.00 </w:t>
            </w:r>
            <w:r>
              <w:rPr>
                <w:spacing w:val="-5"/>
                <w:sz w:val="24"/>
              </w:rPr>
              <w:t>±0</w:t>
            </w:r>
          </w:p>
        </w:tc>
        <w:tc>
          <w:tcPr>
            <w:tcW w:w="2639" w:type="dxa"/>
          </w:tcPr>
          <w:p>
            <w:pPr>
              <w:pStyle w:val="TableParagraph"/>
              <w:spacing w:before="232"/>
              <w:ind w:left="537"/>
              <w:rPr>
                <w:sz w:val="24"/>
              </w:rPr>
            </w:pPr>
            <w:r>
              <w:rPr>
                <w:spacing w:val="-10"/>
                <w:sz w:val="24"/>
              </w:rPr>
              <w:t>S</w:t>
            </w:r>
          </w:p>
        </w:tc>
      </w:tr>
      <w:tr>
        <w:trPr>
          <w:trHeight w:val="752" w:hRule="atLeast"/>
        </w:trPr>
        <w:tc>
          <w:tcPr>
            <w:tcW w:w="1759" w:type="dxa"/>
          </w:tcPr>
          <w:p>
            <w:pPr>
              <w:pStyle w:val="TableParagraph"/>
              <w:rPr>
                <w:sz w:val="24"/>
              </w:rPr>
            </w:pPr>
          </w:p>
        </w:tc>
        <w:tc>
          <w:tcPr>
            <w:tcW w:w="2284" w:type="dxa"/>
          </w:tcPr>
          <w:p>
            <w:pPr>
              <w:pStyle w:val="TableParagraph"/>
              <w:spacing w:before="232"/>
              <w:ind w:left="516"/>
              <w:rPr>
                <w:sz w:val="24"/>
              </w:rPr>
            </w:pPr>
            <w:r>
              <w:rPr>
                <w:spacing w:val="-2"/>
                <w:sz w:val="24"/>
              </w:rPr>
              <w:t>Ceftazidime</w:t>
            </w:r>
          </w:p>
        </w:tc>
        <w:tc>
          <w:tcPr>
            <w:tcW w:w="2045" w:type="dxa"/>
          </w:tcPr>
          <w:p>
            <w:pPr>
              <w:pStyle w:val="TableParagraph"/>
              <w:spacing w:before="232"/>
              <w:ind w:left="414"/>
              <w:rPr>
                <w:sz w:val="24"/>
              </w:rPr>
            </w:pPr>
            <w:r>
              <w:rPr>
                <w:sz w:val="24"/>
              </w:rPr>
              <w:t>8.00 ± </w:t>
            </w:r>
            <w:r>
              <w:rPr>
                <w:spacing w:val="-5"/>
                <w:sz w:val="24"/>
              </w:rPr>
              <w:t>2.0</w:t>
            </w:r>
          </w:p>
        </w:tc>
        <w:tc>
          <w:tcPr>
            <w:tcW w:w="2639" w:type="dxa"/>
          </w:tcPr>
          <w:p>
            <w:pPr>
              <w:pStyle w:val="TableParagraph"/>
              <w:spacing w:before="232"/>
              <w:ind w:left="537"/>
              <w:rPr>
                <w:sz w:val="24"/>
              </w:rPr>
            </w:pPr>
            <w:r>
              <w:rPr>
                <w:spacing w:val="-10"/>
                <w:sz w:val="24"/>
              </w:rPr>
              <w:t>R</w:t>
            </w:r>
          </w:p>
        </w:tc>
      </w:tr>
      <w:tr>
        <w:trPr>
          <w:trHeight w:val="752" w:hRule="atLeast"/>
        </w:trPr>
        <w:tc>
          <w:tcPr>
            <w:tcW w:w="1759" w:type="dxa"/>
          </w:tcPr>
          <w:p>
            <w:pPr>
              <w:pStyle w:val="TableParagraph"/>
              <w:rPr>
                <w:sz w:val="24"/>
              </w:rPr>
            </w:pPr>
          </w:p>
        </w:tc>
        <w:tc>
          <w:tcPr>
            <w:tcW w:w="2284" w:type="dxa"/>
          </w:tcPr>
          <w:p>
            <w:pPr>
              <w:pStyle w:val="TableParagraph"/>
              <w:spacing w:before="233"/>
              <w:ind w:left="516"/>
              <w:rPr>
                <w:sz w:val="24"/>
              </w:rPr>
            </w:pPr>
            <w:r>
              <w:rPr>
                <w:spacing w:val="-2"/>
                <w:sz w:val="24"/>
              </w:rPr>
              <w:t>Cephalexin</w:t>
            </w:r>
          </w:p>
        </w:tc>
        <w:tc>
          <w:tcPr>
            <w:tcW w:w="2045" w:type="dxa"/>
          </w:tcPr>
          <w:p>
            <w:pPr>
              <w:pStyle w:val="TableParagraph"/>
              <w:spacing w:before="233"/>
              <w:ind w:left="414"/>
              <w:rPr>
                <w:sz w:val="24"/>
              </w:rPr>
            </w:pPr>
            <w:r>
              <w:rPr>
                <w:sz w:val="24"/>
              </w:rPr>
              <w:t>17.00 </w:t>
            </w:r>
            <w:r>
              <w:rPr>
                <w:spacing w:val="-5"/>
                <w:sz w:val="24"/>
              </w:rPr>
              <w:t>±0</w:t>
            </w:r>
          </w:p>
        </w:tc>
        <w:tc>
          <w:tcPr>
            <w:tcW w:w="2639" w:type="dxa"/>
          </w:tcPr>
          <w:p>
            <w:pPr>
              <w:pStyle w:val="TableParagraph"/>
              <w:spacing w:before="233"/>
              <w:ind w:left="537"/>
              <w:rPr>
                <w:sz w:val="24"/>
              </w:rPr>
            </w:pPr>
            <w:r>
              <w:rPr>
                <w:spacing w:val="-10"/>
                <w:sz w:val="24"/>
              </w:rPr>
              <w:t>S</w:t>
            </w:r>
          </w:p>
        </w:tc>
      </w:tr>
      <w:tr>
        <w:trPr>
          <w:trHeight w:val="751" w:hRule="atLeast"/>
        </w:trPr>
        <w:tc>
          <w:tcPr>
            <w:tcW w:w="1759" w:type="dxa"/>
          </w:tcPr>
          <w:p>
            <w:pPr>
              <w:pStyle w:val="TableParagraph"/>
              <w:rPr>
                <w:sz w:val="24"/>
              </w:rPr>
            </w:pPr>
          </w:p>
        </w:tc>
        <w:tc>
          <w:tcPr>
            <w:tcW w:w="2284" w:type="dxa"/>
          </w:tcPr>
          <w:p>
            <w:pPr>
              <w:pStyle w:val="TableParagraph"/>
              <w:spacing w:before="233"/>
              <w:ind w:left="516"/>
              <w:rPr>
                <w:sz w:val="24"/>
              </w:rPr>
            </w:pPr>
            <w:r>
              <w:rPr>
                <w:sz w:val="24"/>
              </w:rPr>
              <w:t>Nalidixic</w:t>
            </w:r>
            <w:r>
              <w:rPr>
                <w:spacing w:val="-2"/>
                <w:sz w:val="24"/>
              </w:rPr>
              <w:t> </w:t>
            </w:r>
            <w:r>
              <w:rPr>
                <w:spacing w:val="-4"/>
                <w:sz w:val="24"/>
              </w:rPr>
              <w:t>acid</w:t>
            </w:r>
          </w:p>
        </w:tc>
        <w:tc>
          <w:tcPr>
            <w:tcW w:w="2045" w:type="dxa"/>
          </w:tcPr>
          <w:p>
            <w:pPr>
              <w:pStyle w:val="TableParagraph"/>
              <w:spacing w:before="233"/>
              <w:ind w:left="414"/>
              <w:rPr>
                <w:sz w:val="24"/>
              </w:rPr>
            </w:pPr>
            <w:r>
              <w:rPr>
                <w:sz w:val="24"/>
              </w:rPr>
              <w:t>24.00 </w:t>
            </w:r>
            <w:r>
              <w:rPr>
                <w:spacing w:val="-5"/>
                <w:sz w:val="24"/>
              </w:rPr>
              <w:t>±0</w:t>
            </w:r>
          </w:p>
        </w:tc>
        <w:tc>
          <w:tcPr>
            <w:tcW w:w="2639" w:type="dxa"/>
          </w:tcPr>
          <w:p>
            <w:pPr>
              <w:pStyle w:val="TableParagraph"/>
              <w:spacing w:before="233"/>
              <w:ind w:left="537"/>
              <w:rPr>
                <w:sz w:val="24"/>
              </w:rPr>
            </w:pPr>
            <w:r>
              <w:rPr>
                <w:spacing w:val="-10"/>
                <w:sz w:val="24"/>
              </w:rPr>
              <w:t>S</w:t>
            </w:r>
          </w:p>
        </w:tc>
      </w:tr>
      <w:tr>
        <w:trPr>
          <w:trHeight w:val="508" w:hRule="atLeast"/>
        </w:trPr>
        <w:tc>
          <w:tcPr>
            <w:tcW w:w="1759" w:type="dxa"/>
          </w:tcPr>
          <w:p>
            <w:pPr>
              <w:pStyle w:val="TableParagraph"/>
              <w:rPr>
                <w:sz w:val="24"/>
              </w:rPr>
            </w:pPr>
          </w:p>
        </w:tc>
        <w:tc>
          <w:tcPr>
            <w:tcW w:w="2284" w:type="dxa"/>
          </w:tcPr>
          <w:p>
            <w:pPr>
              <w:pStyle w:val="TableParagraph"/>
              <w:spacing w:line="256" w:lineRule="exact" w:before="232"/>
              <w:ind w:left="516"/>
              <w:rPr>
                <w:sz w:val="24"/>
              </w:rPr>
            </w:pPr>
            <w:r>
              <w:rPr>
                <w:spacing w:val="-2"/>
                <w:sz w:val="24"/>
              </w:rPr>
              <w:t>Ceftriaxone</w:t>
            </w:r>
          </w:p>
        </w:tc>
        <w:tc>
          <w:tcPr>
            <w:tcW w:w="2045" w:type="dxa"/>
          </w:tcPr>
          <w:p>
            <w:pPr>
              <w:pStyle w:val="TableParagraph"/>
              <w:spacing w:line="256" w:lineRule="exact" w:before="232"/>
              <w:ind w:left="414"/>
              <w:rPr>
                <w:sz w:val="24"/>
              </w:rPr>
            </w:pPr>
            <w:r>
              <w:rPr>
                <w:sz w:val="24"/>
              </w:rPr>
              <w:t>35.00 </w:t>
            </w:r>
            <w:r>
              <w:rPr>
                <w:spacing w:val="-4"/>
                <w:sz w:val="24"/>
              </w:rPr>
              <w:t>±1.0</w:t>
            </w:r>
          </w:p>
        </w:tc>
        <w:tc>
          <w:tcPr>
            <w:tcW w:w="2639" w:type="dxa"/>
          </w:tcPr>
          <w:p>
            <w:pPr>
              <w:pStyle w:val="TableParagraph"/>
              <w:spacing w:line="256" w:lineRule="exact" w:before="232"/>
              <w:ind w:left="537"/>
              <w:rPr>
                <w:sz w:val="24"/>
              </w:rPr>
            </w:pPr>
            <w:r>
              <w:rPr>
                <w:spacing w:val="-10"/>
                <w:sz w:val="24"/>
              </w:rPr>
              <w:t>S</w:t>
            </w:r>
          </w:p>
        </w:tc>
      </w:tr>
    </w:tbl>
    <w:p>
      <w:pPr>
        <w:pStyle w:val="BodyText"/>
        <w:rPr>
          <w:b/>
          <w:i/>
          <w:sz w:val="20"/>
        </w:rPr>
      </w:pPr>
    </w:p>
    <w:p>
      <w:pPr>
        <w:pStyle w:val="BodyText"/>
        <w:spacing w:before="14"/>
        <w:rPr>
          <w:b/>
          <w:i/>
          <w:sz w:val="20"/>
        </w:rPr>
      </w:pPr>
      <w:r>
        <w:rPr/>
        <mc:AlternateContent>
          <mc:Choice Requires="wps">
            <w:drawing>
              <wp:anchor distT="0" distB="0" distL="0" distR="0" allowOverlap="1" layoutInCell="1" locked="0" behindDoc="1" simplePos="0" relativeHeight="487600128">
                <wp:simplePos x="0" y="0"/>
                <wp:positionH relativeFrom="page">
                  <wp:posOffset>1184452</wp:posOffset>
                </wp:positionH>
                <wp:positionV relativeFrom="paragraph">
                  <wp:posOffset>170573</wp:posOffset>
                </wp:positionV>
                <wp:extent cx="5550535" cy="635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5550535" cy="6350"/>
                        </a:xfrm>
                        <a:custGeom>
                          <a:avLst/>
                          <a:gdLst/>
                          <a:ahLst/>
                          <a:cxnLst/>
                          <a:rect l="l" t="t" r="r" b="b"/>
                          <a:pathLst>
                            <a:path w="5550535" h="6350">
                              <a:moveTo>
                                <a:pt x="5550103" y="0"/>
                              </a:moveTo>
                              <a:lnTo>
                                <a:pt x="5550103" y="0"/>
                              </a:lnTo>
                              <a:lnTo>
                                <a:pt x="0" y="0"/>
                              </a:lnTo>
                              <a:lnTo>
                                <a:pt x="0" y="6096"/>
                              </a:lnTo>
                              <a:lnTo>
                                <a:pt x="5550103" y="6096"/>
                              </a:lnTo>
                              <a:lnTo>
                                <a:pt x="5550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13.430952pt;width:437.016021pt;height:.48pt;mso-position-horizontal-relative:page;mso-position-vertical-relative:paragraph;z-index:-15716352;mso-wrap-distance-left:0;mso-wrap-distance-right:0" id="docshape31" filled="true" fillcolor="#000000" stroked="false">
                <v:fill type="solid"/>
                <w10:wrap type="topAndBottom"/>
              </v:rect>
            </w:pict>
          </mc:Fallback>
        </mc:AlternateContent>
      </w:r>
    </w:p>
    <w:p>
      <w:pPr>
        <w:spacing w:line="242" w:lineRule="auto" w:before="0"/>
        <w:ind w:left="747" w:right="847" w:firstLine="0"/>
        <w:jc w:val="both"/>
        <w:rPr>
          <w:sz w:val="24"/>
        </w:rPr>
      </w:pPr>
      <w:r>
        <w:rPr>
          <w:sz w:val="24"/>
        </w:rPr>
        <w:t>n</w:t>
      </w:r>
      <w:r>
        <w:rPr>
          <w:b/>
          <w:sz w:val="24"/>
        </w:rPr>
        <w:t>=</w:t>
      </w:r>
      <w:r>
        <w:rPr>
          <w:sz w:val="24"/>
        </w:rPr>
        <w:t>2,</w:t>
      </w:r>
      <w:r>
        <w:rPr>
          <w:spacing w:val="-3"/>
          <w:sz w:val="24"/>
        </w:rPr>
        <w:t> </w:t>
      </w:r>
      <w:r>
        <w:rPr>
          <w:sz w:val="24"/>
        </w:rPr>
        <w:t>CME</w:t>
      </w:r>
      <w:r>
        <w:rPr>
          <w:spacing w:val="-3"/>
          <w:sz w:val="24"/>
        </w:rPr>
        <w:t> </w:t>
      </w:r>
      <w:r>
        <w:rPr>
          <w:sz w:val="24"/>
        </w:rPr>
        <w:t>100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100</w:t>
      </w:r>
      <w:r>
        <w:rPr>
          <w:spacing w:val="-3"/>
          <w:sz w:val="24"/>
        </w:rPr>
        <w:t> </w:t>
      </w:r>
      <w:r>
        <w:rPr>
          <w:sz w:val="24"/>
        </w:rPr>
        <w:t>mg/ml),</w:t>
      </w:r>
      <w:r>
        <w:rPr>
          <w:spacing w:val="-3"/>
          <w:sz w:val="24"/>
        </w:rPr>
        <w:t> </w:t>
      </w:r>
      <w:r>
        <w:rPr>
          <w:sz w:val="24"/>
        </w:rPr>
        <w:t>CME 200</w:t>
      </w:r>
      <w:r>
        <w:rPr>
          <w:spacing w:val="-3"/>
          <w:sz w:val="24"/>
        </w:rPr>
        <w:t> </w:t>
      </w:r>
      <w:r>
        <w:rPr>
          <w:sz w:val="24"/>
        </w:rPr>
        <w:t>(</w:t>
      </w:r>
      <w:r>
        <w:rPr>
          <w:i/>
          <w:sz w:val="24"/>
        </w:rPr>
        <w:t>C.</w:t>
      </w:r>
      <w:r>
        <w:rPr>
          <w:i/>
          <w:spacing w:val="-3"/>
          <w:sz w:val="24"/>
        </w:rPr>
        <w:t> </w:t>
      </w:r>
      <w:r>
        <w:rPr>
          <w:i/>
          <w:sz w:val="24"/>
        </w:rPr>
        <w:t>micranthum</w:t>
      </w:r>
      <w:r>
        <w:rPr>
          <w:i/>
          <w:spacing w:val="-3"/>
          <w:sz w:val="24"/>
        </w:rPr>
        <w:t> </w:t>
      </w:r>
      <w:r>
        <w:rPr>
          <w:sz w:val="24"/>
        </w:rPr>
        <w:t>200</w:t>
      </w:r>
      <w:r>
        <w:rPr>
          <w:spacing w:val="-1"/>
          <w:sz w:val="24"/>
        </w:rPr>
        <w:t> </w:t>
      </w:r>
      <w:r>
        <w:rPr>
          <w:sz w:val="24"/>
        </w:rPr>
        <w:t>mg/ml),</w:t>
      </w:r>
      <w:r>
        <w:rPr>
          <w:spacing w:val="-3"/>
          <w:sz w:val="24"/>
        </w:rPr>
        <w:t> </w:t>
      </w:r>
      <w:r>
        <w:rPr>
          <w:sz w:val="24"/>
        </w:rPr>
        <w:t>R</w:t>
      </w:r>
      <w:r>
        <w:rPr>
          <w:spacing w:val="-3"/>
          <w:sz w:val="24"/>
        </w:rPr>
        <w:t> </w:t>
      </w:r>
      <w:r>
        <w:rPr>
          <w:sz w:val="24"/>
        </w:rPr>
        <w:t>= Resistant, I = Intermediate, S = Susceptibility.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Heading1"/>
        <w:ind w:right="45"/>
      </w:pPr>
      <w:r>
        <w:rPr/>
        <w:t>CHAPTER</w:t>
      </w:r>
      <w:r>
        <w:rPr>
          <w:spacing w:val="-5"/>
        </w:rPr>
        <w:t> </w:t>
      </w:r>
      <w:r>
        <w:rPr>
          <w:spacing w:val="-4"/>
        </w:rPr>
        <w:t>FIVE</w:t>
      </w:r>
    </w:p>
    <w:p>
      <w:pPr>
        <w:pStyle w:val="BodyText"/>
        <w:spacing w:before="197"/>
        <w:rPr>
          <w:b/>
        </w:rPr>
      </w:pPr>
    </w:p>
    <w:p>
      <w:pPr>
        <w:tabs>
          <w:tab w:pos="4629" w:val="left" w:leader="none"/>
        </w:tabs>
        <w:spacing w:before="0"/>
        <w:ind w:left="3909" w:right="0" w:firstLine="0"/>
        <w:jc w:val="left"/>
        <w:rPr>
          <w:b/>
          <w:sz w:val="24"/>
        </w:rPr>
      </w:pPr>
      <w:r>
        <w:rPr>
          <w:b/>
          <w:spacing w:val="-5"/>
          <w:sz w:val="24"/>
        </w:rPr>
        <w:t>5.0</w:t>
      </w:r>
      <w:r>
        <w:rPr>
          <w:b/>
          <w:sz w:val="24"/>
        </w:rPr>
        <w:tab/>
      </w:r>
      <w:r>
        <w:rPr>
          <w:b/>
          <w:spacing w:val="-2"/>
          <w:sz w:val="24"/>
        </w:rPr>
        <w:t>DISCUSSION</w:t>
      </w:r>
    </w:p>
    <w:p>
      <w:pPr>
        <w:pStyle w:val="BodyText"/>
        <w:spacing w:line="480" w:lineRule="auto" w:before="249"/>
        <w:ind w:left="747" w:right="850"/>
        <w:jc w:val="both"/>
      </w:pPr>
      <w:r>
        <w:rPr/>
        <w:t>Acute toxicity study is often used to describe the harmful effects including death which appear promptly or within 24 hours of exposure to a single or more doses of chemical substances and it is an important initial step taken to assess the safety of drugs in biological</w:t>
      </w:r>
      <w:r>
        <w:rPr>
          <w:spacing w:val="4"/>
        </w:rPr>
        <w:t> </w:t>
      </w:r>
      <w:r>
        <w:rPr/>
        <w:t>systems</w:t>
      </w:r>
      <w:r>
        <w:rPr>
          <w:spacing w:val="8"/>
        </w:rPr>
        <w:t> </w:t>
      </w:r>
      <w:r>
        <w:rPr/>
        <w:t>(Mukinda</w:t>
      </w:r>
      <w:r>
        <w:rPr>
          <w:spacing w:val="6"/>
        </w:rPr>
        <w:t> </w:t>
      </w:r>
      <w:r>
        <w:rPr/>
        <w:t>and</w:t>
      </w:r>
      <w:r>
        <w:rPr>
          <w:spacing w:val="5"/>
        </w:rPr>
        <w:t> </w:t>
      </w:r>
      <w:r>
        <w:rPr/>
        <w:t>Syce,</w:t>
      </w:r>
      <w:r>
        <w:rPr>
          <w:spacing w:val="5"/>
        </w:rPr>
        <w:t> </w:t>
      </w:r>
      <w:r>
        <w:rPr/>
        <w:t>2007).</w:t>
      </w:r>
      <w:r>
        <w:rPr>
          <w:spacing w:val="6"/>
        </w:rPr>
        <w:t> </w:t>
      </w:r>
      <w:r>
        <w:rPr/>
        <w:t>The</w:t>
      </w:r>
      <w:r>
        <w:rPr>
          <w:spacing w:val="5"/>
        </w:rPr>
        <w:t> </w:t>
      </w:r>
      <w:r>
        <w:rPr/>
        <w:t>acute</w:t>
      </w:r>
      <w:r>
        <w:rPr>
          <w:spacing w:val="8"/>
        </w:rPr>
        <w:t> </w:t>
      </w:r>
      <w:r>
        <w:rPr/>
        <w:t>effect</w:t>
      </w:r>
      <w:r>
        <w:rPr>
          <w:spacing w:val="6"/>
        </w:rPr>
        <w:t> </w:t>
      </w:r>
      <w:r>
        <w:rPr/>
        <w:t>is</w:t>
      </w:r>
      <w:r>
        <w:rPr>
          <w:spacing w:val="6"/>
        </w:rPr>
        <w:t> </w:t>
      </w:r>
      <w:r>
        <w:rPr/>
        <w:t>usually</w:t>
      </w:r>
      <w:r>
        <w:rPr>
          <w:spacing w:val="4"/>
        </w:rPr>
        <w:t> </w:t>
      </w:r>
      <w:r>
        <w:rPr/>
        <w:t>of</w:t>
      </w:r>
      <w:r>
        <w:rPr>
          <w:spacing w:val="5"/>
        </w:rPr>
        <w:t> </w:t>
      </w:r>
      <w:r>
        <w:rPr/>
        <w:t>the</w:t>
      </w:r>
      <w:r>
        <w:rPr>
          <w:spacing w:val="6"/>
        </w:rPr>
        <w:t> </w:t>
      </w:r>
      <w:r>
        <w:rPr>
          <w:spacing w:val="-2"/>
        </w:rPr>
        <w:t>general</w:t>
      </w:r>
    </w:p>
    <w:p>
      <w:pPr>
        <w:spacing w:after="0" w:line="480" w:lineRule="auto"/>
        <w:jc w:val="both"/>
        <w:sectPr>
          <w:pgSz w:w="11910" w:h="16840"/>
          <w:pgMar w:header="0" w:footer="981" w:top="1380" w:bottom="1180" w:left="1240" w:right="560"/>
        </w:sectPr>
      </w:pPr>
    </w:p>
    <w:p>
      <w:pPr>
        <w:pStyle w:val="BodyText"/>
        <w:spacing w:line="480" w:lineRule="auto" w:before="64"/>
        <w:ind w:left="747" w:right="844"/>
        <w:jc w:val="both"/>
      </w:pPr>
      <w:r>
        <w:rPr/>
        <w:t>observation in behavioural changes, while the amount of the drug that kills 50% of the test animals is described as the median lethal dose (LD</w:t>
      </w:r>
      <w:r>
        <w:rPr>
          <w:vertAlign w:val="subscript"/>
        </w:rPr>
        <w:t>50</w:t>
      </w:r>
      <w:r>
        <w:rPr>
          <w:vertAlign w:val="baseline"/>
        </w:rPr>
        <w:t>) and which is often taken as</w:t>
      </w:r>
      <w:r>
        <w:rPr>
          <w:spacing w:val="40"/>
          <w:vertAlign w:val="baseline"/>
        </w:rPr>
        <w:t> </w:t>
      </w:r>
      <w:r>
        <w:rPr>
          <w:vertAlign w:val="baseline"/>
        </w:rPr>
        <w:t>the end effect to acute studies. Agaie </w:t>
      </w:r>
      <w:r>
        <w:rPr>
          <w:i/>
          <w:vertAlign w:val="baseline"/>
        </w:rPr>
        <w:t>et al</w:t>
      </w:r>
      <w:r>
        <w:rPr>
          <w:vertAlign w:val="baseline"/>
        </w:rPr>
        <w:t>. (2007) reported that substance with an </w:t>
      </w:r>
      <w:r>
        <w:rPr>
          <w:i/>
          <w:vertAlign w:val="baseline"/>
        </w:rPr>
        <w:t>i.p. </w:t>
      </w:r>
      <w:r>
        <w:rPr>
          <w:vertAlign w:val="baseline"/>
        </w:rPr>
        <w:t>LD</w:t>
      </w:r>
      <w:r>
        <w:rPr>
          <w:vertAlign w:val="subscript"/>
        </w:rPr>
        <w:t>50</w:t>
      </w:r>
      <w:r>
        <w:rPr>
          <w:vertAlign w:val="baseline"/>
        </w:rPr>
        <w:t> &gt; 1,000 mg/kg as non-toxic and substance with </w:t>
      </w:r>
      <w:r>
        <w:rPr>
          <w:i/>
          <w:vertAlign w:val="baseline"/>
        </w:rPr>
        <w:t>p.o</w:t>
      </w:r>
      <w:r>
        <w:rPr>
          <w:vertAlign w:val="baseline"/>
        </w:rPr>
        <w:t>. LD</w:t>
      </w:r>
      <w:r>
        <w:rPr>
          <w:vertAlign w:val="subscript"/>
        </w:rPr>
        <w:t>50</w:t>
      </w:r>
      <w:r>
        <w:rPr>
          <w:vertAlign w:val="baseline"/>
        </w:rPr>
        <w:t> &gt; 5,000 mg/kg are regarded as practically non-toxic. Thus, the LD</w:t>
      </w:r>
      <w:r>
        <w:rPr>
          <w:vertAlign w:val="subscript"/>
        </w:rPr>
        <w:t>50</w:t>
      </w:r>
      <w:r>
        <w:rPr>
          <w:vertAlign w:val="baseline"/>
        </w:rPr>
        <w:t> of </w:t>
      </w:r>
      <w:r>
        <w:rPr>
          <w:i/>
          <w:vertAlign w:val="baseline"/>
        </w:rPr>
        <w:t>C. micranthum </w:t>
      </w:r>
      <w:r>
        <w:rPr>
          <w:vertAlign w:val="baseline"/>
        </w:rPr>
        <w:t>leaf extract was found to be relatively non-toxic as the values obtained were 3807.9 </w:t>
      </w:r>
      <w:r>
        <w:rPr>
          <w:i/>
          <w:vertAlign w:val="baseline"/>
        </w:rPr>
        <w:t>p.o. </w:t>
      </w:r>
      <w:r>
        <w:rPr>
          <w:vertAlign w:val="baseline"/>
        </w:rPr>
        <w:t>and 2154.1 </w:t>
      </w:r>
      <w:r>
        <w:rPr>
          <w:i/>
          <w:vertAlign w:val="baseline"/>
        </w:rPr>
        <w:t>i.p. </w:t>
      </w:r>
      <w:r>
        <w:rPr>
          <w:vertAlign w:val="baseline"/>
        </w:rPr>
        <w:t>mg/kg in mice; while in rats, it was &gt; 5000 </w:t>
      </w:r>
      <w:r>
        <w:rPr>
          <w:i/>
          <w:vertAlign w:val="baseline"/>
        </w:rPr>
        <w:t>p.o. </w:t>
      </w:r>
      <w:r>
        <w:rPr>
          <w:vertAlign w:val="baseline"/>
        </w:rPr>
        <w:t>mg/kg, but was 3807.9 for </w:t>
      </w:r>
      <w:r>
        <w:rPr>
          <w:i/>
          <w:vertAlign w:val="baseline"/>
        </w:rPr>
        <w:t>i.p. </w:t>
      </w:r>
      <w:r>
        <w:rPr>
          <w:vertAlign w:val="baseline"/>
        </w:rPr>
        <w:t>which agrees with Abdullahi (2008). The percentage yield of the extract (12.92%) was appreciable considering that water used for the extraction is a polar solvent in addition</w:t>
      </w:r>
      <w:r>
        <w:rPr>
          <w:spacing w:val="40"/>
          <w:vertAlign w:val="baseline"/>
        </w:rPr>
        <w:t> </w:t>
      </w:r>
      <w:r>
        <w:rPr>
          <w:vertAlign w:val="baseline"/>
        </w:rPr>
        <w:t>to ethanol which also absorbed non polar constituents of the extract.</w:t>
      </w:r>
    </w:p>
    <w:p>
      <w:pPr>
        <w:pStyle w:val="BodyText"/>
      </w:pPr>
    </w:p>
    <w:p>
      <w:pPr>
        <w:pStyle w:val="BodyText"/>
        <w:spacing w:before="2"/>
      </w:pPr>
    </w:p>
    <w:p>
      <w:pPr>
        <w:pStyle w:val="BodyText"/>
        <w:spacing w:line="480" w:lineRule="auto"/>
        <w:ind w:left="747" w:right="844"/>
        <w:jc w:val="both"/>
      </w:pPr>
      <w:r>
        <w:rPr/>
        <w:t>From the preliminary screening carried out prior to this study, all the constituents reported by Welch (2010) and Abdullahi (2008), such as alkaloids, anthraquinone, carbohydrates, flavonoids, saponins, sterols, tannins and terpenoids were found to be present in the aqueous ethanol leaf extract of </w:t>
      </w:r>
      <w:r>
        <w:rPr>
          <w:i/>
        </w:rPr>
        <w:t>C. micranthum </w:t>
      </w:r>
      <w:r>
        <w:rPr/>
        <w:t>plant, which was collected from Malumfashi in Katsina State of Northern Nigeria in September, 2011. However, Osanwa </w:t>
      </w:r>
      <w:r>
        <w:rPr>
          <w:i/>
        </w:rPr>
        <w:t>et al</w:t>
      </w:r>
      <w:r>
        <w:rPr/>
        <w:t>. (2012) and Uduma </w:t>
      </w:r>
      <w:r>
        <w:rPr>
          <w:i/>
        </w:rPr>
        <w:t>et al</w:t>
      </w:r>
      <w:r>
        <w:rPr/>
        <w:t>. (2012) reported absence of alkaloids and anthraquinones from the ethanolic leaf extract collected in August, 2012 from Afaha Oku and Ikot Edebe both in Akwa-ibom State, Southern Nigeria. Generally, it has been reported that the type and quantity of secondary metabolites in plants depend on the nature of the soil, climatic condition and geographical location to which the plant is exposed (Osonwa </w:t>
      </w:r>
      <w:r>
        <w:rPr>
          <w:i/>
        </w:rPr>
        <w:t>et al</w:t>
      </w:r>
      <w:r>
        <w:rPr/>
        <w:t>., 2012), thus, the location and time of collection of plants will affect the plant constituents as well as with the different plant parts and choice of</w:t>
      </w:r>
      <w:r>
        <w:rPr>
          <w:spacing w:val="40"/>
        </w:rPr>
        <w:t> </w:t>
      </w:r>
      <w:r>
        <w:rPr/>
        <w:t>solvent for extraction. Some of the chemical constituents found present in plants are responsible</w:t>
      </w:r>
      <w:r>
        <w:rPr>
          <w:spacing w:val="3"/>
        </w:rPr>
        <w:t> </w:t>
      </w:r>
      <w:r>
        <w:rPr/>
        <w:t>for</w:t>
      </w:r>
      <w:r>
        <w:rPr>
          <w:spacing w:val="2"/>
        </w:rPr>
        <w:t> </w:t>
      </w:r>
      <w:r>
        <w:rPr/>
        <w:t>their</w:t>
      </w:r>
      <w:r>
        <w:rPr>
          <w:spacing w:val="2"/>
        </w:rPr>
        <w:t> </w:t>
      </w:r>
      <w:r>
        <w:rPr/>
        <w:t>pharmacological</w:t>
      </w:r>
      <w:r>
        <w:rPr>
          <w:spacing w:val="5"/>
        </w:rPr>
        <w:t> </w:t>
      </w:r>
      <w:r>
        <w:rPr/>
        <w:t>activities</w:t>
      </w:r>
      <w:r>
        <w:rPr>
          <w:spacing w:val="3"/>
        </w:rPr>
        <w:t> </w:t>
      </w:r>
      <w:r>
        <w:rPr/>
        <w:t>and</w:t>
      </w:r>
      <w:r>
        <w:rPr>
          <w:spacing w:val="3"/>
        </w:rPr>
        <w:t> </w:t>
      </w:r>
      <w:r>
        <w:rPr/>
        <w:t>the</w:t>
      </w:r>
      <w:r>
        <w:rPr>
          <w:spacing w:val="3"/>
        </w:rPr>
        <w:t> </w:t>
      </w:r>
      <w:r>
        <w:rPr/>
        <w:t>side</w:t>
      </w:r>
      <w:r>
        <w:rPr>
          <w:spacing w:val="4"/>
        </w:rPr>
        <w:t> </w:t>
      </w:r>
      <w:r>
        <w:rPr/>
        <w:t>effects</w:t>
      </w:r>
      <w:r>
        <w:rPr>
          <w:spacing w:val="10"/>
        </w:rPr>
        <w:t> </w:t>
      </w:r>
      <w:r>
        <w:rPr/>
        <w:t>associated</w:t>
      </w:r>
      <w:r>
        <w:rPr>
          <w:spacing w:val="3"/>
        </w:rPr>
        <w:t> </w:t>
      </w:r>
      <w:r>
        <w:rPr/>
        <w:t>with</w:t>
      </w:r>
      <w:r>
        <w:rPr>
          <w:spacing w:val="5"/>
        </w:rPr>
        <w:t> </w:t>
      </w:r>
      <w:r>
        <w:rPr>
          <w:spacing w:val="-2"/>
        </w:rPr>
        <w:t>their</w:t>
      </w:r>
    </w:p>
    <w:p>
      <w:pPr>
        <w:spacing w:after="0" w:line="480" w:lineRule="auto"/>
        <w:jc w:val="both"/>
        <w:sectPr>
          <w:pgSz w:w="11910" w:h="16840"/>
          <w:pgMar w:header="0" w:footer="981" w:top="1320" w:bottom="1180" w:left="1240" w:right="560"/>
        </w:sectPr>
      </w:pPr>
    </w:p>
    <w:p>
      <w:pPr>
        <w:pStyle w:val="BodyText"/>
        <w:spacing w:line="480" w:lineRule="auto" w:before="64"/>
        <w:ind w:left="747" w:right="846"/>
        <w:jc w:val="both"/>
      </w:pPr>
      <w:r>
        <w:rPr/>
        <w:t>use (Vivek </w:t>
      </w:r>
      <w:r>
        <w:rPr>
          <w:i/>
        </w:rPr>
        <w:t>et al</w:t>
      </w:r>
      <w:r>
        <w:rPr/>
        <w:t>., 2013). Antibacterial potentials of the ethanol extract of the stem bark of </w:t>
      </w:r>
      <w:r>
        <w:rPr>
          <w:i/>
        </w:rPr>
        <w:t>Combretum micranthum </w:t>
      </w:r>
      <w:r>
        <w:rPr/>
        <w:t>(Osonwa </w:t>
      </w:r>
      <w:r>
        <w:rPr>
          <w:i/>
        </w:rPr>
        <w:t>et al</w:t>
      </w:r>
      <w:r>
        <w:rPr/>
        <w:t>., 2012) reported the presence of all the constituents except alkaloid in agreement with (Danmallam </w:t>
      </w:r>
      <w:r>
        <w:rPr>
          <w:i/>
        </w:rPr>
        <w:t>et al</w:t>
      </w:r>
      <w:r>
        <w:rPr/>
        <w:t>., 2011).</w:t>
      </w:r>
    </w:p>
    <w:p>
      <w:pPr>
        <w:pStyle w:val="BodyText"/>
      </w:pPr>
    </w:p>
    <w:p>
      <w:pPr>
        <w:pStyle w:val="BodyText"/>
        <w:spacing w:before="1"/>
      </w:pPr>
    </w:p>
    <w:p>
      <w:pPr>
        <w:pStyle w:val="BodyText"/>
        <w:spacing w:line="480" w:lineRule="auto"/>
        <w:ind w:left="747" w:right="844"/>
        <w:jc w:val="both"/>
      </w:pPr>
      <w:r>
        <w:rPr/>
        <w:t>Chemotherapy-induced febrile neutropenia especially of cytotoxic drugs is of common occurrence (Gudrun </w:t>
      </w:r>
      <w:r>
        <w:rPr>
          <w:i/>
        </w:rPr>
        <w:t>et al</w:t>
      </w:r>
      <w:r>
        <w:rPr/>
        <w:t>., 2008). Cyclophosphamide an anticancer agent which also</w:t>
      </w:r>
      <w:r>
        <w:rPr>
          <w:spacing w:val="40"/>
        </w:rPr>
        <w:t> </w:t>
      </w:r>
      <w:r>
        <w:rPr/>
        <w:t>acts on haematopoietic cells to reduce the number of blood cells. At high doses, it is a potent suppressor of immune functions resulting in a sustained decrease in both the number</w:t>
      </w:r>
      <w:r>
        <w:rPr>
          <w:spacing w:val="-4"/>
        </w:rPr>
        <w:t> </w:t>
      </w:r>
      <w:r>
        <w:rPr/>
        <w:t>and</w:t>
      </w:r>
      <w:r>
        <w:rPr>
          <w:spacing w:val="-2"/>
        </w:rPr>
        <w:t> </w:t>
      </w:r>
      <w:r>
        <w:rPr/>
        <w:t>functions</w:t>
      </w:r>
      <w:r>
        <w:rPr>
          <w:spacing w:val="-2"/>
        </w:rPr>
        <w:t> </w:t>
      </w:r>
      <w:r>
        <w:rPr/>
        <w:t>of</w:t>
      </w:r>
      <w:r>
        <w:rPr>
          <w:spacing w:val="-1"/>
        </w:rPr>
        <w:t> </w:t>
      </w:r>
      <w:r>
        <w:rPr/>
        <w:t>T</w:t>
      </w:r>
      <w:r>
        <w:rPr>
          <w:spacing w:val="-2"/>
        </w:rPr>
        <w:t> </w:t>
      </w:r>
      <w:r>
        <w:rPr/>
        <w:t>and</w:t>
      </w:r>
      <w:r>
        <w:rPr>
          <w:spacing w:val="-2"/>
        </w:rPr>
        <w:t> </w:t>
      </w:r>
      <w:r>
        <w:rPr/>
        <w:t>B</w:t>
      </w:r>
      <w:r>
        <w:rPr>
          <w:spacing w:val="-2"/>
        </w:rPr>
        <w:t> </w:t>
      </w:r>
      <w:r>
        <w:rPr/>
        <w:t>cells</w:t>
      </w:r>
      <w:r>
        <w:rPr>
          <w:spacing w:val="-2"/>
        </w:rPr>
        <w:t> </w:t>
      </w:r>
      <w:r>
        <w:rPr/>
        <w:t>(Diwanay</w:t>
      </w:r>
      <w:r>
        <w:rPr>
          <w:spacing w:val="-3"/>
        </w:rPr>
        <w:t> </w:t>
      </w:r>
      <w:r>
        <w:rPr>
          <w:i/>
        </w:rPr>
        <w:t>et</w:t>
      </w:r>
      <w:r>
        <w:rPr>
          <w:i/>
          <w:spacing w:val="-2"/>
        </w:rPr>
        <w:t> </w:t>
      </w:r>
      <w:r>
        <w:rPr>
          <w:i/>
        </w:rPr>
        <w:t>al</w:t>
      </w:r>
      <w:r>
        <w:rPr/>
        <w:t>.,</w:t>
      </w:r>
      <w:r>
        <w:rPr>
          <w:spacing w:val="-2"/>
        </w:rPr>
        <w:t> </w:t>
      </w:r>
      <w:r>
        <w:rPr/>
        <w:t>2004)</w:t>
      </w:r>
      <w:r>
        <w:rPr>
          <w:spacing w:val="-3"/>
        </w:rPr>
        <w:t> </w:t>
      </w:r>
      <w:r>
        <w:rPr/>
        <w:t>-</w:t>
      </w:r>
      <w:r>
        <w:rPr>
          <w:spacing w:val="-3"/>
        </w:rPr>
        <w:t> </w:t>
      </w:r>
      <w:r>
        <w:rPr/>
        <w:t>an effect</w:t>
      </w:r>
      <w:r>
        <w:rPr>
          <w:spacing w:val="-2"/>
        </w:rPr>
        <w:t> </w:t>
      </w:r>
      <w:r>
        <w:rPr/>
        <w:t>often</w:t>
      </w:r>
      <w:r>
        <w:rPr>
          <w:spacing w:val="-2"/>
        </w:rPr>
        <w:t> </w:t>
      </w:r>
      <w:r>
        <w:rPr/>
        <w:t>employed in inducing neutropenia in laboratory animals. The significant decrease in the absolute neutrophil count (ANC) obtained with cyclophosphamide in this study is a typical demonstration of its neutropenic suppressive activity since this parameter is often used as a marker to determine the severity of neutropenia (Eming </w:t>
      </w:r>
      <w:r>
        <w:rPr>
          <w:i/>
        </w:rPr>
        <w:t>et al</w:t>
      </w:r>
      <w:r>
        <w:rPr/>
        <w:t>., 2007). The increase in the number of white blood cells in circulation (leucocytosis) commonly of reactive to infection and its associated inflammation is a normal phenomenon (Neil and Melton, 2000). It is likely</w:t>
      </w:r>
      <w:r>
        <w:rPr>
          <w:spacing w:val="-3"/>
        </w:rPr>
        <w:t> </w:t>
      </w:r>
      <w:r>
        <w:rPr/>
        <w:t>that the 200 mg/kg extract caused some sort of untoward effect on the walls of the blood vessels or endothelial system that not only reduced the number of neutrophils, but also the platelet, because such changes often result in the decrease in production or increase in the degradation of blood cells and it is a known fact that reduction in the level of blood clotting cells causes bleeding (Carol, 2007).</w:t>
      </w:r>
    </w:p>
    <w:p>
      <w:pPr>
        <w:pStyle w:val="BodyText"/>
      </w:pPr>
    </w:p>
    <w:p>
      <w:pPr>
        <w:pStyle w:val="BodyText"/>
        <w:spacing w:before="2"/>
      </w:pPr>
    </w:p>
    <w:p>
      <w:pPr>
        <w:pStyle w:val="BodyText"/>
        <w:spacing w:line="480" w:lineRule="auto"/>
        <w:ind w:left="747" w:right="844"/>
        <w:jc w:val="both"/>
      </w:pPr>
      <w:r>
        <w:rPr/>
        <w:t>Following </w:t>
      </w:r>
      <w:r>
        <w:rPr>
          <w:i/>
        </w:rPr>
        <w:t>E. coli</w:t>
      </w:r>
      <w:r>
        <w:rPr/>
        <w:t>-induced abdominal sepsis, all the mice in the control group died within 24 hours. However, the plant extract at all dose levels used in this study</w:t>
      </w:r>
      <w:r>
        <w:rPr>
          <w:spacing w:val="80"/>
        </w:rPr>
        <w:t> </w:t>
      </w:r>
      <w:r>
        <w:rPr/>
        <w:t>protected the mice from death confirming a high antiseptic ability of this plant extract. The</w:t>
      </w:r>
      <w:r>
        <w:rPr>
          <w:spacing w:val="23"/>
        </w:rPr>
        <w:t> </w:t>
      </w:r>
      <w:r>
        <w:rPr/>
        <w:t>post</w:t>
      </w:r>
      <w:r>
        <w:rPr>
          <w:spacing w:val="25"/>
        </w:rPr>
        <w:t> </w:t>
      </w:r>
      <w:r>
        <w:rPr/>
        <w:t>mortem</w:t>
      </w:r>
      <w:r>
        <w:rPr>
          <w:spacing w:val="25"/>
        </w:rPr>
        <w:t> </w:t>
      </w:r>
      <w:r>
        <w:rPr/>
        <w:t>histological</w:t>
      </w:r>
      <w:r>
        <w:rPr>
          <w:spacing w:val="25"/>
        </w:rPr>
        <w:t> </w:t>
      </w:r>
      <w:r>
        <w:rPr/>
        <w:t>analysis</w:t>
      </w:r>
      <w:r>
        <w:rPr>
          <w:spacing w:val="29"/>
        </w:rPr>
        <w:t> </w:t>
      </w:r>
      <w:r>
        <w:rPr/>
        <w:t>of</w:t>
      </w:r>
      <w:r>
        <w:rPr>
          <w:spacing w:val="25"/>
        </w:rPr>
        <w:t> </w:t>
      </w:r>
      <w:r>
        <w:rPr/>
        <w:t>one</w:t>
      </w:r>
      <w:r>
        <w:rPr>
          <w:spacing w:val="26"/>
        </w:rPr>
        <w:t> </w:t>
      </w:r>
      <w:r>
        <w:rPr/>
        <w:t>control</w:t>
      </w:r>
      <w:r>
        <w:rPr>
          <w:spacing w:val="25"/>
        </w:rPr>
        <w:t> </w:t>
      </w:r>
      <w:r>
        <w:rPr/>
        <w:t>dead</w:t>
      </w:r>
      <w:r>
        <w:rPr>
          <w:spacing w:val="25"/>
        </w:rPr>
        <w:t> </w:t>
      </w:r>
      <w:r>
        <w:rPr/>
        <w:t>mouse’</w:t>
      </w:r>
      <w:r>
        <w:rPr>
          <w:spacing w:val="29"/>
        </w:rPr>
        <w:t> </w:t>
      </w:r>
      <w:r>
        <w:rPr/>
        <w:t>abdomen</w:t>
      </w:r>
      <w:r>
        <w:rPr>
          <w:spacing w:val="25"/>
        </w:rPr>
        <w:t> </w:t>
      </w:r>
      <w:r>
        <w:rPr>
          <w:spacing w:val="-2"/>
        </w:rPr>
        <w:t>(stomach</w:t>
      </w:r>
    </w:p>
    <w:p>
      <w:pPr>
        <w:spacing w:after="0" w:line="480" w:lineRule="auto"/>
        <w:jc w:val="both"/>
        <w:sectPr>
          <w:pgSz w:w="11910" w:h="16840"/>
          <w:pgMar w:header="0" w:footer="981" w:top="1320" w:bottom="1180" w:left="1240" w:right="560"/>
        </w:sectPr>
      </w:pPr>
    </w:p>
    <w:p>
      <w:pPr>
        <w:pStyle w:val="BodyText"/>
        <w:spacing w:line="480" w:lineRule="auto" w:before="64"/>
        <w:ind w:left="747" w:right="843"/>
        <w:jc w:val="both"/>
      </w:pPr>
      <w:r>
        <w:rPr/>
        <w:t>and intestinal mucosa) that was compared with that of one 50 mg/kg extract pretreated mouse which showed that the intestines of both mice retained their normal features confirmed the fact that abdominal sepsis is a localized type of peritonitis as reported by (Pavlidis, 2003).</w:t>
      </w:r>
    </w:p>
    <w:p>
      <w:pPr>
        <w:pStyle w:val="BodyText"/>
      </w:pPr>
    </w:p>
    <w:p>
      <w:pPr>
        <w:pStyle w:val="BodyText"/>
        <w:spacing w:before="1"/>
      </w:pPr>
    </w:p>
    <w:p>
      <w:pPr>
        <w:pStyle w:val="BodyText"/>
        <w:spacing w:line="480" w:lineRule="auto"/>
        <w:ind w:left="747" w:right="847"/>
        <w:jc w:val="both"/>
      </w:pPr>
      <w:r>
        <w:rPr/>
        <w:t>In the assessment of the effect of </w:t>
      </w:r>
      <w:r>
        <w:rPr>
          <w:i/>
        </w:rPr>
        <w:t>C. micranthum </w:t>
      </w:r>
      <w:r>
        <w:rPr/>
        <w:t>extract on T-cell-mediated immunity, following 24 hours of oedematogen (sheep red blood cell) injection, the significant increased swellings of paws in all the extract treated groups indicated a beneficial effect of this plant. The extract seemed to have sustained the inflammatory mediators in their protection against the invading stimulus and this effect for the 100 mg/kg dose</w:t>
      </w:r>
      <w:r>
        <w:rPr>
          <w:spacing w:val="80"/>
        </w:rPr>
        <w:t> </w:t>
      </w:r>
      <w:r>
        <w:rPr/>
        <w:t>increased progressively from 3 hours to the 24</w:t>
      </w:r>
      <w:r>
        <w:rPr>
          <w:vertAlign w:val="superscript"/>
        </w:rPr>
        <w:t>th</w:t>
      </w:r>
      <w:r>
        <w:rPr>
          <w:vertAlign w:val="baseline"/>
        </w:rPr>
        <w:t> hour of observation. Usually, when the delayed hypersensitivity reactions does not occur or it is deficient, there will</w:t>
      </w:r>
      <w:r>
        <w:rPr>
          <w:spacing w:val="80"/>
          <w:vertAlign w:val="baseline"/>
        </w:rPr>
        <w:t> </w:t>
      </w:r>
      <w:r>
        <w:rPr>
          <w:vertAlign w:val="baseline"/>
        </w:rPr>
        <w:t>be high risk of susceptibility to opportunistic infections as</w:t>
      </w:r>
      <w:r>
        <w:rPr>
          <w:spacing w:val="40"/>
          <w:vertAlign w:val="baseline"/>
        </w:rPr>
        <w:t> </w:t>
      </w:r>
      <w:r>
        <w:rPr>
          <w:vertAlign w:val="baseline"/>
        </w:rPr>
        <w:t>seen in certain conditions like AIDS in which the helper T-cells are impaired </w:t>
      </w:r>
      <w:r>
        <w:rPr>
          <w:i/>
          <w:vertAlign w:val="baseline"/>
        </w:rPr>
        <w:t>vis a vis </w:t>
      </w:r>
      <w:r>
        <w:rPr>
          <w:vertAlign w:val="baseline"/>
        </w:rPr>
        <w:t>the delayed hypersensitivity reactions (Jacysyn </w:t>
      </w:r>
      <w:r>
        <w:rPr>
          <w:i/>
          <w:vertAlign w:val="baseline"/>
        </w:rPr>
        <w:t>et al</w:t>
      </w:r>
      <w:r>
        <w:rPr>
          <w:vertAlign w:val="baseline"/>
        </w:rPr>
        <w:t>., 2001).</w:t>
      </w:r>
    </w:p>
    <w:p>
      <w:pPr>
        <w:pStyle w:val="BodyText"/>
      </w:pPr>
    </w:p>
    <w:p>
      <w:pPr>
        <w:pStyle w:val="BodyText"/>
      </w:pPr>
    </w:p>
    <w:p>
      <w:pPr>
        <w:pStyle w:val="BodyText"/>
      </w:pPr>
    </w:p>
    <w:p>
      <w:pPr>
        <w:pStyle w:val="BodyText"/>
        <w:spacing w:before="1"/>
      </w:pPr>
    </w:p>
    <w:p>
      <w:pPr>
        <w:pStyle w:val="BodyText"/>
        <w:spacing w:line="480" w:lineRule="auto" w:before="1"/>
        <w:ind w:left="747" w:right="845"/>
        <w:jc w:val="both"/>
      </w:pPr>
      <w:r>
        <w:rPr/>
        <w:t>The </w:t>
      </w:r>
      <w:r>
        <w:rPr>
          <w:i/>
        </w:rPr>
        <w:t>C. micranthum </w:t>
      </w:r>
      <w:r>
        <w:rPr/>
        <w:t>extract inhibited </w:t>
      </w:r>
      <w:r>
        <w:rPr>
          <w:i/>
        </w:rPr>
        <w:t>in-vitro </w:t>
      </w:r>
      <w:r>
        <w:rPr/>
        <w:t>growth of all the test organisms of this study which are </w:t>
      </w:r>
      <w:r>
        <w:rPr>
          <w:i/>
        </w:rPr>
        <w:t>E. coli</w:t>
      </w:r>
      <w:r>
        <w:rPr/>
        <w:t>, </w:t>
      </w:r>
      <w:r>
        <w:rPr>
          <w:i/>
        </w:rPr>
        <w:t>Proteus mirabilis, Staphylococcus aureus</w:t>
      </w:r>
      <w:r>
        <w:rPr/>
        <w:t>, </w:t>
      </w:r>
      <w:r>
        <w:rPr>
          <w:i/>
        </w:rPr>
        <w:t>Klebsiella pneumoniae </w:t>
      </w:r>
      <w:r>
        <w:rPr/>
        <w:t>and </w:t>
      </w:r>
      <w:r>
        <w:rPr>
          <w:i/>
        </w:rPr>
        <w:t>Salmonella typhi. </w:t>
      </w:r>
      <w:r>
        <w:rPr/>
        <w:t>This result in agreement with reports that many </w:t>
      </w:r>
      <w:r>
        <w:rPr>
          <w:i/>
        </w:rPr>
        <w:t>Combretum </w:t>
      </w:r>
      <w:r>
        <w:rPr/>
        <w:t>species have medical applications against many</w:t>
      </w:r>
      <w:r>
        <w:rPr>
          <w:spacing w:val="-1"/>
        </w:rPr>
        <w:t> </w:t>
      </w:r>
      <w:r>
        <w:rPr/>
        <w:t>bacterial infections such as gonorrhea, syphilis and diarrhea (Fyhrquist </w:t>
      </w:r>
      <w:r>
        <w:rPr>
          <w:i/>
        </w:rPr>
        <w:t>et al</w:t>
      </w:r>
      <w:r>
        <w:rPr/>
        <w:t>., 2002) thereby justifies its folkloric</w:t>
      </w:r>
      <w:r>
        <w:rPr>
          <w:spacing w:val="40"/>
        </w:rPr>
        <w:t> </w:t>
      </w:r>
      <w:r>
        <w:rPr/>
        <w:t>use against many bacterial infections such as gonorrhea, syphilis and diarrhoea as reported by Burkill (1985), Kola and Benjamin (2002) and Uduma </w:t>
      </w:r>
      <w:r>
        <w:rPr>
          <w:i/>
        </w:rPr>
        <w:t>et al</w:t>
      </w:r>
      <w:r>
        <w:rPr/>
        <w:t>. (2012). This might</w:t>
      </w:r>
      <w:r>
        <w:rPr>
          <w:spacing w:val="16"/>
        </w:rPr>
        <w:t> </w:t>
      </w:r>
      <w:r>
        <w:rPr/>
        <w:t>be</w:t>
      </w:r>
      <w:r>
        <w:rPr>
          <w:spacing w:val="18"/>
        </w:rPr>
        <w:t> </w:t>
      </w:r>
      <w:r>
        <w:rPr/>
        <w:t>partly</w:t>
      </w:r>
      <w:r>
        <w:rPr>
          <w:spacing w:val="13"/>
        </w:rPr>
        <w:t> </w:t>
      </w:r>
      <w:r>
        <w:rPr/>
        <w:t>why</w:t>
      </w:r>
      <w:r>
        <w:rPr>
          <w:spacing w:val="14"/>
        </w:rPr>
        <w:t> </w:t>
      </w:r>
      <w:r>
        <w:rPr/>
        <w:t>this</w:t>
      </w:r>
      <w:r>
        <w:rPr>
          <w:spacing w:val="20"/>
        </w:rPr>
        <w:t> </w:t>
      </w:r>
      <w:r>
        <w:rPr/>
        <w:t>plant</w:t>
      </w:r>
      <w:r>
        <w:rPr>
          <w:spacing w:val="22"/>
        </w:rPr>
        <w:t> </w:t>
      </w:r>
      <w:r>
        <w:rPr/>
        <w:t>was</w:t>
      </w:r>
      <w:r>
        <w:rPr>
          <w:spacing w:val="19"/>
        </w:rPr>
        <w:t> </w:t>
      </w:r>
      <w:r>
        <w:rPr/>
        <w:t>reported</w:t>
      </w:r>
      <w:r>
        <w:rPr>
          <w:spacing w:val="17"/>
        </w:rPr>
        <w:t> </w:t>
      </w:r>
      <w:r>
        <w:rPr/>
        <w:t>to</w:t>
      </w:r>
      <w:r>
        <w:rPr>
          <w:spacing w:val="19"/>
        </w:rPr>
        <w:t> </w:t>
      </w:r>
      <w:r>
        <w:rPr/>
        <w:t>possess</w:t>
      </w:r>
      <w:r>
        <w:rPr>
          <w:spacing w:val="17"/>
        </w:rPr>
        <w:t> </w:t>
      </w:r>
      <w:r>
        <w:rPr/>
        <w:t>immunomodulatory</w:t>
      </w:r>
      <w:r>
        <w:rPr>
          <w:spacing w:val="16"/>
        </w:rPr>
        <w:t> </w:t>
      </w:r>
      <w:r>
        <w:rPr/>
        <w:t>activity;</w:t>
      </w:r>
      <w:r>
        <w:rPr>
          <w:spacing w:val="22"/>
        </w:rPr>
        <w:t> </w:t>
      </w:r>
      <w:r>
        <w:rPr>
          <w:spacing w:val="-5"/>
        </w:rPr>
        <w:t>as</w:t>
      </w:r>
    </w:p>
    <w:p>
      <w:pPr>
        <w:spacing w:after="0" w:line="480" w:lineRule="auto"/>
        <w:jc w:val="both"/>
        <w:sectPr>
          <w:pgSz w:w="11910" w:h="16840"/>
          <w:pgMar w:header="0" w:footer="981" w:top="1320" w:bottom="1180" w:left="1240" w:right="560"/>
        </w:sectPr>
      </w:pPr>
    </w:p>
    <w:p>
      <w:pPr>
        <w:pStyle w:val="BodyText"/>
        <w:spacing w:line="480" w:lineRule="auto" w:before="64"/>
        <w:ind w:left="747" w:right="844"/>
        <w:jc w:val="both"/>
      </w:pPr>
      <w:r>
        <w:rPr/>
        <w:t>bacterial infections and/or risk of sepsis are highly implicated in immunosuppression or in conditions of weakened immune system. Both the pathogenesis of intra-abdominal infections and neutropenic conditions stems mostly from bacterial contaminations; and the growth of </w:t>
      </w:r>
      <w:r>
        <w:rPr>
          <w:i/>
        </w:rPr>
        <w:t>E. coli</w:t>
      </w:r>
      <w:r>
        <w:rPr/>
        <w:t>, </w:t>
      </w:r>
      <w:r>
        <w:rPr>
          <w:i/>
        </w:rPr>
        <w:t>Klebsiella pneumoniae </w:t>
      </w:r>
      <w:r>
        <w:rPr/>
        <w:t>and </w:t>
      </w:r>
      <w:r>
        <w:rPr>
          <w:i/>
        </w:rPr>
        <w:t>Staph. aureus </w:t>
      </w:r>
      <w:r>
        <w:rPr/>
        <w:t>reported to be highly involved in bacteremia were seen to be inhibited to a reasonable extent by this plant extract. In recent times in which the clinical efficacy of many existing antibiotics is being threatened by the emergence of multidrug resistant pathogens (Bandow </w:t>
      </w:r>
      <w:r>
        <w:rPr>
          <w:i/>
        </w:rPr>
        <w:t>et al</w:t>
      </w:r>
      <w:r>
        <w:rPr/>
        <w:t>., 2003); the discovery of plants such as this will by no doubt be of much value.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
      </w:pPr>
    </w:p>
    <w:p>
      <w:pPr>
        <w:pStyle w:val="Heading1"/>
        <w:ind w:right="102"/>
      </w:pPr>
      <w:r>
        <w:rPr/>
        <w:t>CHAPTER</w:t>
      </w:r>
      <w:r>
        <w:rPr>
          <w:spacing w:val="-4"/>
        </w:rPr>
        <w:t> </w:t>
      </w:r>
      <w:r>
        <w:rPr>
          <w:spacing w:val="-5"/>
        </w:rPr>
        <w:t>SIX</w:t>
      </w:r>
    </w:p>
    <w:p>
      <w:pPr>
        <w:pStyle w:val="BodyText"/>
        <w:spacing w:before="200"/>
        <w:rPr>
          <w:b/>
        </w:rPr>
      </w:pPr>
    </w:p>
    <w:p>
      <w:pPr>
        <w:pStyle w:val="ListParagraph"/>
        <w:numPr>
          <w:ilvl w:val="1"/>
          <w:numId w:val="23"/>
        </w:numPr>
        <w:tabs>
          <w:tab w:pos="2668" w:val="left" w:leader="none"/>
        </w:tabs>
        <w:spacing w:line="240" w:lineRule="auto" w:before="0" w:after="0"/>
        <w:ind w:left="2668" w:right="0" w:hanging="480"/>
        <w:jc w:val="left"/>
        <w:rPr>
          <w:b/>
          <w:sz w:val="24"/>
        </w:rPr>
      </w:pPr>
      <w:r>
        <w:rPr>
          <w:b/>
          <w:sz w:val="24"/>
        </w:rPr>
        <w:t>SUMMARY, CONCLUSION</w:t>
      </w:r>
      <w:r>
        <w:rPr>
          <w:b/>
          <w:spacing w:val="-2"/>
          <w:sz w:val="24"/>
        </w:rPr>
        <w:t> </w:t>
      </w:r>
      <w:r>
        <w:rPr>
          <w:b/>
          <w:sz w:val="24"/>
        </w:rPr>
        <w:t>AND</w:t>
      </w:r>
      <w:r>
        <w:rPr>
          <w:b/>
          <w:spacing w:val="-1"/>
          <w:sz w:val="24"/>
        </w:rPr>
        <w:t> </w:t>
      </w:r>
      <w:r>
        <w:rPr>
          <w:b/>
          <w:spacing w:val="-2"/>
          <w:sz w:val="24"/>
        </w:rPr>
        <w:t>RECOMMENDATION</w:t>
      </w:r>
    </w:p>
    <w:p>
      <w:pPr>
        <w:pStyle w:val="BodyText"/>
        <w:spacing w:before="199"/>
        <w:rPr>
          <w:b/>
        </w:rPr>
      </w:pPr>
    </w:p>
    <w:p>
      <w:pPr>
        <w:pStyle w:val="Heading2"/>
        <w:numPr>
          <w:ilvl w:val="1"/>
          <w:numId w:val="23"/>
        </w:numPr>
        <w:tabs>
          <w:tab w:pos="3628" w:val="left" w:leader="none"/>
        </w:tabs>
        <w:spacing w:line="240" w:lineRule="auto" w:before="0" w:after="0"/>
        <w:ind w:left="3628" w:right="0" w:hanging="720"/>
        <w:jc w:val="both"/>
      </w:pPr>
      <w:r>
        <w:rPr>
          <w:spacing w:val="-2"/>
        </w:rPr>
        <w:t>Summary</w:t>
      </w:r>
    </w:p>
    <w:p>
      <w:pPr>
        <w:pStyle w:val="BodyText"/>
        <w:spacing w:line="480" w:lineRule="auto" w:before="271"/>
        <w:ind w:left="747" w:right="844"/>
        <w:jc w:val="both"/>
      </w:pPr>
      <w:r>
        <w:rPr/>
        <w:t>This study showed the </w:t>
      </w:r>
      <w:r>
        <w:rPr>
          <w:i/>
        </w:rPr>
        <w:t>Combretum micranthum </w:t>
      </w:r>
      <w:r>
        <w:rPr/>
        <w:t>leave extract to be relatively non-toxic in both mice and rats. The location and time of collection of this plant leave did not affect its previously reported constituents in literature. The extract pretreatment prior to cyclophosphamide</w:t>
      </w:r>
      <w:r>
        <w:rPr>
          <w:spacing w:val="55"/>
        </w:rPr>
        <w:t> </w:t>
      </w:r>
      <w:r>
        <w:rPr/>
        <w:t>injection</w:t>
      </w:r>
      <w:r>
        <w:rPr>
          <w:spacing w:val="60"/>
        </w:rPr>
        <w:t> </w:t>
      </w:r>
      <w:r>
        <w:rPr/>
        <w:t>showed</w:t>
      </w:r>
      <w:r>
        <w:rPr>
          <w:spacing w:val="58"/>
        </w:rPr>
        <w:t> </w:t>
      </w:r>
      <w:r>
        <w:rPr/>
        <w:t>a</w:t>
      </w:r>
      <w:r>
        <w:rPr>
          <w:spacing w:val="58"/>
        </w:rPr>
        <w:t> </w:t>
      </w:r>
      <w:r>
        <w:rPr/>
        <w:t>dose</w:t>
      </w:r>
      <w:r>
        <w:rPr>
          <w:spacing w:val="57"/>
        </w:rPr>
        <w:t> </w:t>
      </w:r>
      <w:r>
        <w:rPr/>
        <w:t>dependent</w:t>
      </w:r>
      <w:r>
        <w:rPr>
          <w:spacing w:val="60"/>
        </w:rPr>
        <w:t> </w:t>
      </w:r>
      <w:r>
        <w:rPr/>
        <w:t>count</w:t>
      </w:r>
      <w:r>
        <w:rPr>
          <w:spacing w:val="59"/>
        </w:rPr>
        <w:t> </w:t>
      </w:r>
      <w:r>
        <w:rPr/>
        <w:t>increase</w:t>
      </w:r>
      <w:r>
        <w:rPr>
          <w:spacing w:val="58"/>
        </w:rPr>
        <w:t> </w:t>
      </w:r>
      <w:r>
        <w:rPr/>
        <w:t>in</w:t>
      </w:r>
      <w:r>
        <w:rPr>
          <w:spacing w:val="58"/>
        </w:rPr>
        <w:t> </w:t>
      </w:r>
      <w:r>
        <w:rPr/>
        <w:t>WBC</w:t>
      </w:r>
      <w:r>
        <w:rPr>
          <w:spacing w:val="68"/>
        </w:rPr>
        <w:t> </w:t>
      </w:r>
      <w:r>
        <w:rPr>
          <w:spacing w:val="-5"/>
        </w:rPr>
        <w:t>and</w:t>
      </w:r>
    </w:p>
    <w:p>
      <w:pPr>
        <w:spacing w:after="0" w:line="480" w:lineRule="auto"/>
        <w:jc w:val="both"/>
        <w:sectPr>
          <w:pgSz w:w="11910" w:h="16840"/>
          <w:pgMar w:header="0" w:footer="981" w:top="1320" w:bottom="1180" w:left="1240" w:right="560"/>
        </w:sectPr>
      </w:pPr>
    </w:p>
    <w:p>
      <w:pPr>
        <w:pStyle w:val="BodyText"/>
        <w:spacing w:line="480" w:lineRule="auto" w:before="64"/>
        <w:ind w:left="747" w:right="844"/>
        <w:jc w:val="both"/>
      </w:pPr>
      <w:r>
        <w:rPr/>
        <w:t>neutrophils that although not significant compared to the control group, suggested an immune boosting effect to some extent. The extract demonstrated high antiseptic</w:t>
      </w:r>
      <w:r>
        <w:rPr>
          <w:spacing w:val="40"/>
        </w:rPr>
        <w:t> </w:t>
      </w:r>
      <w:r>
        <w:rPr/>
        <w:t>activity on </w:t>
      </w:r>
      <w:r>
        <w:rPr>
          <w:i/>
        </w:rPr>
        <w:t>E</w:t>
      </w:r>
      <w:r>
        <w:rPr/>
        <w:t>. </w:t>
      </w:r>
      <w:r>
        <w:rPr>
          <w:i/>
        </w:rPr>
        <w:t>coli</w:t>
      </w:r>
      <w:r>
        <w:rPr/>
        <w:t>-induced abdominal sepsis as it protected all pretreated mice up to 72 hours and beyond, while all the control mice died within 24 hours. From post mortem histological analysis, only the stomach of the control mouse was grossly eroded with ulceration, with no structural alteration in its intestines. The study on the antigen- antibody activity showed the mean paw volumes of the three extract dose groups at the 3</w:t>
      </w:r>
      <w:r>
        <w:rPr>
          <w:vertAlign w:val="superscript"/>
        </w:rPr>
        <w:t>rd</w:t>
      </w:r>
      <w:r>
        <w:rPr>
          <w:vertAlign w:val="baseline"/>
        </w:rPr>
        <w:t> hour to be slightly higher than that of the negative control group. On the other hand, the oedema at the interval of 24 hours was significantly higher in the extract pretreated groups</w:t>
      </w:r>
      <w:r>
        <w:rPr>
          <w:spacing w:val="31"/>
          <w:vertAlign w:val="baseline"/>
        </w:rPr>
        <w:t> </w:t>
      </w:r>
      <w:r>
        <w:rPr>
          <w:vertAlign w:val="baseline"/>
        </w:rPr>
        <w:t>compared</w:t>
      </w:r>
      <w:r>
        <w:rPr>
          <w:spacing w:val="33"/>
          <w:vertAlign w:val="baseline"/>
        </w:rPr>
        <w:t> </w:t>
      </w:r>
      <w:r>
        <w:rPr>
          <w:vertAlign w:val="baseline"/>
        </w:rPr>
        <w:t>to</w:t>
      </w:r>
      <w:r>
        <w:rPr>
          <w:spacing w:val="32"/>
          <w:vertAlign w:val="baseline"/>
        </w:rPr>
        <w:t> </w:t>
      </w:r>
      <w:r>
        <w:rPr>
          <w:vertAlign w:val="baseline"/>
        </w:rPr>
        <w:t>the</w:t>
      </w:r>
      <w:r>
        <w:rPr>
          <w:spacing w:val="35"/>
          <w:vertAlign w:val="baseline"/>
        </w:rPr>
        <w:t> </w:t>
      </w:r>
      <w:r>
        <w:rPr>
          <w:vertAlign w:val="baseline"/>
        </w:rPr>
        <w:t>controls,</w:t>
      </w:r>
      <w:r>
        <w:rPr>
          <w:spacing w:val="32"/>
          <w:vertAlign w:val="baseline"/>
        </w:rPr>
        <w:t> </w:t>
      </w:r>
      <w:r>
        <w:rPr>
          <w:vertAlign w:val="baseline"/>
        </w:rPr>
        <w:t>with</w:t>
      </w:r>
      <w:r>
        <w:rPr>
          <w:spacing w:val="33"/>
          <w:vertAlign w:val="baseline"/>
        </w:rPr>
        <w:t> </w:t>
      </w:r>
      <w:r>
        <w:rPr>
          <w:vertAlign w:val="baseline"/>
        </w:rPr>
        <w:t>the</w:t>
      </w:r>
      <w:r>
        <w:rPr>
          <w:spacing w:val="31"/>
          <w:vertAlign w:val="baseline"/>
        </w:rPr>
        <w:t> </w:t>
      </w:r>
      <w:r>
        <w:rPr>
          <w:vertAlign w:val="baseline"/>
        </w:rPr>
        <w:t>100</w:t>
      </w:r>
      <w:r>
        <w:rPr>
          <w:spacing w:val="30"/>
          <w:vertAlign w:val="baseline"/>
        </w:rPr>
        <w:t> </w:t>
      </w:r>
      <w:r>
        <w:rPr>
          <w:vertAlign w:val="baseline"/>
        </w:rPr>
        <w:t>mg/kg</w:t>
      </w:r>
      <w:r>
        <w:rPr>
          <w:spacing w:val="29"/>
          <w:vertAlign w:val="baseline"/>
        </w:rPr>
        <w:t> </w:t>
      </w:r>
      <w:r>
        <w:rPr>
          <w:vertAlign w:val="baseline"/>
        </w:rPr>
        <w:t>having</w:t>
      </w:r>
      <w:r>
        <w:rPr>
          <w:spacing w:val="30"/>
          <w:vertAlign w:val="baseline"/>
        </w:rPr>
        <w:t> </w:t>
      </w:r>
      <w:r>
        <w:rPr>
          <w:vertAlign w:val="baseline"/>
        </w:rPr>
        <w:t>the</w:t>
      </w:r>
      <w:r>
        <w:rPr>
          <w:spacing w:val="31"/>
          <w:vertAlign w:val="baseline"/>
        </w:rPr>
        <w:t> </w:t>
      </w:r>
      <w:r>
        <w:rPr>
          <w:vertAlign w:val="baseline"/>
        </w:rPr>
        <w:t>highest</w:t>
      </w:r>
      <w:r>
        <w:rPr>
          <w:spacing w:val="34"/>
          <w:vertAlign w:val="baseline"/>
        </w:rPr>
        <w:t> </w:t>
      </w:r>
      <w:r>
        <w:rPr>
          <w:vertAlign w:val="baseline"/>
        </w:rPr>
        <w:t>response</w:t>
      </w:r>
      <w:r>
        <w:rPr>
          <w:spacing w:val="39"/>
          <w:vertAlign w:val="baseline"/>
        </w:rPr>
        <w:t> </w:t>
      </w:r>
      <w:r>
        <w:rPr>
          <w:spacing w:val="-5"/>
          <w:vertAlign w:val="baseline"/>
        </w:rPr>
        <w:t>(P</w:t>
      </w:r>
    </w:p>
    <w:p>
      <w:pPr>
        <w:spacing w:line="480" w:lineRule="auto" w:before="2"/>
        <w:ind w:left="747" w:right="846" w:firstLine="0"/>
        <w:jc w:val="both"/>
        <w:rPr>
          <w:sz w:val="24"/>
        </w:rPr>
      </w:pPr>
      <w:r>
        <w:rPr>
          <w:sz w:val="24"/>
        </w:rPr>
        <w:t>&lt;0.001) that increased progressively over 24 hours. The antibacterial potential evaluation showed that the two extract doses (100 and 200 mg/ml) used exhibited growth inhibition of the test organisms (</w:t>
      </w:r>
      <w:r>
        <w:rPr>
          <w:i/>
          <w:sz w:val="24"/>
        </w:rPr>
        <w:t>Escherichia. coli</w:t>
      </w:r>
      <w:r>
        <w:rPr>
          <w:sz w:val="24"/>
        </w:rPr>
        <w:t>, </w:t>
      </w:r>
      <w:r>
        <w:rPr>
          <w:i/>
          <w:sz w:val="24"/>
        </w:rPr>
        <w:t>Staphylococcus. aureus</w:t>
      </w:r>
      <w:r>
        <w:rPr>
          <w:sz w:val="24"/>
        </w:rPr>
        <w:t>, </w:t>
      </w:r>
      <w:r>
        <w:rPr>
          <w:i/>
          <w:sz w:val="24"/>
        </w:rPr>
        <w:t>Klebsiella. pneumoneae</w:t>
      </w:r>
      <w:r>
        <w:rPr>
          <w:sz w:val="24"/>
        </w:rPr>
        <w:t>, </w:t>
      </w:r>
      <w:r>
        <w:rPr>
          <w:i/>
          <w:sz w:val="24"/>
        </w:rPr>
        <w:t>Salmonella. typhi </w:t>
      </w:r>
      <w:r>
        <w:rPr>
          <w:sz w:val="24"/>
        </w:rPr>
        <w:t>and </w:t>
      </w:r>
      <w:r>
        <w:rPr>
          <w:i/>
          <w:sz w:val="24"/>
        </w:rPr>
        <w:t>Proteus. mirabilis</w:t>
      </w:r>
      <w:r>
        <w:rPr>
          <w:sz w:val="24"/>
        </w:rPr>
        <w:t>) in a concentration dependent manner.</w:t>
      </w:r>
    </w:p>
    <w:p>
      <w:pPr>
        <w:pStyle w:val="BodyText"/>
      </w:pPr>
    </w:p>
    <w:p>
      <w:pPr>
        <w:pStyle w:val="BodyText"/>
      </w:pPr>
    </w:p>
    <w:p>
      <w:pPr>
        <w:pStyle w:val="BodyText"/>
      </w:pPr>
    </w:p>
    <w:p>
      <w:pPr>
        <w:pStyle w:val="BodyText"/>
        <w:spacing w:before="204"/>
      </w:pPr>
    </w:p>
    <w:p>
      <w:pPr>
        <w:pStyle w:val="Heading2"/>
        <w:numPr>
          <w:ilvl w:val="1"/>
          <w:numId w:val="23"/>
        </w:numPr>
        <w:tabs>
          <w:tab w:pos="4348" w:val="left" w:leader="none"/>
        </w:tabs>
        <w:spacing w:line="240" w:lineRule="auto" w:before="1" w:after="0"/>
        <w:ind w:left="4348" w:right="0" w:hanging="1020"/>
        <w:jc w:val="both"/>
      </w:pPr>
      <w:r>
        <w:rPr>
          <w:spacing w:val="-2"/>
        </w:rPr>
        <w:t>Conclusion</w:t>
      </w:r>
    </w:p>
    <w:p>
      <w:pPr>
        <w:pStyle w:val="BodyText"/>
        <w:spacing w:line="480" w:lineRule="auto" w:before="271"/>
        <w:ind w:left="747" w:right="844"/>
        <w:jc w:val="both"/>
      </w:pPr>
      <w:r>
        <w:rPr/>
        <w:t>From</w:t>
      </w:r>
      <w:r>
        <w:rPr>
          <w:spacing w:val="-1"/>
        </w:rPr>
        <w:t> </w:t>
      </w:r>
      <w:r>
        <w:rPr/>
        <w:t>the</w:t>
      </w:r>
      <w:r>
        <w:rPr>
          <w:spacing w:val="-1"/>
        </w:rPr>
        <w:t> </w:t>
      </w:r>
      <w:r>
        <w:rPr/>
        <w:t>results of</w:t>
      </w:r>
      <w:r>
        <w:rPr>
          <w:spacing w:val="-1"/>
        </w:rPr>
        <w:t> </w:t>
      </w:r>
      <w:r>
        <w:rPr/>
        <w:t>the</w:t>
      </w:r>
      <w:r>
        <w:rPr>
          <w:spacing w:val="-1"/>
        </w:rPr>
        <w:t> </w:t>
      </w:r>
      <w:r>
        <w:rPr/>
        <w:t>various assays which was carried out on the</w:t>
      </w:r>
      <w:r>
        <w:rPr>
          <w:spacing w:val="-1"/>
        </w:rPr>
        <w:t> </w:t>
      </w:r>
      <w:r>
        <w:rPr/>
        <w:t>aqueous ethanol leaf extract of </w:t>
      </w:r>
      <w:r>
        <w:rPr>
          <w:i/>
        </w:rPr>
        <w:t>Combretum micranthum</w:t>
      </w:r>
      <w:r>
        <w:rPr/>
        <w:t>, it could be concluded that the plant maintain a sustained oedema at sites of injection/infection which is an indication of usefulness in ameliorating T cell-dependent immune/inflammatory diseases. The plant also reduce damages to blood cells especially the white blood cells (WBCs) which are the cellular component elements of immunity</w:t>
      </w:r>
      <w:r>
        <w:rPr>
          <w:spacing w:val="-3"/>
        </w:rPr>
        <w:t> </w:t>
      </w:r>
      <w:r>
        <w:rPr/>
        <w:t>– a vital action</w:t>
      </w:r>
      <w:r>
        <w:rPr>
          <w:spacing w:val="-1"/>
        </w:rPr>
        <w:t> </w:t>
      </w:r>
      <w:r>
        <w:rPr/>
        <w:t>that can prevent disease complications of</w:t>
      </w:r>
      <w:r>
        <w:rPr>
          <w:spacing w:val="27"/>
        </w:rPr>
        <w:t> </w:t>
      </w:r>
      <w:r>
        <w:rPr/>
        <w:t>chronic</w:t>
      </w:r>
      <w:r>
        <w:rPr>
          <w:spacing w:val="30"/>
        </w:rPr>
        <w:t> </w:t>
      </w:r>
      <w:r>
        <w:rPr/>
        <w:t>inflammation;</w:t>
      </w:r>
      <w:r>
        <w:rPr>
          <w:spacing w:val="31"/>
        </w:rPr>
        <w:t> </w:t>
      </w:r>
      <w:r>
        <w:rPr/>
        <w:t>from</w:t>
      </w:r>
      <w:r>
        <w:rPr>
          <w:spacing w:val="31"/>
        </w:rPr>
        <w:t> </w:t>
      </w:r>
      <w:r>
        <w:rPr/>
        <w:t>the</w:t>
      </w:r>
      <w:r>
        <w:rPr>
          <w:spacing w:val="30"/>
        </w:rPr>
        <w:t> </w:t>
      </w:r>
      <w:r>
        <w:rPr/>
        <w:t>fact</w:t>
      </w:r>
      <w:r>
        <w:rPr>
          <w:spacing w:val="31"/>
        </w:rPr>
        <w:t> </w:t>
      </w:r>
      <w:r>
        <w:rPr/>
        <w:t>that</w:t>
      </w:r>
      <w:r>
        <w:rPr>
          <w:spacing w:val="29"/>
        </w:rPr>
        <w:t> </w:t>
      </w:r>
      <w:r>
        <w:rPr/>
        <w:t>defects</w:t>
      </w:r>
      <w:r>
        <w:rPr>
          <w:spacing w:val="31"/>
        </w:rPr>
        <w:t> </w:t>
      </w:r>
      <w:r>
        <w:rPr/>
        <w:t>in</w:t>
      </w:r>
      <w:r>
        <w:rPr>
          <w:spacing w:val="31"/>
        </w:rPr>
        <w:t> </w:t>
      </w:r>
      <w:r>
        <w:rPr/>
        <w:t>leukocyte</w:t>
      </w:r>
      <w:r>
        <w:rPr>
          <w:spacing w:val="30"/>
        </w:rPr>
        <w:t> </w:t>
      </w:r>
      <w:r>
        <w:rPr/>
        <w:t>function</w:t>
      </w:r>
      <w:r>
        <w:rPr>
          <w:spacing w:val="30"/>
        </w:rPr>
        <w:t> </w:t>
      </w:r>
      <w:r>
        <w:rPr/>
        <w:t>and/or</w:t>
      </w:r>
      <w:r>
        <w:rPr>
          <w:spacing w:val="30"/>
        </w:rPr>
        <w:t> </w:t>
      </w:r>
      <w:r>
        <w:rPr>
          <w:spacing w:val="-2"/>
        </w:rPr>
        <w:t>their</w:t>
      </w:r>
    </w:p>
    <w:p>
      <w:pPr>
        <w:spacing w:after="0" w:line="480" w:lineRule="auto"/>
        <w:jc w:val="both"/>
        <w:sectPr>
          <w:pgSz w:w="11910" w:h="16840"/>
          <w:pgMar w:header="0" w:footer="981" w:top="1320" w:bottom="1180" w:left="1240" w:right="560"/>
        </w:sectPr>
      </w:pPr>
    </w:p>
    <w:p>
      <w:pPr>
        <w:pStyle w:val="BodyText"/>
        <w:spacing w:line="480" w:lineRule="auto" w:before="64"/>
        <w:ind w:left="747" w:right="848"/>
        <w:jc w:val="both"/>
      </w:pPr>
      <w:r>
        <w:rPr/>
        <w:t>reduction in number often results in a decreased capacity</w:t>
      </w:r>
      <w:r>
        <w:rPr>
          <w:spacing w:val="-3"/>
        </w:rPr>
        <w:t> </w:t>
      </w:r>
      <w:r>
        <w:rPr/>
        <w:t>for inflammatory defense with subsequent vulnerability to infections. The extract Protect from septic bacterial infections of the abdomen and peritoneum that may result in ulcers, abscesses or other unhealthy conditions; as it inhibits growth of bacterial organisms.</w:t>
      </w:r>
    </w:p>
    <w:p>
      <w:pPr>
        <w:pStyle w:val="BodyText"/>
      </w:pPr>
    </w:p>
    <w:p>
      <w:pPr>
        <w:pStyle w:val="BodyText"/>
        <w:spacing w:before="6"/>
      </w:pPr>
    </w:p>
    <w:p>
      <w:pPr>
        <w:pStyle w:val="Heading2"/>
        <w:tabs>
          <w:tab w:pos="4415" w:val="left" w:leader="none"/>
        </w:tabs>
        <w:ind w:left="3755" w:firstLine="0"/>
      </w:pPr>
      <w:r>
        <w:rPr>
          <w:spacing w:val="-5"/>
        </w:rPr>
        <w:t>6.3</w:t>
      </w:r>
      <w:r>
        <w:rPr/>
        <w:tab/>
      </w:r>
      <w:r>
        <w:rPr>
          <w:spacing w:val="-2"/>
        </w:rPr>
        <w:t>Recommendations</w:t>
      </w:r>
    </w:p>
    <w:p>
      <w:pPr>
        <w:pStyle w:val="BodyText"/>
        <w:spacing w:before="273"/>
        <w:ind w:left="747"/>
        <w:jc w:val="both"/>
      </w:pPr>
      <w:r>
        <w:rPr/>
        <w:t>The</w:t>
      </w:r>
      <w:r>
        <w:rPr>
          <w:spacing w:val="-5"/>
        </w:rPr>
        <w:t> </w:t>
      </w:r>
      <w:r>
        <w:rPr/>
        <w:t>recommendations</w:t>
      </w:r>
      <w:r>
        <w:rPr>
          <w:spacing w:val="-1"/>
        </w:rPr>
        <w:t> </w:t>
      </w:r>
      <w:r>
        <w:rPr/>
        <w:t>for</w:t>
      </w:r>
      <w:r>
        <w:rPr>
          <w:spacing w:val="-1"/>
        </w:rPr>
        <w:t> </w:t>
      </w:r>
      <w:r>
        <w:rPr/>
        <w:t>further</w:t>
      </w:r>
      <w:r>
        <w:rPr>
          <w:spacing w:val="-1"/>
        </w:rPr>
        <w:t> </w:t>
      </w:r>
      <w:r>
        <w:rPr/>
        <w:t>research</w:t>
      </w:r>
      <w:r>
        <w:rPr>
          <w:spacing w:val="-1"/>
        </w:rPr>
        <w:t> </w:t>
      </w:r>
      <w:r>
        <w:rPr/>
        <w:t>on</w:t>
      </w:r>
      <w:r>
        <w:rPr>
          <w:spacing w:val="-1"/>
        </w:rPr>
        <w:t> </w:t>
      </w:r>
      <w:r>
        <w:rPr/>
        <w:t>this</w:t>
      </w:r>
      <w:r>
        <w:rPr>
          <w:spacing w:val="1"/>
        </w:rPr>
        <w:t> </w:t>
      </w:r>
      <w:r>
        <w:rPr/>
        <w:t>study</w:t>
      </w:r>
      <w:r>
        <w:rPr>
          <w:spacing w:val="-5"/>
        </w:rPr>
        <w:t> </w:t>
      </w:r>
      <w:r>
        <w:rPr>
          <w:spacing w:val="-2"/>
        </w:rPr>
        <w:t>include:</w:t>
      </w:r>
    </w:p>
    <w:p>
      <w:pPr>
        <w:pStyle w:val="BodyText"/>
        <w:spacing w:before="198"/>
      </w:pPr>
    </w:p>
    <w:p>
      <w:pPr>
        <w:pStyle w:val="ListParagraph"/>
        <w:numPr>
          <w:ilvl w:val="2"/>
          <w:numId w:val="22"/>
        </w:numPr>
        <w:tabs>
          <w:tab w:pos="1467" w:val="left" w:leader="none"/>
          <w:tab w:pos="1827" w:val="left" w:leader="none"/>
        </w:tabs>
        <w:spacing w:line="482" w:lineRule="auto" w:before="0" w:after="0"/>
        <w:ind w:left="1827" w:right="847" w:hanging="720"/>
        <w:jc w:val="left"/>
        <w:rPr>
          <w:sz w:val="24"/>
        </w:rPr>
      </w:pPr>
      <w:r>
        <w:rPr>
          <w:sz w:val="24"/>
        </w:rPr>
        <w:t>The sub-acute</w:t>
      </w:r>
      <w:r>
        <w:rPr>
          <w:spacing w:val="25"/>
          <w:sz w:val="24"/>
        </w:rPr>
        <w:t> </w:t>
      </w:r>
      <w:r>
        <w:rPr>
          <w:sz w:val="24"/>
        </w:rPr>
        <w:t>and chronic toxicity studies of the crude leaf extract</w:t>
      </w:r>
      <w:r>
        <w:rPr>
          <w:spacing w:val="29"/>
          <w:sz w:val="24"/>
        </w:rPr>
        <w:t> </w:t>
      </w:r>
      <w:r>
        <w:rPr>
          <w:sz w:val="24"/>
        </w:rPr>
        <w:t>that would</w:t>
      </w:r>
      <w:r>
        <w:rPr>
          <w:spacing w:val="40"/>
          <w:sz w:val="24"/>
        </w:rPr>
        <w:t> </w:t>
      </w:r>
      <w:r>
        <w:rPr>
          <w:sz w:val="24"/>
        </w:rPr>
        <w:t>document its comprehensive toxicity and/or safety profile.</w:t>
      </w:r>
    </w:p>
    <w:p>
      <w:pPr>
        <w:pStyle w:val="ListParagraph"/>
        <w:numPr>
          <w:ilvl w:val="2"/>
          <w:numId w:val="22"/>
        </w:numPr>
        <w:tabs>
          <w:tab w:pos="1465" w:val="left" w:leader="none"/>
        </w:tabs>
        <w:spacing w:line="240" w:lineRule="auto" w:before="196" w:after="0"/>
        <w:ind w:left="1465" w:right="0" w:hanging="358"/>
        <w:jc w:val="left"/>
        <w:rPr>
          <w:sz w:val="24"/>
        </w:rPr>
      </w:pPr>
      <w:r>
        <w:rPr>
          <w:sz w:val="24"/>
        </w:rPr>
        <w:t>The</w:t>
      </w:r>
      <w:r>
        <w:rPr>
          <w:spacing w:val="-3"/>
          <w:sz w:val="24"/>
        </w:rPr>
        <w:t> </w:t>
      </w:r>
      <w:r>
        <w:rPr>
          <w:sz w:val="24"/>
        </w:rPr>
        <w:t>possible</w:t>
      </w:r>
      <w:r>
        <w:rPr>
          <w:spacing w:val="-1"/>
          <w:sz w:val="24"/>
        </w:rPr>
        <w:t> </w:t>
      </w:r>
      <w:r>
        <w:rPr>
          <w:sz w:val="24"/>
        </w:rPr>
        <w:t>mechanism</w:t>
      </w:r>
      <w:r>
        <w:rPr>
          <w:spacing w:val="1"/>
          <w:sz w:val="24"/>
        </w:rPr>
        <w:t> </w:t>
      </w:r>
      <w:r>
        <w:rPr>
          <w:sz w:val="24"/>
        </w:rPr>
        <w:t>of</w:t>
      </w:r>
      <w:r>
        <w:rPr>
          <w:spacing w:val="-1"/>
          <w:sz w:val="24"/>
        </w:rPr>
        <w:t> </w:t>
      </w:r>
      <w:r>
        <w:rPr>
          <w:sz w:val="24"/>
        </w:rPr>
        <w:t>its</w:t>
      </w:r>
      <w:r>
        <w:rPr>
          <w:spacing w:val="-2"/>
          <w:sz w:val="24"/>
        </w:rPr>
        <w:t> </w:t>
      </w:r>
      <w:r>
        <w:rPr>
          <w:sz w:val="24"/>
        </w:rPr>
        <w:t>immune</w:t>
      </w:r>
      <w:r>
        <w:rPr>
          <w:spacing w:val="-1"/>
          <w:sz w:val="24"/>
        </w:rPr>
        <w:t> </w:t>
      </w:r>
      <w:r>
        <w:rPr>
          <w:sz w:val="24"/>
        </w:rPr>
        <w:t>protective</w:t>
      </w:r>
      <w:r>
        <w:rPr>
          <w:spacing w:val="-1"/>
          <w:sz w:val="24"/>
        </w:rPr>
        <w:t> </w:t>
      </w:r>
      <w:r>
        <w:rPr>
          <w:spacing w:val="-2"/>
          <w:sz w:val="24"/>
        </w:rPr>
        <w:t>activity.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5"/>
      </w:pPr>
    </w:p>
    <w:p>
      <w:pPr>
        <w:pStyle w:val="Heading1"/>
        <w:ind w:right="102"/>
      </w:pPr>
      <w:r>
        <w:rPr>
          <w:spacing w:val="-2"/>
        </w:rPr>
        <w:t>REFERENCES</w:t>
      </w:r>
    </w:p>
    <w:p>
      <w:pPr>
        <w:pStyle w:val="BodyText"/>
        <w:spacing w:before="238"/>
        <w:rPr>
          <w:b/>
        </w:rPr>
      </w:pPr>
    </w:p>
    <w:p>
      <w:pPr>
        <w:spacing w:line="276" w:lineRule="auto" w:before="0"/>
        <w:ind w:left="1467" w:right="844" w:hanging="720"/>
        <w:jc w:val="both"/>
        <w:rPr>
          <w:sz w:val="24"/>
        </w:rPr>
      </w:pPr>
      <w:r>
        <w:rPr>
          <w:sz w:val="24"/>
        </w:rPr>
        <w:t>Abbas, A.K. and Lichtman, A.H. (2003). </w:t>
      </w:r>
      <w:r>
        <w:rPr>
          <w:i/>
          <w:sz w:val="24"/>
        </w:rPr>
        <w:t>Cellular and molecular immunology</w:t>
      </w:r>
      <w:r>
        <w:rPr>
          <w:sz w:val="24"/>
        </w:rPr>
        <w:t>. 5</w:t>
      </w:r>
      <w:r>
        <w:rPr>
          <w:sz w:val="24"/>
          <w:vertAlign w:val="superscript"/>
        </w:rPr>
        <w:t>th</w:t>
      </w:r>
      <w:r>
        <w:rPr>
          <w:sz w:val="24"/>
          <w:vertAlign w:val="baseline"/>
        </w:rPr>
        <w:t> edition, Saunders, Philadelphia; 32(1): 65-66.</w:t>
      </w:r>
    </w:p>
    <w:p>
      <w:pPr>
        <w:spacing w:line="276" w:lineRule="auto" w:before="239"/>
        <w:ind w:left="1467" w:right="845" w:hanging="720"/>
        <w:jc w:val="both"/>
        <w:rPr>
          <w:sz w:val="24"/>
        </w:rPr>
      </w:pPr>
      <w:r>
        <w:rPr>
          <w:sz w:val="24"/>
        </w:rPr>
        <w:t>Abdullahi. M. H. (2008). </w:t>
      </w:r>
      <w:r>
        <w:rPr>
          <w:i/>
          <w:sz w:val="24"/>
        </w:rPr>
        <w:t>Some Pharmacological effect of the leaves and stem bark extract of Combretum micranthum </w:t>
      </w:r>
      <w:r>
        <w:rPr>
          <w:sz w:val="24"/>
        </w:rPr>
        <w:t>G. DON. (Combretaceae) </w:t>
      </w:r>
      <w:r>
        <w:rPr>
          <w:i/>
          <w:sz w:val="24"/>
        </w:rPr>
        <w:t>on laboratory animal. </w:t>
      </w:r>
      <w:r>
        <w:rPr>
          <w:sz w:val="24"/>
        </w:rPr>
        <w:t>(Unpublished M.Sc. Thesis); Ahmadu Bello University Zaria, Nigeria.</w:t>
      </w:r>
    </w:p>
    <w:p>
      <w:pPr>
        <w:spacing w:line="276" w:lineRule="auto" w:before="241"/>
        <w:ind w:left="1467" w:right="845" w:hanging="720"/>
        <w:jc w:val="both"/>
        <w:rPr>
          <w:sz w:val="24"/>
        </w:rPr>
      </w:pPr>
      <w:r>
        <w:rPr>
          <w:sz w:val="24"/>
        </w:rPr>
        <w:t>Agaie, B.M., Onyeyili, B.Y., Muhammad, B.Y. and Ladan, M.J. (2007). Acute toxicity effects of the aqueous leaf extract of </w:t>
      </w:r>
      <w:r>
        <w:rPr>
          <w:i/>
          <w:sz w:val="24"/>
        </w:rPr>
        <w:t>Anogeissus leiocarpus </w:t>
      </w:r>
      <w:r>
        <w:rPr>
          <w:sz w:val="24"/>
        </w:rPr>
        <w:t>in rats. </w:t>
      </w:r>
      <w:r>
        <w:rPr>
          <w:i/>
          <w:sz w:val="24"/>
        </w:rPr>
        <w:t>African Journal of Biotechnology, </w:t>
      </w:r>
      <w:r>
        <w:rPr>
          <w:sz w:val="24"/>
        </w:rPr>
        <w:t>6, 886-889.</w:t>
      </w:r>
    </w:p>
    <w:p>
      <w:pPr>
        <w:spacing w:after="0" w:line="276" w:lineRule="auto"/>
        <w:jc w:val="both"/>
        <w:rPr>
          <w:sz w:val="24"/>
        </w:rPr>
        <w:sectPr>
          <w:pgSz w:w="11910" w:h="16840"/>
          <w:pgMar w:header="0" w:footer="981" w:top="1320" w:bottom="1180" w:left="1240" w:right="560"/>
        </w:sectPr>
      </w:pPr>
    </w:p>
    <w:p>
      <w:pPr>
        <w:spacing w:line="276" w:lineRule="auto" w:before="67"/>
        <w:ind w:left="1467" w:right="850" w:hanging="720"/>
        <w:jc w:val="both"/>
        <w:rPr>
          <w:sz w:val="24"/>
        </w:rPr>
      </w:pPr>
      <w:r>
        <w:rPr>
          <w:sz w:val="24"/>
        </w:rPr>
        <w:t>Agerberth, B. and Gudmundsson, G.H. (2006). Host antimicrobial defence peptides in human disease. </w:t>
      </w:r>
      <w:r>
        <w:rPr>
          <w:i/>
          <w:sz w:val="24"/>
        </w:rPr>
        <w:t>Current Topics in Microbiology and Immunology</w:t>
      </w:r>
      <w:r>
        <w:rPr>
          <w:sz w:val="24"/>
        </w:rPr>
        <w:t>. 306: 67–90.</w:t>
      </w:r>
    </w:p>
    <w:p>
      <w:pPr>
        <w:spacing w:line="276" w:lineRule="auto" w:before="201"/>
        <w:ind w:left="1467" w:right="847" w:hanging="720"/>
        <w:jc w:val="both"/>
        <w:rPr>
          <w:sz w:val="24"/>
        </w:rPr>
      </w:pPr>
      <w:r>
        <w:rPr>
          <w:sz w:val="24"/>
        </w:rPr>
        <w:t>Akiyama, H., Fujii, K., Yamasaki, O., Oono, T. and Iwatsuki, K. (2001). Antibacterial action of several tannins against </w:t>
      </w:r>
      <w:r>
        <w:rPr>
          <w:i/>
          <w:sz w:val="24"/>
        </w:rPr>
        <w:t>Staphylococcus aureus. Journal of Antimicrobial Chemotherapy, </w:t>
      </w:r>
      <w:r>
        <w:rPr>
          <w:sz w:val="24"/>
        </w:rPr>
        <w:t>48(4): 487-91.</w:t>
      </w:r>
    </w:p>
    <w:p>
      <w:pPr>
        <w:pStyle w:val="BodyText"/>
        <w:spacing w:line="276" w:lineRule="auto" w:before="200"/>
        <w:ind w:left="1467" w:right="851" w:hanging="720"/>
        <w:jc w:val="both"/>
      </w:pPr>
      <w:r>
        <w:rPr/>
        <w:t>Al-Gwaiz, L.A. and Babay, H.H. (2007). The diagnostic value of absolute neutrophil count, band count and morphologic changes of neutrophils in </w:t>
      </w:r>
      <w:r>
        <w:rPr/>
        <w:t>predicting</w:t>
      </w:r>
      <w:r>
        <w:rPr>
          <w:spacing w:val="40"/>
        </w:rPr>
        <w:t> </w:t>
      </w:r>
      <w:r>
        <w:rPr/>
        <w:t>bacterial infections. </w:t>
      </w:r>
      <w:r>
        <w:rPr>
          <w:i/>
        </w:rPr>
        <w:t>Journal of Medical Principles and Practice, </w:t>
      </w:r>
      <w:r>
        <w:rPr/>
        <w:t>16 (5): 3447.</w:t>
      </w:r>
    </w:p>
    <w:p>
      <w:pPr>
        <w:pStyle w:val="BodyText"/>
        <w:spacing w:before="41"/>
      </w:pPr>
    </w:p>
    <w:p>
      <w:pPr>
        <w:pStyle w:val="BodyText"/>
        <w:spacing w:line="276" w:lineRule="auto"/>
        <w:ind w:left="1467" w:right="849" w:hanging="720"/>
        <w:jc w:val="both"/>
      </w:pPr>
      <w:r>
        <w:rPr/>
        <w:t>Allison A. A., Stephen, L. B., Eric B. L., Stephen, E. G. and Laaura D. K. (2013). Divergent associations of adaptive and maladaptive emotion regulation</w:t>
      </w:r>
      <w:r>
        <w:rPr>
          <w:spacing w:val="40"/>
        </w:rPr>
        <w:t> </w:t>
      </w:r>
      <w:r>
        <w:rPr/>
        <w:t>strategies with inflammation. </w:t>
      </w:r>
      <w:r>
        <w:rPr>
          <w:i/>
        </w:rPr>
        <w:t>Journal of Health Psychology</w:t>
      </w:r>
      <w:r>
        <w:rPr/>
        <w:t>, 32(7): 748-756.</w:t>
      </w:r>
    </w:p>
    <w:p>
      <w:pPr>
        <w:pStyle w:val="BodyText"/>
        <w:spacing w:before="42"/>
      </w:pPr>
    </w:p>
    <w:p>
      <w:pPr>
        <w:spacing w:line="276" w:lineRule="auto" w:before="0"/>
        <w:ind w:left="1467" w:right="845" w:hanging="720"/>
        <w:jc w:val="both"/>
        <w:rPr>
          <w:sz w:val="24"/>
        </w:rPr>
      </w:pPr>
      <w:r>
        <w:rPr>
          <w:sz w:val="24"/>
        </w:rPr>
        <w:t>Aminu, C.S. and Oricha, B. (2010). Antihyperglycemic activity of aqueous leaf extract of </w:t>
      </w:r>
      <w:r>
        <w:rPr>
          <w:i/>
          <w:sz w:val="24"/>
        </w:rPr>
        <w:t>Combretum micranthum </w:t>
      </w:r>
      <w:r>
        <w:rPr>
          <w:sz w:val="24"/>
        </w:rPr>
        <w:t>in normal and alloxan-induced diabetic rats. </w:t>
      </w:r>
      <w:r>
        <w:rPr>
          <w:i/>
          <w:sz w:val="24"/>
        </w:rPr>
        <w:t>Journal of Ethnopharmacology</w:t>
      </w:r>
      <w:r>
        <w:rPr>
          <w:sz w:val="24"/>
        </w:rPr>
        <w:t>, 129(1): 34-37.</w:t>
      </w:r>
    </w:p>
    <w:p>
      <w:pPr>
        <w:pStyle w:val="BodyText"/>
        <w:spacing w:before="41"/>
      </w:pPr>
    </w:p>
    <w:p>
      <w:pPr>
        <w:pStyle w:val="BodyText"/>
        <w:spacing w:line="276" w:lineRule="auto" w:before="1"/>
        <w:ind w:left="1467" w:right="843" w:hanging="720"/>
        <w:jc w:val="both"/>
      </w:pPr>
      <w:r>
        <w:rPr/>
        <w:t>Ancolio, C., Azas, N., Mahiou, V., Ollivier, E., Di Giorgio, C. and Keita, A. (2002). Antimalarial activity of extracts and alkaloids isolated from six plants used in traditional medicine in Mali and Sao Tome. </w:t>
      </w:r>
      <w:r>
        <w:rPr>
          <w:i/>
        </w:rPr>
        <w:t>Phytotherapy Research, </w:t>
      </w:r>
      <w:r>
        <w:rPr/>
        <w:t>16(7): 646- </w:t>
      </w:r>
      <w:r>
        <w:rPr>
          <w:spacing w:val="-4"/>
        </w:rPr>
        <w:t>649.</w:t>
      </w:r>
    </w:p>
    <w:p>
      <w:pPr>
        <w:pStyle w:val="BodyText"/>
        <w:spacing w:line="276" w:lineRule="auto" w:before="199"/>
        <w:ind w:left="1467" w:right="845" w:hanging="720"/>
        <w:jc w:val="both"/>
      </w:pPr>
      <w:r>
        <w:rPr/>
        <w:t>Andres, E., Maloisel, F. and Jacques, Z. (2010). The role of haematopoietic growth factors granulocyte colony-stimulating factor and granulocyte-macrophage colony-stimulating factor in the management of drug-induced agranulocytosis. </w:t>
      </w:r>
      <w:r>
        <w:rPr>
          <w:i/>
        </w:rPr>
        <w:t>British Journal of haematology, </w:t>
      </w:r>
      <w:r>
        <w:rPr/>
        <w:t>150(1): 3-8</w:t>
      </w:r>
    </w:p>
    <w:p>
      <w:pPr>
        <w:pStyle w:val="BodyText"/>
        <w:spacing w:line="276" w:lineRule="auto" w:before="200"/>
        <w:ind w:left="1467" w:right="851" w:hanging="720"/>
        <w:jc w:val="both"/>
      </w:pPr>
      <w:r>
        <w:rPr/>
        <w:t>Andres, E., Zimmer, J., Affenberger, S., Federici, L., Alt, M. and Maloisel, F. (2006). Idiosyncratic drug-induced agranulocytosis: Update of an old disorder.</w:t>
      </w:r>
      <w:r>
        <w:rPr>
          <w:spacing w:val="40"/>
        </w:rPr>
        <w:t> </w:t>
      </w:r>
      <w:r>
        <w:rPr>
          <w:i/>
        </w:rPr>
        <w:t>European journal of internal medicine, </w:t>
      </w:r>
      <w:r>
        <w:rPr/>
        <w:t>17(8):529-535.</w:t>
      </w:r>
    </w:p>
    <w:p>
      <w:pPr>
        <w:pStyle w:val="BodyText"/>
        <w:spacing w:before="42"/>
      </w:pPr>
    </w:p>
    <w:p>
      <w:pPr>
        <w:pStyle w:val="BodyText"/>
        <w:spacing w:line="276" w:lineRule="auto"/>
        <w:ind w:left="1467" w:right="848" w:hanging="720"/>
        <w:jc w:val="both"/>
      </w:pPr>
      <w:r>
        <w:rPr/>
        <w:t>Ariza,</w:t>
      </w:r>
      <w:r>
        <w:rPr>
          <w:spacing w:val="40"/>
        </w:rPr>
        <w:t> </w:t>
      </w:r>
      <w:r>
        <w:rPr/>
        <w:t>A. F., Tahia, D., Dona, I., Aranda, A., Blanca-Lopez, Natalia, M. L., Canto G., Blanca, M., Maria, J. T. and Mayorga, C. (2014). Basophil activation after nonsteroidal anti-inflammatory drugs stimulation in patients with immediate hypersensitivity</w:t>
      </w:r>
      <w:r>
        <w:rPr>
          <w:spacing w:val="-4"/>
        </w:rPr>
        <w:t> </w:t>
      </w:r>
      <w:r>
        <w:rPr/>
        <w:t>reactions to these drugs. </w:t>
      </w:r>
      <w:r>
        <w:rPr>
          <w:i/>
        </w:rPr>
        <w:t>Journal of cell and Molecular Biology; </w:t>
      </w:r>
      <w:r>
        <w:rPr/>
        <w:t>85(5): 400-407.</w:t>
      </w:r>
    </w:p>
    <w:p>
      <w:pPr>
        <w:pStyle w:val="BodyText"/>
        <w:spacing w:before="42"/>
      </w:pPr>
    </w:p>
    <w:p>
      <w:pPr>
        <w:spacing w:line="276" w:lineRule="auto" w:before="1"/>
        <w:ind w:left="1467" w:right="844" w:hanging="720"/>
        <w:jc w:val="both"/>
        <w:rPr>
          <w:sz w:val="24"/>
        </w:rPr>
      </w:pPr>
      <w:r>
        <w:rPr>
          <w:sz w:val="24"/>
        </w:rPr>
        <w:t>Bandow,</w:t>
      </w:r>
      <w:r>
        <w:rPr>
          <w:spacing w:val="40"/>
          <w:sz w:val="24"/>
        </w:rPr>
        <w:t> </w:t>
      </w:r>
      <w:r>
        <w:rPr>
          <w:sz w:val="24"/>
        </w:rPr>
        <w:t>J.E.,</w:t>
      </w:r>
      <w:r>
        <w:rPr>
          <w:spacing w:val="40"/>
          <w:sz w:val="24"/>
        </w:rPr>
        <w:t> </w:t>
      </w:r>
      <w:r>
        <w:rPr>
          <w:sz w:val="24"/>
        </w:rPr>
        <w:t>Brotz. H., Leichert, L.I.O., Labischinski, H. and Hecker, M. (2003). Proteomic</w:t>
      </w:r>
      <w:r>
        <w:rPr>
          <w:spacing w:val="-3"/>
          <w:sz w:val="24"/>
        </w:rPr>
        <w:t> </w:t>
      </w:r>
      <w:r>
        <w:rPr>
          <w:sz w:val="24"/>
        </w:rPr>
        <w:t>approach</w:t>
      </w:r>
      <w:r>
        <w:rPr>
          <w:spacing w:val="-2"/>
          <w:sz w:val="24"/>
        </w:rPr>
        <w:t> </w:t>
      </w:r>
      <w:r>
        <w:rPr>
          <w:sz w:val="24"/>
        </w:rPr>
        <w:t>to understanding</w:t>
      </w:r>
      <w:r>
        <w:rPr>
          <w:spacing w:val="-5"/>
          <w:sz w:val="24"/>
        </w:rPr>
        <w:t> </w:t>
      </w:r>
      <w:r>
        <w:rPr>
          <w:sz w:val="24"/>
        </w:rPr>
        <w:t>antibiotic</w:t>
      </w:r>
      <w:r>
        <w:rPr>
          <w:spacing w:val="-3"/>
          <w:sz w:val="24"/>
        </w:rPr>
        <w:t> </w:t>
      </w:r>
      <w:r>
        <w:rPr>
          <w:sz w:val="24"/>
        </w:rPr>
        <w:t>action. </w:t>
      </w:r>
      <w:r>
        <w:rPr>
          <w:i/>
          <w:sz w:val="24"/>
        </w:rPr>
        <w:t>Journal</w:t>
      </w:r>
      <w:r>
        <w:rPr>
          <w:i/>
          <w:spacing w:val="-2"/>
          <w:sz w:val="24"/>
        </w:rPr>
        <w:t> </w:t>
      </w:r>
      <w:r>
        <w:rPr>
          <w:i/>
          <w:sz w:val="24"/>
        </w:rPr>
        <w:t>of</w:t>
      </w:r>
      <w:r>
        <w:rPr>
          <w:i/>
          <w:spacing w:val="-1"/>
          <w:sz w:val="24"/>
        </w:rPr>
        <w:t> </w:t>
      </w:r>
      <w:r>
        <w:rPr>
          <w:i/>
          <w:sz w:val="24"/>
        </w:rPr>
        <w:t>Antimicrobial. Agents. Chemotherapy, </w:t>
      </w:r>
      <w:r>
        <w:rPr>
          <w:sz w:val="24"/>
        </w:rPr>
        <w:t>47, 948-955.</w:t>
      </w:r>
    </w:p>
    <w:p>
      <w:pPr>
        <w:spacing w:after="0" w:line="276" w:lineRule="auto"/>
        <w:jc w:val="both"/>
        <w:rPr>
          <w:sz w:val="24"/>
        </w:rPr>
        <w:sectPr>
          <w:pgSz w:w="11910" w:h="16840"/>
          <w:pgMar w:header="0" w:footer="981" w:top="1320" w:bottom="1180" w:left="1240" w:right="560"/>
        </w:sectPr>
      </w:pPr>
    </w:p>
    <w:p>
      <w:pPr>
        <w:pStyle w:val="BodyText"/>
        <w:spacing w:line="276" w:lineRule="auto" w:before="67"/>
        <w:ind w:left="1467" w:right="849" w:hanging="720"/>
        <w:jc w:val="both"/>
      </w:pPr>
      <w:r>
        <w:rPr/>
        <w:t>Batanila, K., Kokou, K., Koumaglo, K., Gbeasor, M.A., Foucault, B., Bouchet, P. and Akpangana, K. (2005). Antifungal activity of five combretaceae used in Togolese traditional medicine. </w:t>
      </w:r>
      <w:r>
        <w:rPr>
          <w:i/>
        </w:rPr>
        <w:t>Fitoterapia</w:t>
      </w:r>
      <w:r>
        <w:rPr/>
        <w:t>. 76(1): 264-268.</w:t>
      </w:r>
    </w:p>
    <w:p>
      <w:pPr>
        <w:pStyle w:val="BodyText"/>
        <w:spacing w:before="241"/>
        <w:ind w:left="747"/>
      </w:pPr>
      <w:r>
        <w:rPr/>
        <w:t>Baumann,</w:t>
      </w:r>
      <w:r>
        <w:rPr>
          <w:spacing w:val="38"/>
        </w:rPr>
        <w:t> </w:t>
      </w:r>
      <w:r>
        <w:rPr/>
        <w:t>F.</w:t>
      </w:r>
      <w:r>
        <w:rPr>
          <w:spacing w:val="38"/>
        </w:rPr>
        <w:t> </w:t>
      </w:r>
      <w:r>
        <w:rPr/>
        <w:t>and</w:t>
      </w:r>
      <w:r>
        <w:rPr>
          <w:spacing w:val="38"/>
        </w:rPr>
        <w:t> </w:t>
      </w:r>
      <w:r>
        <w:rPr/>
        <w:t>Preiss,</w:t>
      </w:r>
      <w:r>
        <w:rPr>
          <w:spacing w:val="40"/>
        </w:rPr>
        <w:t> </w:t>
      </w:r>
      <w:r>
        <w:rPr/>
        <w:t>R.</w:t>
      </w:r>
      <w:r>
        <w:rPr>
          <w:spacing w:val="38"/>
        </w:rPr>
        <w:t> </w:t>
      </w:r>
      <w:r>
        <w:rPr/>
        <w:t>(2001).</w:t>
      </w:r>
      <w:r>
        <w:rPr>
          <w:spacing w:val="37"/>
        </w:rPr>
        <w:t> </w:t>
      </w:r>
      <w:r>
        <w:rPr/>
        <w:t>Cyclophosphamide</w:t>
      </w:r>
      <w:r>
        <w:rPr>
          <w:spacing w:val="37"/>
        </w:rPr>
        <w:t> </w:t>
      </w:r>
      <w:r>
        <w:rPr/>
        <w:t>and</w:t>
      </w:r>
      <w:r>
        <w:rPr>
          <w:spacing w:val="38"/>
        </w:rPr>
        <w:t> </w:t>
      </w:r>
      <w:r>
        <w:rPr/>
        <w:t>related</w:t>
      </w:r>
      <w:r>
        <w:rPr>
          <w:spacing w:val="40"/>
        </w:rPr>
        <w:t> </w:t>
      </w:r>
      <w:r>
        <w:rPr/>
        <w:t>anticancer</w:t>
      </w:r>
      <w:r>
        <w:rPr>
          <w:spacing w:val="38"/>
        </w:rPr>
        <w:t> </w:t>
      </w:r>
      <w:r>
        <w:rPr>
          <w:spacing w:val="-2"/>
        </w:rPr>
        <w:t>drugs.</w:t>
      </w:r>
    </w:p>
    <w:p>
      <w:pPr>
        <w:spacing w:before="41"/>
        <w:ind w:left="1467" w:right="0" w:firstLine="0"/>
        <w:jc w:val="left"/>
        <w:rPr>
          <w:sz w:val="24"/>
        </w:rPr>
      </w:pPr>
      <w:r>
        <w:rPr>
          <w:i/>
          <w:sz w:val="24"/>
        </w:rPr>
        <w:t>Journal</w:t>
      </w:r>
      <w:r>
        <w:rPr>
          <w:i/>
          <w:spacing w:val="-3"/>
          <w:sz w:val="24"/>
        </w:rPr>
        <w:t> </w:t>
      </w:r>
      <w:r>
        <w:rPr>
          <w:i/>
          <w:sz w:val="24"/>
        </w:rPr>
        <w:t>of</w:t>
      </w:r>
      <w:r>
        <w:rPr>
          <w:i/>
          <w:spacing w:val="-1"/>
          <w:sz w:val="24"/>
        </w:rPr>
        <w:t> </w:t>
      </w:r>
      <w:r>
        <w:rPr>
          <w:i/>
          <w:sz w:val="24"/>
        </w:rPr>
        <w:t>Biomedical</w:t>
      </w:r>
      <w:r>
        <w:rPr>
          <w:i/>
          <w:spacing w:val="-1"/>
          <w:sz w:val="24"/>
        </w:rPr>
        <w:t> </w:t>
      </w:r>
      <w:r>
        <w:rPr>
          <w:i/>
          <w:sz w:val="24"/>
        </w:rPr>
        <w:t>Science,</w:t>
      </w:r>
      <w:r>
        <w:rPr>
          <w:i/>
          <w:spacing w:val="1"/>
          <w:sz w:val="24"/>
        </w:rPr>
        <w:t> </w:t>
      </w:r>
      <w:r>
        <w:rPr>
          <w:sz w:val="24"/>
        </w:rPr>
        <w:t>764(1):</w:t>
      </w:r>
      <w:r>
        <w:rPr>
          <w:spacing w:val="-1"/>
          <w:sz w:val="24"/>
        </w:rPr>
        <w:t> </w:t>
      </w:r>
      <w:r>
        <w:rPr>
          <w:sz w:val="24"/>
        </w:rPr>
        <w:t>173-</w:t>
      </w:r>
      <w:r>
        <w:rPr>
          <w:spacing w:val="-5"/>
          <w:sz w:val="24"/>
        </w:rPr>
        <w:t>92.</w:t>
      </w:r>
    </w:p>
    <w:p>
      <w:pPr>
        <w:pStyle w:val="BodyText"/>
        <w:spacing w:before="4"/>
      </w:pPr>
    </w:p>
    <w:p>
      <w:pPr>
        <w:pStyle w:val="BodyText"/>
        <w:spacing w:line="276" w:lineRule="auto" w:before="1"/>
        <w:ind w:left="1467" w:right="847" w:hanging="720"/>
        <w:jc w:val="both"/>
      </w:pPr>
      <w:r>
        <w:rPr/>
        <w:t>Beck, G. and Gail, S. H. (1996). Immunity and the Invertebrates (PDF). </w:t>
      </w:r>
      <w:r>
        <w:rPr>
          <w:i/>
        </w:rPr>
        <w:t>Scientific America, </w:t>
      </w:r>
      <w:r>
        <w:rPr/>
        <w:t>275(5): 60–66.</w:t>
      </w:r>
    </w:p>
    <w:p>
      <w:pPr>
        <w:pStyle w:val="BodyText"/>
        <w:spacing w:line="276" w:lineRule="auto" w:before="241"/>
        <w:ind w:left="1467" w:right="844" w:hanging="720"/>
        <w:jc w:val="both"/>
      </w:pPr>
      <w:r>
        <w:rPr/>
        <w:t>Bernd,</w:t>
      </w:r>
      <w:r>
        <w:rPr>
          <w:spacing w:val="-1"/>
        </w:rPr>
        <w:t> </w:t>
      </w:r>
      <w:r>
        <w:rPr/>
        <w:t>H.,</w:t>
      </w:r>
      <w:r>
        <w:rPr>
          <w:spacing w:val="-1"/>
        </w:rPr>
        <w:t> </w:t>
      </w:r>
      <w:r>
        <w:rPr/>
        <w:t>Christoph,</w:t>
      </w:r>
      <w:r>
        <w:rPr>
          <w:spacing w:val="-1"/>
        </w:rPr>
        <w:t> </w:t>
      </w:r>
      <w:r>
        <w:rPr/>
        <w:t>S.,</w:t>
      </w:r>
      <w:r>
        <w:rPr>
          <w:spacing w:val="-1"/>
        </w:rPr>
        <w:t> </w:t>
      </w:r>
      <w:r>
        <w:rPr/>
        <w:t>Sebastian,</w:t>
      </w:r>
      <w:r>
        <w:rPr>
          <w:spacing w:val="-1"/>
        </w:rPr>
        <w:t> </w:t>
      </w:r>
      <w:r>
        <w:rPr/>
        <w:t>A.,</w:t>
      </w:r>
      <w:r>
        <w:rPr>
          <w:spacing w:val="-1"/>
        </w:rPr>
        <w:t> </w:t>
      </w:r>
      <w:r>
        <w:rPr/>
        <w:t>Matthias,</w:t>
      </w:r>
      <w:r>
        <w:rPr>
          <w:spacing w:val="-1"/>
        </w:rPr>
        <w:t> </w:t>
      </w:r>
      <w:r>
        <w:rPr/>
        <w:t>B.,</w:t>
      </w:r>
      <w:r>
        <w:rPr>
          <w:spacing w:val="-1"/>
        </w:rPr>
        <w:t> </w:t>
      </w:r>
      <w:r>
        <w:rPr/>
        <w:t>Nina, A.B.</w:t>
      </w:r>
      <w:r>
        <w:rPr>
          <w:b/>
        </w:rPr>
        <w:t>,</w:t>
      </w:r>
      <w:r>
        <w:rPr>
          <w:b/>
          <w:spacing w:val="-1"/>
        </w:rPr>
        <w:t> </w:t>
      </w:r>
      <w:r>
        <w:rPr/>
        <w:t>Christoph,</w:t>
      </w:r>
      <w:r>
        <w:rPr>
          <w:spacing w:val="-1"/>
        </w:rPr>
        <w:t> </w:t>
      </w:r>
      <w:r>
        <w:rPr/>
        <w:t>F.</w:t>
      </w:r>
      <w:r>
        <w:rPr>
          <w:b/>
        </w:rPr>
        <w:t>,</w:t>
      </w:r>
      <w:r>
        <w:rPr>
          <w:b/>
          <w:spacing w:val="-1"/>
        </w:rPr>
        <w:t> </w:t>
      </w:r>
      <w:r>
        <w:rPr/>
        <w:t>Karl, Z.</w:t>
      </w:r>
      <w:r>
        <w:rPr>
          <w:b/>
        </w:rPr>
        <w:t>, </w:t>
      </w:r>
      <w:r>
        <w:rPr/>
        <w:t>Charles, O. R., Igor, I. and Hannes, L. (2004). Prediction of Mechanisms of Action of Antibacterial Compounds by Gene Expression Profiling</w:t>
      </w:r>
      <w:r>
        <w:rPr>
          <w:i/>
        </w:rPr>
        <w:t>. Journal of American Society for Microbiology</w:t>
      </w:r>
      <w:r>
        <w:rPr/>
        <w:t>; 48(8): 2838-2844.</w:t>
      </w:r>
    </w:p>
    <w:p>
      <w:pPr>
        <w:pStyle w:val="BodyText"/>
        <w:spacing w:line="276" w:lineRule="auto" w:before="241"/>
        <w:ind w:left="1467" w:right="844" w:hanging="720"/>
        <w:jc w:val="both"/>
      </w:pPr>
      <w:r>
        <w:rPr/>
        <w:t>Bert, F., Noussair, L., Lambert-Zechovsky, N. and Valla, D. (2005). Viridans group streptococci: an underestimated cause of spontaneous bacterial peritonitis in cirrhotic patients with ascites. </w:t>
      </w:r>
      <w:r>
        <w:rPr>
          <w:i/>
        </w:rPr>
        <w:t>European Journal of Gastroenterology Hepatology</w:t>
      </w:r>
      <w:r>
        <w:rPr/>
        <w:t>, 17(9): 929-33.</w:t>
      </w:r>
    </w:p>
    <w:p>
      <w:pPr>
        <w:pStyle w:val="BodyText"/>
        <w:spacing w:line="276" w:lineRule="auto" w:before="237"/>
        <w:ind w:left="1467" w:right="846" w:hanging="720"/>
        <w:jc w:val="both"/>
      </w:pPr>
      <w:r>
        <w:rPr/>
        <w:t>Boyle, J.J., Christou, I., Iqbal, M.B., Nguyen, A.T., Leung, V.W.Y., Evans, P.C., Liu, Y., Johns, M., Kirkham, P. and Haskard, D.O. (2012), Solid-Phase Immunoglobulins IgG and IgM Activate Macrophages with Solid-Phase IgM Acting via a Novel Scavenger Receptor A Pathway, </w:t>
      </w:r>
      <w:r>
        <w:rPr>
          <w:i/>
        </w:rPr>
        <w:t>American Journal of Pathology</w:t>
      </w:r>
      <w:r>
        <w:rPr/>
        <w:t>, 181(1):347-361.</w:t>
      </w:r>
    </w:p>
    <w:p>
      <w:pPr>
        <w:pStyle w:val="BodyText"/>
      </w:pPr>
    </w:p>
    <w:p>
      <w:pPr>
        <w:pStyle w:val="BodyText"/>
      </w:pPr>
    </w:p>
    <w:p>
      <w:pPr>
        <w:pStyle w:val="BodyText"/>
      </w:pPr>
    </w:p>
    <w:p>
      <w:pPr>
        <w:pStyle w:val="BodyText"/>
        <w:spacing w:before="12"/>
      </w:pPr>
    </w:p>
    <w:p>
      <w:pPr>
        <w:pStyle w:val="BodyText"/>
        <w:tabs>
          <w:tab w:pos="3330" w:val="left" w:leader="none"/>
          <w:tab w:pos="4894" w:val="left" w:leader="none"/>
          <w:tab w:pos="6566" w:val="left" w:leader="none"/>
          <w:tab w:pos="8450" w:val="left" w:leader="none"/>
        </w:tabs>
        <w:spacing w:line="276" w:lineRule="auto"/>
        <w:ind w:left="1467" w:right="846" w:hanging="720"/>
        <w:jc w:val="both"/>
      </w:pPr>
      <w:r>
        <w:rPr/>
        <w:t>Bruce, A., Alexander, J., Julian, L., Martin, R., Keith, R. and Peter, W. (2002). Leukocyte function and percentage breakdown: Molecular Biology of the Cell </w:t>
      </w:r>
      <w:r>
        <w:rPr>
          <w:spacing w:val="-2"/>
        </w:rPr>
        <w:t>(4</w:t>
      </w:r>
      <w:r>
        <w:rPr>
          <w:spacing w:val="-2"/>
          <w:vertAlign w:val="superscript"/>
        </w:rPr>
        <w:t>th</w:t>
      </w:r>
      <w:r>
        <w:rPr>
          <w:spacing w:val="-2"/>
          <w:vertAlign w:val="baseline"/>
        </w:rPr>
        <w:t>ed.).</w:t>
      </w:r>
      <w:r>
        <w:rPr>
          <w:vertAlign w:val="baseline"/>
        </w:rPr>
        <w:tab/>
      </w:r>
      <w:r>
        <w:rPr>
          <w:spacing w:val="-4"/>
          <w:vertAlign w:val="baseline"/>
        </w:rPr>
        <w:t>New</w:t>
      </w:r>
      <w:r>
        <w:rPr>
          <w:vertAlign w:val="baseline"/>
        </w:rPr>
        <w:tab/>
      </w:r>
      <w:r>
        <w:rPr>
          <w:spacing w:val="-4"/>
          <w:vertAlign w:val="baseline"/>
        </w:rPr>
        <w:t>York:</w:t>
      </w:r>
      <w:r>
        <w:rPr>
          <w:vertAlign w:val="baseline"/>
        </w:rPr>
        <w:tab/>
      </w:r>
      <w:r>
        <w:rPr>
          <w:spacing w:val="-2"/>
          <w:vertAlign w:val="baseline"/>
        </w:rPr>
        <w:t>Garland</w:t>
      </w:r>
      <w:r>
        <w:rPr>
          <w:vertAlign w:val="baseline"/>
        </w:rPr>
        <w:tab/>
      </w:r>
      <w:r>
        <w:rPr>
          <w:spacing w:val="-2"/>
          <w:vertAlign w:val="baseline"/>
        </w:rPr>
        <w:t>Science. </w:t>
      </w:r>
      <w:hyperlink r:id="rId13">
        <w:r>
          <w:rPr>
            <w:spacing w:val="-2"/>
            <w:vertAlign w:val="baseline"/>
          </w:rPr>
          <w:t>http://www.quickiwiki.com/en/Immune_cells.</w:t>
        </w:r>
      </w:hyperlink>
    </w:p>
    <w:p>
      <w:pPr>
        <w:pStyle w:val="BodyText"/>
        <w:spacing w:before="42"/>
      </w:pPr>
    </w:p>
    <w:p>
      <w:pPr>
        <w:spacing w:line="276" w:lineRule="auto" w:before="0"/>
        <w:ind w:left="1467" w:right="848" w:hanging="720"/>
        <w:jc w:val="both"/>
        <w:rPr>
          <w:sz w:val="24"/>
        </w:rPr>
      </w:pPr>
      <w:r>
        <w:rPr>
          <w:sz w:val="24"/>
        </w:rPr>
        <w:t>Buckley, R.H. (2006). Diagnostic and clinical care guidelines for primary immunodeficiency diseases. </w:t>
      </w:r>
      <w:r>
        <w:rPr>
          <w:i/>
          <w:sz w:val="24"/>
        </w:rPr>
        <w:t>Immunology deficiency foundation. www primary immune.org </w:t>
      </w:r>
      <w:r>
        <w:rPr>
          <w:sz w:val="24"/>
        </w:rPr>
        <w:t>( August 28, 2009).</w:t>
      </w:r>
    </w:p>
    <w:p>
      <w:pPr>
        <w:spacing w:line="276" w:lineRule="auto" w:before="240"/>
        <w:ind w:left="1467" w:right="848" w:hanging="720"/>
        <w:jc w:val="both"/>
        <w:rPr>
          <w:sz w:val="24"/>
        </w:rPr>
      </w:pPr>
      <w:r>
        <w:rPr>
          <w:sz w:val="24"/>
        </w:rPr>
        <w:t>Burkill, H.M. (1985). </w:t>
      </w:r>
      <w:r>
        <w:rPr>
          <w:i/>
          <w:sz w:val="24"/>
        </w:rPr>
        <w:t>Useful plants of west tropical Africa </w:t>
      </w:r>
      <w:r>
        <w:rPr>
          <w:sz w:val="24"/>
        </w:rPr>
        <w:t>vol. 1 2</w:t>
      </w:r>
      <w:r>
        <w:rPr>
          <w:sz w:val="24"/>
          <w:vertAlign w:val="superscript"/>
        </w:rPr>
        <w:t>nd</w:t>
      </w:r>
      <w:r>
        <w:rPr>
          <w:sz w:val="24"/>
          <w:vertAlign w:val="baseline"/>
        </w:rPr>
        <w:t> edition. Royal botanic gardens, England pp. 389-401.</w:t>
      </w:r>
      <w:r>
        <w:rPr>
          <w:spacing w:val="40"/>
          <w:sz w:val="24"/>
          <w:vertAlign w:val="baseline"/>
        </w:rPr>
        <w:t> </w:t>
      </w:r>
      <w:hyperlink r:id="rId14">
        <w:r>
          <w:rPr>
            <w:sz w:val="24"/>
            <w:vertAlign w:val="baseline"/>
          </w:rPr>
          <w:t>http://www.feedipedia.org/node/16330.</w:t>
        </w:r>
      </w:hyperlink>
    </w:p>
    <w:p>
      <w:pPr>
        <w:pStyle w:val="BodyText"/>
        <w:spacing w:before="242"/>
        <w:ind w:left="747"/>
      </w:pPr>
      <w:r>
        <w:rPr/>
        <w:t>Buttarello,</w:t>
      </w:r>
      <w:r>
        <w:rPr>
          <w:spacing w:val="30"/>
        </w:rPr>
        <w:t> </w:t>
      </w:r>
      <w:r>
        <w:rPr/>
        <w:t>M.</w:t>
      </w:r>
      <w:r>
        <w:rPr>
          <w:spacing w:val="33"/>
        </w:rPr>
        <w:t> </w:t>
      </w:r>
      <w:r>
        <w:rPr/>
        <w:t>and</w:t>
      </w:r>
      <w:r>
        <w:rPr>
          <w:spacing w:val="32"/>
        </w:rPr>
        <w:t> </w:t>
      </w:r>
      <w:r>
        <w:rPr/>
        <w:t>Plebani,</w:t>
      </w:r>
      <w:r>
        <w:rPr>
          <w:spacing w:val="33"/>
        </w:rPr>
        <w:t> </w:t>
      </w:r>
      <w:r>
        <w:rPr/>
        <w:t>M.</w:t>
      </w:r>
      <w:r>
        <w:rPr>
          <w:spacing w:val="33"/>
        </w:rPr>
        <w:t> </w:t>
      </w:r>
      <w:r>
        <w:rPr/>
        <w:t>(2008).</w:t>
      </w:r>
      <w:r>
        <w:rPr>
          <w:spacing w:val="31"/>
        </w:rPr>
        <w:t> </w:t>
      </w:r>
      <w:r>
        <w:rPr/>
        <w:t>Automated</w:t>
      </w:r>
      <w:r>
        <w:rPr>
          <w:spacing w:val="33"/>
        </w:rPr>
        <w:t> </w:t>
      </w:r>
      <w:r>
        <w:rPr/>
        <w:t>blood</w:t>
      </w:r>
      <w:r>
        <w:rPr>
          <w:spacing w:val="32"/>
        </w:rPr>
        <w:t> </w:t>
      </w:r>
      <w:r>
        <w:rPr/>
        <w:t>cell</w:t>
      </w:r>
      <w:r>
        <w:rPr>
          <w:spacing w:val="34"/>
        </w:rPr>
        <w:t> </w:t>
      </w:r>
      <w:r>
        <w:rPr/>
        <w:t>counts:</w:t>
      </w:r>
      <w:r>
        <w:rPr>
          <w:spacing w:val="33"/>
        </w:rPr>
        <w:t> </w:t>
      </w:r>
      <w:r>
        <w:rPr/>
        <w:t>state</w:t>
      </w:r>
      <w:r>
        <w:rPr>
          <w:spacing w:val="31"/>
        </w:rPr>
        <w:t> </w:t>
      </w:r>
      <w:r>
        <w:rPr/>
        <w:t>of</w:t>
      </w:r>
      <w:r>
        <w:rPr>
          <w:spacing w:val="32"/>
        </w:rPr>
        <w:t> </w:t>
      </w:r>
      <w:r>
        <w:rPr/>
        <w:t>the</w:t>
      </w:r>
      <w:r>
        <w:rPr>
          <w:spacing w:val="32"/>
        </w:rPr>
        <w:t> </w:t>
      </w:r>
      <w:r>
        <w:rPr>
          <w:spacing w:val="-4"/>
        </w:rPr>
        <w:t>art.</w:t>
      </w:r>
    </w:p>
    <w:p>
      <w:pPr>
        <w:spacing w:before="41"/>
        <w:ind w:left="1467" w:right="0" w:firstLine="0"/>
        <w:jc w:val="left"/>
        <w:rPr>
          <w:sz w:val="24"/>
        </w:rPr>
      </w:pPr>
      <w:r>
        <w:rPr>
          <w:i/>
          <w:sz w:val="24"/>
        </w:rPr>
        <w:t>American</w:t>
      </w:r>
      <w:r>
        <w:rPr>
          <w:i/>
          <w:spacing w:val="-1"/>
          <w:sz w:val="24"/>
        </w:rPr>
        <w:t> </w:t>
      </w:r>
      <w:r>
        <w:rPr>
          <w:i/>
          <w:sz w:val="24"/>
        </w:rPr>
        <w:t>Journal</w:t>
      </w:r>
      <w:r>
        <w:rPr>
          <w:i/>
          <w:spacing w:val="-1"/>
          <w:sz w:val="24"/>
        </w:rPr>
        <w:t> </w:t>
      </w:r>
      <w:r>
        <w:rPr>
          <w:i/>
          <w:sz w:val="24"/>
        </w:rPr>
        <w:t>of</w:t>
      </w:r>
      <w:r>
        <w:rPr>
          <w:i/>
          <w:spacing w:val="-1"/>
          <w:sz w:val="24"/>
        </w:rPr>
        <w:t> </w:t>
      </w:r>
      <w:r>
        <w:rPr>
          <w:i/>
          <w:sz w:val="24"/>
        </w:rPr>
        <w:t>Clinical</w:t>
      </w:r>
      <w:r>
        <w:rPr>
          <w:i/>
          <w:spacing w:val="-1"/>
          <w:sz w:val="24"/>
        </w:rPr>
        <w:t> </w:t>
      </w:r>
      <w:r>
        <w:rPr>
          <w:i/>
          <w:sz w:val="24"/>
        </w:rPr>
        <w:t>Pathology</w:t>
      </w:r>
      <w:r>
        <w:rPr>
          <w:sz w:val="24"/>
        </w:rPr>
        <w:t>,</w:t>
      </w:r>
      <w:r>
        <w:rPr>
          <w:spacing w:val="-1"/>
          <w:sz w:val="24"/>
        </w:rPr>
        <w:t> </w:t>
      </w:r>
      <w:r>
        <w:rPr>
          <w:sz w:val="24"/>
        </w:rPr>
        <w:t>130(1): 104-</w:t>
      </w:r>
      <w:r>
        <w:rPr>
          <w:spacing w:val="-5"/>
          <w:sz w:val="24"/>
        </w:rPr>
        <w:t>16.</w:t>
      </w:r>
    </w:p>
    <w:p>
      <w:pPr>
        <w:pStyle w:val="BodyText"/>
        <w:spacing w:before="4"/>
      </w:pPr>
    </w:p>
    <w:p>
      <w:pPr>
        <w:pStyle w:val="BodyText"/>
        <w:spacing w:line="276" w:lineRule="auto"/>
        <w:ind w:left="1467" w:right="846" w:hanging="720"/>
        <w:jc w:val="both"/>
      </w:pPr>
      <w:r>
        <w:rPr/>
        <w:t>Carol, M.P. (2007). Essentials of Pathophysiology: concepts of altered health states. Hagerstown,</w:t>
      </w:r>
      <w:r>
        <w:rPr>
          <w:spacing w:val="73"/>
        </w:rPr>
        <w:t>   </w:t>
      </w:r>
      <w:r>
        <w:rPr/>
        <w:t>MD:</w:t>
      </w:r>
      <w:r>
        <w:rPr>
          <w:spacing w:val="74"/>
        </w:rPr>
        <w:t>   </w:t>
      </w:r>
      <w:r>
        <w:rPr/>
        <w:t>Lippincott</w:t>
      </w:r>
      <w:r>
        <w:rPr>
          <w:spacing w:val="73"/>
        </w:rPr>
        <w:t>   </w:t>
      </w:r>
      <w:r>
        <w:rPr/>
        <w:t>Williams</w:t>
      </w:r>
      <w:r>
        <w:rPr>
          <w:spacing w:val="73"/>
        </w:rPr>
        <w:t>   </w:t>
      </w:r>
      <w:r>
        <w:rPr/>
        <w:t>and</w:t>
      </w:r>
      <w:r>
        <w:rPr>
          <w:spacing w:val="75"/>
        </w:rPr>
        <w:t>   </w:t>
      </w:r>
      <w:r>
        <w:rPr/>
        <w:t>Wilkins.</w:t>
      </w:r>
      <w:r>
        <w:rPr>
          <w:spacing w:val="72"/>
        </w:rPr>
        <w:t>   </w:t>
      </w:r>
      <w:r>
        <w:rPr/>
        <w:t>p.</w:t>
      </w:r>
      <w:r>
        <w:rPr>
          <w:spacing w:val="1"/>
        </w:rPr>
        <w:t> </w:t>
      </w:r>
      <w:r>
        <w:rPr>
          <w:spacing w:val="-4"/>
        </w:rPr>
        <w:t>270.</w:t>
      </w:r>
    </w:p>
    <w:p>
      <w:pPr>
        <w:spacing w:after="0" w:line="276" w:lineRule="auto"/>
        <w:jc w:val="both"/>
        <w:sectPr>
          <w:pgSz w:w="11910" w:h="16840"/>
          <w:pgMar w:header="0" w:footer="981" w:top="1320" w:bottom="1180" w:left="1240" w:right="560"/>
        </w:sectPr>
      </w:pPr>
    </w:p>
    <w:p>
      <w:pPr>
        <w:pStyle w:val="BodyText"/>
        <w:spacing w:line="276" w:lineRule="auto" w:before="67"/>
        <w:ind w:left="1467" w:right="1633"/>
      </w:pPr>
      <w:hyperlink r:id="rId15">
        <w:r>
          <w:rPr>
            <w:spacing w:val="-2"/>
          </w:rPr>
          <w:t>http://www.chapters.indigo.ca/usedbooks/essentials-of-pathophysiology-</w:t>
        </w:r>
      </w:hyperlink>
      <w:r>
        <w:rPr>
          <w:spacing w:val="-2"/>
        </w:rPr>
        <w:t> concepts-of/grp9027467-rare.html.</w:t>
      </w:r>
    </w:p>
    <w:p>
      <w:pPr>
        <w:pStyle w:val="BodyText"/>
        <w:spacing w:before="239"/>
        <w:ind w:left="747"/>
        <w:jc w:val="both"/>
      </w:pPr>
      <w:r>
        <w:rPr/>
        <w:t>Chang,</w:t>
      </w:r>
      <w:r>
        <w:rPr>
          <w:spacing w:val="40"/>
        </w:rPr>
        <w:t> </w:t>
      </w:r>
      <w:r>
        <w:rPr/>
        <w:t>L.X.,</w:t>
      </w:r>
      <w:r>
        <w:rPr>
          <w:spacing w:val="40"/>
        </w:rPr>
        <w:t> </w:t>
      </w:r>
      <w:r>
        <w:rPr/>
        <w:t>Christopher,</w:t>
      </w:r>
      <w:r>
        <w:rPr>
          <w:spacing w:val="38"/>
        </w:rPr>
        <w:t> </w:t>
      </w:r>
      <w:r>
        <w:rPr/>
        <w:t>S.A.,</w:t>
      </w:r>
      <w:r>
        <w:rPr>
          <w:spacing w:val="38"/>
        </w:rPr>
        <w:t> </w:t>
      </w:r>
      <w:r>
        <w:rPr/>
        <w:t>Gregory,</w:t>
      </w:r>
      <w:r>
        <w:rPr>
          <w:spacing w:val="41"/>
        </w:rPr>
        <w:t> </w:t>
      </w:r>
      <w:r>
        <w:rPr/>
        <w:t>H.T.,</w:t>
      </w:r>
      <w:r>
        <w:rPr>
          <w:spacing w:val="40"/>
        </w:rPr>
        <w:t> </w:t>
      </w:r>
      <w:r>
        <w:rPr/>
        <w:t>Vicki,</w:t>
      </w:r>
      <w:r>
        <w:rPr>
          <w:spacing w:val="40"/>
        </w:rPr>
        <w:t> </w:t>
      </w:r>
      <w:r>
        <w:rPr/>
        <w:t>R.K.,</w:t>
      </w:r>
      <w:r>
        <w:rPr>
          <w:spacing w:val="38"/>
        </w:rPr>
        <w:t> </w:t>
      </w:r>
      <w:r>
        <w:rPr/>
        <w:t>Wlodzimierz,</w:t>
      </w:r>
      <w:r>
        <w:rPr>
          <w:spacing w:val="39"/>
        </w:rPr>
        <w:t> </w:t>
      </w:r>
      <w:r>
        <w:rPr/>
        <w:t>M.,</w:t>
      </w:r>
      <w:r>
        <w:rPr>
          <w:spacing w:val="39"/>
        </w:rPr>
        <w:t>  </w:t>
      </w:r>
      <w:r>
        <w:rPr>
          <w:spacing w:val="-4"/>
        </w:rPr>
        <w:t>Xin,</w:t>
      </w:r>
    </w:p>
    <w:p>
      <w:pPr>
        <w:pStyle w:val="BodyText"/>
        <w:spacing w:before="43"/>
        <w:ind w:left="1467"/>
        <w:jc w:val="both"/>
      </w:pPr>
      <w:r>
        <w:rPr/>
        <w:t>X.Z.</w:t>
      </w:r>
      <w:r>
        <w:rPr>
          <w:spacing w:val="2"/>
        </w:rPr>
        <w:t> </w:t>
      </w:r>
      <w:r>
        <w:rPr/>
        <w:t>and</w:t>
      </w:r>
      <w:r>
        <w:rPr>
          <w:spacing w:val="2"/>
        </w:rPr>
        <w:t> </w:t>
      </w:r>
      <w:r>
        <w:rPr/>
        <w:t>Yon, S.K. (1998).</w:t>
      </w:r>
      <w:r>
        <w:rPr>
          <w:spacing w:val="3"/>
        </w:rPr>
        <w:t> </w:t>
      </w:r>
      <w:r>
        <w:rPr/>
        <w:t>Targeting</w:t>
      </w:r>
      <w:r>
        <w:rPr>
          <w:spacing w:val="-2"/>
        </w:rPr>
        <w:t> </w:t>
      </w:r>
      <w:r>
        <w:rPr/>
        <w:t>the</w:t>
      </w:r>
      <w:r>
        <w:rPr>
          <w:spacing w:val="5"/>
        </w:rPr>
        <w:t> </w:t>
      </w:r>
      <w:r>
        <w:rPr/>
        <w:t>IL-15</w:t>
      </w:r>
      <w:r>
        <w:rPr>
          <w:spacing w:val="1"/>
        </w:rPr>
        <w:t> </w:t>
      </w:r>
      <w:r>
        <w:rPr/>
        <w:t>Receptor</w:t>
      </w:r>
      <w:r>
        <w:rPr>
          <w:spacing w:val="3"/>
        </w:rPr>
        <w:t> </w:t>
      </w:r>
      <w:r>
        <w:rPr/>
        <w:t>with</w:t>
      </w:r>
      <w:r>
        <w:rPr>
          <w:spacing w:val="1"/>
        </w:rPr>
        <w:t> </w:t>
      </w:r>
      <w:r>
        <w:rPr/>
        <w:t>an</w:t>
      </w:r>
      <w:r>
        <w:rPr>
          <w:spacing w:val="3"/>
        </w:rPr>
        <w:t> </w:t>
      </w:r>
      <w:r>
        <w:rPr/>
        <w:t>Antagonist</w:t>
      </w:r>
      <w:r>
        <w:rPr>
          <w:spacing w:val="4"/>
        </w:rPr>
        <w:t> </w:t>
      </w:r>
      <w:r>
        <w:rPr>
          <w:spacing w:val="-5"/>
        </w:rPr>
        <w:t>IL-</w:t>
      </w:r>
    </w:p>
    <w:p>
      <w:pPr>
        <w:spacing w:line="276" w:lineRule="auto" w:before="41"/>
        <w:ind w:left="1467" w:right="845" w:firstLine="0"/>
        <w:jc w:val="both"/>
        <w:rPr>
          <w:sz w:val="24"/>
        </w:rPr>
      </w:pPr>
      <w:r>
        <w:rPr>
          <w:sz w:val="24"/>
        </w:rPr>
        <w:t>15 Mutant/Fcγ2a Protein Blocks Delayed-Type Hypersensitivity. </w:t>
      </w:r>
      <w:r>
        <w:rPr>
          <w:i/>
          <w:sz w:val="24"/>
        </w:rPr>
        <w:t>Journal of Immunology</w:t>
      </w:r>
      <w:r>
        <w:rPr>
          <w:sz w:val="24"/>
        </w:rPr>
        <w:t>, 160(12): 5742-5748.</w:t>
      </w:r>
    </w:p>
    <w:p>
      <w:pPr>
        <w:pStyle w:val="BodyText"/>
        <w:spacing w:line="276" w:lineRule="auto"/>
        <w:ind w:left="1467" w:right="846" w:hanging="720"/>
        <w:jc w:val="both"/>
      </w:pPr>
      <w:r>
        <w:rPr/>
        <w:t>Coico, R. and Sunshine, G. (2009</w:t>
      </w:r>
      <w:r>
        <w:rPr>
          <w:i/>
        </w:rPr>
        <w:t>). Hypersensitivity (Type IV). </w:t>
      </w:r>
      <w:r>
        <w:rPr/>
        <w:t>In: Coico R. and Sunshine, G. (Eds) Immunology: A Short Course, 6th edition, pp. 247–254. Hoboken: Wiley.</w:t>
      </w:r>
    </w:p>
    <w:p>
      <w:pPr>
        <w:pStyle w:val="BodyText"/>
        <w:spacing w:before="41"/>
      </w:pPr>
    </w:p>
    <w:p>
      <w:pPr>
        <w:pStyle w:val="BodyText"/>
        <w:spacing w:line="278" w:lineRule="auto"/>
        <w:ind w:left="1467" w:right="854" w:hanging="720"/>
        <w:jc w:val="both"/>
      </w:pPr>
      <w:r>
        <w:rPr/>
        <w:t>Cupps, T.R., Edgar, L.C. and Fauci, A.S. (1982). Suppression of human B</w:t>
      </w:r>
      <w:r>
        <w:rPr>
          <w:spacing w:val="40"/>
        </w:rPr>
        <w:t> </w:t>
      </w:r>
      <w:r>
        <w:rPr/>
        <w:t>lymphocyte function by cyclophosphamide. </w:t>
      </w:r>
      <w:r>
        <w:rPr>
          <w:i/>
        </w:rPr>
        <w:t>Journal of Immunology</w:t>
      </w:r>
      <w:r>
        <w:rPr/>
        <w:t>, 128(8):2453-2459.</w:t>
      </w:r>
    </w:p>
    <w:p>
      <w:pPr>
        <w:pStyle w:val="BodyText"/>
        <w:spacing w:before="36"/>
      </w:pPr>
    </w:p>
    <w:p>
      <w:pPr>
        <w:spacing w:line="276" w:lineRule="auto" w:before="1"/>
        <w:ind w:left="1467" w:right="845" w:hanging="720"/>
        <w:jc w:val="both"/>
        <w:rPr>
          <w:sz w:val="24"/>
        </w:rPr>
      </w:pPr>
      <w:r>
        <w:rPr>
          <w:sz w:val="24"/>
        </w:rPr>
        <w:t>Daniel, O. and Rusian, M. (2012). Evolution of inflammatory diseases. </w:t>
      </w:r>
      <w:r>
        <w:rPr>
          <w:i/>
          <w:sz w:val="24"/>
        </w:rPr>
        <w:t>Journal of Current Biology; </w:t>
      </w:r>
      <w:r>
        <w:rPr>
          <w:sz w:val="24"/>
        </w:rPr>
        <w:t>22(17): 733-740.</w:t>
      </w:r>
    </w:p>
    <w:p>
      <w:pPr>
        <w:pStyle w:val="BodyText"/>
        <w:spacing w:before="42"/>
      </w:pPr>
    </w:p>
    <w:p>
      <w:pPr>
        <w:pStyle w:val="BodyText"/>
        <w:ind w:left="807"/>
        <w:jc w:val="both"/>
      </w:pPr>
      <w:r>
        <w:rPr/>
        <w:t>Danmalam,</w:t>
      </w:r>
      <w:r>
        <w:rPr>
          <w:spacing w:val="3"/>
        </w:rPr>
        <w:t> </w:t>
      </w:r>
      <w:r>
        <w:rPr/>
        <w:t>U.H.,</w:t>
      </w:r>
      <w:r>
        <w:rPr>
          <w:spacing w:val="5"/>
        </w:rPr>
        <w:t> </w:t>
      </w:r>
      <w:r>
        <w:rPr/>
        <w:t>Idoko,</w:t>
      </w:r>
      <w:r>
        <w:rPr>
          <w:spacing w:val="5"/>
        </w:rPr>
        <w:t> </w:t>
      </w:r>
      <w:r>
        <w:rPr/>
        <w:t>V.E.,</w:t>
      </w:r>
      <w:r>
        <w:rPr>
          <w:spacing w:val="1"/>
        </w:rPr>
        <w:t> </w:t>
      </w:r>
      <w:r>
        <w:rPr/>
        <w:t>Yaro,</w:t>
      </w:r>
      <w:r>
        <w:rPr>
          <w:spacing w:val="2"/>
        </w:rPr>
        <w:t> </w:t>
      </w:r>
      <w:r>
        <w:rPr/>
        <w:t>A.H.,</w:t>
      </w:r>
      <w:r>
        <w:rPr>
          <w:spacing w:val="3"/>
        </w:rPr>
        <w:t> </w:t>
      </w:r>
      <w:r>
        <w:rPr/>
        <w:t>Magaji,</w:t>
      </w:r>
      <w:r>
        <w:rPr>
          <w:spacing w:val="4"/>
        </w:rPr>
        <w:t> </w:t>
      </w:r>
      <w:r>
        <w:rPr/>
        <w:t>M.G.,</w:t>
      </w:r>
      <w:r>
        <w:rPr>
          <w:spacing w:val="2"/>
        </w:rPr>
        <w:t> </w:t>
      </w:r>
      <w:r>
        <w:rPr/>
        <w:t>Agunu,</w:t>
      </w:r>
      <w:r>
        <w:rPr>
          <w:spacing w:val="3"/>
        </w:rPr>
        <w:t> </w:t>
      </w:r>
      <w:r>
        <w:rPr/>
        <w:t>A.</w:t>
      </w:r>
      <w:r>
        <w:rPr>
          <w:spacing w:val="3"/>
        </w:rPr>
        <w:t> </w:t>
      </w:r>
      <w:r>
        <w:rPr/>
        <w:t>and</w:t>
      </w:r>
      <w:r>
        <w:rPr>
          <w:spacing w:val="5"/>
        </w:rPr>
        <w:t> </w:t>
      </w:r>
      <w:r>
        <w:rPr>
          <w:spacing w:val="-2"/>
        </w:rPr>
        <w:t>Abdurahman,</w:t>
      </w:r>
    </w:p>
    <w:p>
      <w:pPr>
        <w:spacing w:line="276" w:lineRule="auto" w:before="41"/>
        <w:ind w:left="1467" w:right="849" w:firstLine="0"/>
        <w:jc w:val="both"/>
        <w:rPr>
          <w:sz w:val="24"/>
        </w:rPr>
      </w:pPr>
      <w:r>
        <w:rPr>
          <w:sz w:val="24"/>
        </w:rPr>
        <w:t>E.M. (2011). Phytochemical and anticonvulsant screening of the aqueous</w:t>
      </w:r>
      <w:r>
        <w:rPr>
          <w:spacing w:val="40"/>
          <w:sz w:val="24"/>
        </w:rPr>
        <w:t> </w:t>
      </w:r>
      <w:r>
        <w:rPr>
          <w:sz w:val="24"/>
        </w:rPr>
        <w:t>ethanol extract of </w:t>
      </w:r>
      <w:r>
        <w:rPr>
          <w:i/>
          <w:sz w:val="24"/>
        </w:rPr>
        <w:t>Combretum micranthum </w:t>
      </w:r>
      <w:r>
        <w:rPr>
          <w:sz w:val="24"/>
        </w:rPr>
        <w:t>G. Don. Root (combretaceae). </w:t>
      </w:r>
      <w:r>
        <w:rPr>
          <w:i/>
          <w:sz w:val="24"/>
        </w:rPr>
        <w:t>Nigerian Journal of Pharmaceutical Scienc, </w:t>
      </w:r>
      <w:r>
        <w:rPr>
          <w:sz w:val="24"/>
        </w:rPr>
        <w:t>10 (1): 32-38.</w:t>
      </w:r>
    </w:p>
    <w:p>
      <w:pPr>
        <w:pStyle w:val="BodyText"/>
        <w:spacing w:before="41"/>
      </w:pPr>
    </w:p>
    <w:p>
      <w:pPr>
        <w:spacing w:line="276" w:lineRule="auto" w:before="0"/>
        <w:ind w:left="1467" w:right="844" w:hanging="720"/>
        <w:jc w:val="both"/>
        <w:rPr>
          <w:sz w:val="24"/>
        </w:rPr>
      </w:pPr>
      <w:r>
        <w:rPr>
          <w:sz w:val="24"/>
        </w:rPr>
        <w:t>Dellinger, R.P. (2003). Cardiovascular management of septic shock. </w:t>
      </w:r>
      <w:r>
        <w:rPr>
          <w:i/>
          <w:sz w:val="24"/>
        </w:rPr>
        <w:t>Critical Care Medicine</w:t>
      </w:r>
      <w:r>
        <w:rPr>
          <w:sz w:val="24"/>
        </w:rPr>
        <w:t>, 31(3): 946–955.</w:t>
      </w:r>
    </w:p>
    <w:p>
      <w:pPr>
        <w:pStyle w:val="BodyText"/>
        <w:spacing w:before="42"/>
      </w:pPr>
    </w:p>
    <w:p>
      <w:pPr>
        <w:spacing w:line="276" w:lineRule="auto" w:before="1"/>
        <w:ind w:left="1467" w:right="843" w:hanging="720"/>
        <w:jc w:val="both"/>
        <w:rPr>
          <w:sz w:val="24"/>
        </w:rPr>
      </w:pPr>
      <w:r>
        <w:rPr>
          <w:sz w:val="24"/>
        </w:rPr>
        <w:t>Dinarello,</w:t>
      </w:r>
      <w:r>
        <w:rPr>
          <w:spacing w:val="-2"/>
          <w:sz w:val="24"/>
        </w:rPr>
        <w:t> </w:t>
      </w:r>
      <w:r>
        <w:rPr>
          <w:sz w:val="24"/>
        </w:rPr>
        <w:t>D.L.,</w:t>
      </w:r>
      <w:r>
        <w:rPr>
          <w:spacing w:val="-1"/>
          <w:sz w:val="24"/>
        </w:rPr>
        <w:t> </w:t>
      </w:r>
      <w:r>
        <w:rPr>
          <w:sz w:val="24"/>
        </w:rPr>
        <w:t>Smith,</w:t>
      </w:r>
      <w:r>
        <w:rPr>
          <w:spacing w:val="-2"/>
          <w:sz w:val="24"/>
        </w:rPr>
        <w:t> </w:t>
      </w:r>
      <w:r>
        <w:rPr>
          <w:sz w:val="24"/>
        </w:rPr>
        <w:t>B.G.</w:t>
      </w:r>
      <w:r>
        <w:rPr>
          <w:spacing w:val="-2"/>
          <w:sz w:val="24"/>
        </w:rPr>
        <w:t> </w:t>
      </w:r>
      <w:r>
        <w:rPr>
          <w:sz w:val="24"/>
        </w:rPr>
        <w:t>and</w:t>
      </w:r>
      <w:r>
        <w:rPr>
          <w:spacing w:val="-1"/>
          <w:sz w:val="24"/>
        </w:rPr>
        <w:t> </w:t>
      </w:r>
      <w:r>
        <w:rPr>
          <w:sz w:val="24"/>
        </w:rPr>
        <w:t>Bukoric-Wess,</w:t>
      </w:r>
      <w:r>
        <w:rPr>
          <w:spacing w:val="-2"/>
          <w:sz w:val="24"/>
        </w:rPr>
        <w:t> </w:t>
      </w:r>
      <w:r>
        <w:rPr>
          <w:sz w:val="24"/>
        </w:rPr>
        <w:t>J.A.</w:t>
      </w:r>
      <w:r>
        <w:rPr>
          <w:spacing w:val="-2"/>
          <w:sz w:val="24"/>
        </w:rPr>
        <w:t> </w:t>
      </w:r>
      <w:r>
        <w:rPr>
          <w:sz w:val="24"/>
        </w:rPr>
        <w:t>(2005).</w:t>
      </w:r>
      <w:r>
        <w:rPr>
          <w:spacing w:val="-1"/>
          <w:sz w:val="24"/>
        </w:rPr>
        <w:t> </w:t>
      </w:r>
      <w:r>
        <w:rPr>
          <w:sz w:val="24"/>
        </w:rPr>
        <w:t>Use</w:t>
      </w:r>
      <w:r>
        <w:rPr>
          <w:spacing w:val="-4"/>
          <w:sz w:val="24"/>
        </w:rPr>
        <w:t> </w:t>
      </w:r>
      <w:r>
        <w:rPr>
          <w:sz w:val="24"/>
        </w:rPr>
        <w:t>of</w:t>
      </w:r>
      <w:r>
        <w:rPr>
          <w:spacing w:val="-1"/>
          <w:sz w:val="24"/>
        </w:rPr>
        <w:t> </w:t>
      </w:r>
      <w:r>
        <w:rPr>
          <w:sz w:val="24"/>
        </w:rPr>
        <w:t>an</w:t>
      </w:r>
      <w:r>
        <w:rPr>
          <w:spacing w:val="-2"/>
          <w:sz w:val="24"/>
        </w:rPr>
        <w:t> </w:t>
      </w:r>
      <w:r>
        <w:rPr>
          <w:sz w:val="24"/>
        </w:rPr>
        <w:t>in-vitro</w:t>
      </w:r>
      <w:r>
        <w:rPr>
          <w:spacing w:val="-2"/>
          <w:sz w:val="24"/>
        </w:rPr>
        <w:t> </w:t>
      </w:r>
      <w:r>
        <w:rPr>
          <w:sz w:val="24"/>
        </w:rPr>
        <w:t>antibody producing system for recognizing potentially Immunosuppressive compounds</w:t>
      </w:r>
      <w:r>
        <w:rPr>
          <w:i/>
          <w:sz w:val="24"/>
        </w:rPr>
        <w:t>. International Archives of Allergy and Applied Immunology</w:t>
      </w:r>
      <w:r>
        <w:rPr>
          <w:sz w:val="24"/>
        </w:rPr>
        <w:t>, 56: 90-93.</w:t>
      </w:r>
    </w:p>
    <w:p>
      <w:pPr>
        <w:pStyle w:val="BodyText"/>
        <w:spacing w:before="41"/>
      </w:pPr>
    </w:p>
    <w:p>
      <w:pPr>
        <w:pStyle w:val="BodyText"/>
        <w:spacing w:line="276" w:lineRule="auto"/>
        <w:ind w:left="1467" w:right="854" w:hanging="720"/>
        <w:jc w:val="both"/>
      </w:pPr>
      <w:r>
        <w:rPr/>
        <w:t>Diwanay, S., Chitre, D. and Patwardhan, B. (2004). Immunoprotection by botanical drugs in cancer chemotherapy. </w:t>
      </w:r>
      <w:r>
        <w:rPr>
          <w:i/>
        </w:rPr>
        <w:t>Journal of Ethnopharmacology</w:t>
      </w:r>
      <w:r>
        <w:rPr/>
        <w:t>, 90(1): 49-55.</w:t>
      </w:r>
    </w:p>
    <w:p>
      <w:pPr>
        <w:pStyle w:val="BodyText"/>
        <w:spacing w:line="276" w:lineRule="auto"/>
        <w:ind w:left="1467" w:right="852" w:hanging="720"/>
        <w:jc w:val="both"/>
      </w:pPr>
      <w:r>
        <w:rPr/>
        <w:t>Doherty, N.S. (1981). Selective effect of immunosuppressive agents against the delayed hypersensitivity response and humoral response to Sheep red blood cells in</w:t>
      </w:r>
      <w:r>
        <w:rPr>
          <w:spacing w:val="40"/>
        </w:rPr>
        <w:t> </w:t>
      </w:r>
      <w:r>
        <w:rPr/>
        <w:t>mice. </w:t>
      </w:r>
      <w:r>
        <w:rPr>
          <w:i/>
        </w:rPr>
        <w:t>Journal of Agents and Actions, </w:t>
      </w:r>
      <w:r>
        <w:rPr/>
        <w:t>11(3): 237-242.</w:t>
      </w:r>
    </w:p>
    <w:p>
      <w:pPr>
        <w:pStyle w:val="BodyText"/>
        <w:spacing w:before="41"/>
      </w:pPr>
    </w:p>
    <w:p>
      <w:pPr>
        <w:spacing w:line="276" w:lineRule="auto" w:before="0"/>
        <w:ind w:left="1467" w:right="844" w:hanging="720"/>
        <w:jc w:val="both"/>
        <w:rPr>
          <w:sz w:val="24"/>
        </w:rPr>
      </w:pPr>
      <w:r>
        <w:rPr>
          <w:sz w:val="24"/>
        </w:rPr>
        <w:t>Eming, S.A., Krieg, T. and Davidson, J.M. (2007). Inflammation in wound repair: molecular and cellular mechanisms. </w:t>
      </w:r>
      <w:r>
        <w:rPr>
          <w:i/>
          <w:sz w:val="24"/>
        </w:rPr>
        <w:t>Journal of Investigative Dermatology, </w:t>
      </w:r>
      <w:r>
        <w:rPr>
          <w:sz w:val="24"/>
        </w:rPr>
        <w:t>127(3): 514–525.</w:t>
      </w:r>
    </w:p>
    <w:p>
      <w:pPr>
        <w:spacing w:line="276" w:lineRule="auto" w:before="200"/>
        <w:ind w:left="1467" w:right="847" w:hanging="720"/>
        <w:jc w:val="both"/>
        <w:rPr>
          <w:sz w:val="24"/>
        </w:rPr>
      </w:pPr>
      <w:r>
        <w:rPr>
          <w:sz w:val="24"/>
        </w:rPr>
        <w:t>Ferrea, G., Canessa, A., Sampietro, F., Cruciani, M., Romussi, G. and Bassetti, D. (1993). </w:t>
      </w:r>
      <w:r>
        <w:rPr>
          <w:i/>
          <w:sz w:val="24"/>
        </w:rPr>
        <w:t>In vitro </w:t>
      </w:r>
      <w:r>
        <w:rPr>
          <w:sz w:val="24"/>
        </w:rPr>
        <w:t>activity of a </w:t>
      </w:r>
      <w:r>
        <w:rPr>
          <w:i/>
          <w:sz w:val="24"/>
        </w:rPr>
        <w:t>Combretum micranthum </w:t>
      </w:r>
      <w:r>
        <w:rPr>
          <w:sz w:val="24"/>
        </w:rPr>
        <w:t>extract against Herpes simplex virus types 1 and 2. </w:t>
      </w:r>
      <w:r>
        <w:rPr>
          <w:i/>
          <w:sz w:val="24"/>
        </w:rPr>
        <w:t>Antiviral Research</w:t>
      </w:r>
      <w:r>
        <w:rPr>
          <w:sz w:val="24"/>
        </w:rPr>
        <w:t>, 21(4): 317–325.</w:t>
      </w:r>
    </w:p>
    <w:p>
      <w:pPr>
        <w:spacing w:after="0" w:line="276" w:lineRule="auto"/>
        <w:jc w:val="both"/>
        <w:rPr>
          <w:sz w:val="24"/>
        </w:rPr>
        <w:sectPr>
          <w:pgSz w:w="11910" w:h="16840"/>
          <w:pgMar w:header="0" w:footer="981" w:top="1320" w:bottom="1180" w:left="1240" w:right="560"/>
        </w:sectPr>
      </w:pPr>
    </w:p>
    <w:p>
      <w:pPr>
        <w:pStyle w:val="BodyText"/>
        <w:spacing w:line="276" w:lineRule="auto" w:before="67"/>
        <w:ind w:left="1467" w:right="846" w:hanging="720"/>
        <w:jc w:val="both"/>
      </w:pPr>
      <w:r>
        <w:rPr/>
        <w:t>Ferrero-Miliani, L., Nielsen, O.H., Andersen, P.S. and Girardin, S.E. (2007). Chronic inflammation: importance</w:t>
      </w:r>
      <w:r>
        <w:rPr>
          <w:spacing w:val="-1"/>
        </w:rPr>
        <w:t> </w:t>
      </w:r>
      <w:r>
        <w:rPr/>
        <w:t>of</w:t>
      </w:r>
      <w:r>
        <w:rPr>
          <w:spacing w:val="-1"/>
        </w:rPr>
        <w:t> </w:t>
      </w:r>
      <w:r>
        <w:rPr/>
        <w:t>NOD2 and NALP3 in interleukin-1beta generation. </w:t>
      </w:r>
      <w:r>
        <w:rPr>
          <w:i/>
        </w:rPr>
        <w:t>Clinical and Experimental Immunology; </w:t>
      </w:r>
      <w:r>
        <w:rPr/>
        <w:t>147(2): 227-235.</w:t>
      </w:r>
    </w:p>
    <w:p>
      <w:pPr>
        <w:pStyle w:val="BodyText"/>
        <w:spacing w:before="42"/>
      </w:pPr>
    </w:p>
    <w:p>
      <w:pPr>
        <w:pStyle w:val="BodyText"/>
        <w:spacing w:line="276" w:lineRule="auto"/>
        <w:ind w:left="1467" w:right="850" w:hanging="720"/>
        <w:jc w:val="both"/>
      </w:pPr>
      <w:r>
        <w:rPr/>
        <w:t>Finlay, B. and McFadden, G. (2006). Anti-immunology: evasion of the host immune system by bacterial and viral pathogens. </w:t>
      </w:r>
      <w:r>
        <w:rPr>
          <w:i/>
        </w:rPr>
        <w:t>Cell</w:t>
      </w:r>
      <w:r>
        <w:rPr/>
        <w:t>, 124 (4): 767–82.</w:t>
      </w:r>
    </w:p>
    <w:p>
      <w:pPr>
        <w:pStyle w:val="BodyText"/>
        <w:spacing w:before="42"/>
      </w:pPr>
    </w:p>
    <w:p>
      <w:pPr>
        <w:pStyle w:val="BodyText"/>
        <w:spacing w:line="276" w:lineRule="auto"/>
        <w:ind w:left="1467" w:right="846" w:hanging="720"/>
        <w:jc w:val="both"/>
      </w:pPr>
      <w:r>
        <w:rPr/>
        <w:t>Forceville, X., Touti, S., Toumelin, P.L., Ducros, V., Larporte, F., Chancerelle, Y. and Agay, D. (2014). Elements of margin of safety, toxicity and action of sodium selenite</w:t>
      </w:r>
      <w:r>
        <w:rPr>
          <w:spacing w:val="-3"/>
        </w:rPr>
        <w:t> </w:t>
      </w:r>
      <w:r>
        <w:rPr/>
        <w:t>in</w:t>
      </w:r>
      <w:r>
        <w:rPr>
          <w:spacing w:val="-3"/>
        </w:rPr>
        <w:t> </w:t>
      </w:r>
      <w:r>
        <w:rPr/>
        <w:t>a</w:t>
      </w:r>
      <w:r>
        <w:rPr>
          <w:spacing w:val="-2"/>
        </w:rPr>
        <w:t> </w:t>
      </w:r>
      <w:r>
        <w:rPr/>
        <w:t>lipopolysaccharide</w:t>
      </w:r>
      <w:r>
        <w:rPr>
          <w:spacing w:val="-3"/>
        </w:rPr>
        <w:t> </w:t>
      </w:r>
      <w:r>
        <w:rPr/>
        <w:t>rat</w:t>
      </w:r>
      <w:r>
        <w:rPr>
          <w:spacing w:val="-3"/>
        </w:rPr>
        <w:t> </w:t>
      </w:r>
      <w:r>
        <w:rPr/>
        <w:t>model. </w:t>
      </w:r>
      <w:r>
        <w:rPr>
          <w:i/>
        </w:rPr>
        <w:t>Journal</w:t>
      </w:r>
      <w:r>
        <w:rPr>
          <w:i/>
          <w:spacing w:val="-1"/>
        </w:rPr>
        <w:t> </w:t>
      </w:r>
      <w:r>
        <w:rPr>
          <w:i/>
        </w:rPr>
        <w:t>of</w:t>
      </w:r>
      <w:r>
        <w:rPr>
          <w:i/>
          <w:spacing w:val="-3"/>
        </w:rPr>
        <w:t> </w:t>
      </w:r>
      <w:r>
        <w:rPr>
          <w:i/>
        </w:rPr>
        <w:t>Trace</w:t>
      </w:r>
      <w:r>
        <w:rPr>
          <w:i/>
          <w:spacing w:val="-5"/>
        </w:rPr>
        <w:t> </w:t>
      </w:r>
      <w:r>
        <w:rPr>
          <w:i/>
        </w:rPr>
        <w:t>Elements</w:t>
      </w:r>
      <w:r>
        <w:rPr>
          <w:i/>
          <w:spacing w:val="-3"/>
        </w:rPr>
        <w:t> </w:t>
      </w:r>
      <w:r>
        <w:rPr>
          <w:i/>
        </w:rPr>
        <w:t>in</w:t>
      </w:r>
      <w:r>
        <w:rPr>
          <w:i/>
          <w:spacing w:val="-1"/>
        </w:rPr>
        <w:t> </w:t>
      </w:r>
      <w:r>
        <w:rPr>
          <w:i/>
        </w:rPr>
        <w:t>Biology</w:t>
      </w:r>
      <w:r>
        <w:rPr/>
        <w:t>, 28(3): 303-310.</w:t>
      </w:r>
    </w:p>
    <w:p>
      <w:pPr>
        <w:spacing w:line="240" w:lineRule="auto" w:before="197"/>
        <w:ind w:left="1467" w:right="846" w:hanging="720"/>
        <w:jc w:val="both"/>
        <w:rPr>
          <w:sz w:val="24"/>
        </w:rPr>
      </w:pPr>
      <w:r>
        <w:rPr>
          <w:sz w:val="24"/>
        </w:rPr>
        <w:t>Fulzele, S.V., Sattuwar, P.M. and Joshi, S.B. (2003). Study of Immunomodulatory activity of </w:t>
      </w:r>
      <w:r>
        <w:rPr>
          <w:i/>
          <w:sz w:val="24"/>
        </w:rPr>
        <w:t>Haridradi ghrita </w:t>
      </w:r>
      <w:r>
        <w:rPr>
          <w:sz w:val="24"/>
        </w:rPr>
        <w:t>in rats. </w:t>
      </w:r>
      <w:r>
        <w:rPr>
          <w:i/>
          <w:sz w:val="24"/>
        </w:rPr>
        <w:t>Indian journal of pharmacolog, </w:t>
      </w:r>
      <w:r>
        <w:rPr>
          <w:sz w:val="24"/>
        </w:rPr>
        <w:t>35(1): 51- </w:t>
      </w:r>
      <w:r>
        <w:rPr>
          <w:spacing w:val="-4"/>
          <w:sz w:val="24"/>
        </w:rPr>
        <w:t>54.</w:t>
      </w:r>
    </w:p>
    <w:p>
      <w:pPr>
        <w:pStyle w:val="BodyText"/>
        <w:spacing w:line="276" w:lineRule="auto" w:before="202"/>
        <w:ind w:left="1467" w:right="846" w:hanging="720"/>
        <w:jc w:val="both"/>
      </w:pPr>
      <w:r>
        <w:rPr/>
        <w:t>Fyhrquist, P., Mwasumbi, L., Haeggstrom, C. A., Vuorela, H., Hiltunen, R. and</w:t>
      </w:r>
      <w:r>
        <w:rPr>
          <w:spacing w:val="40"/>
        </w:rPr>
        <w:t> </w:t>
      </w:r>
      <w:r>
        <w:rPr/>
        <w:t>Vuorela, P. (2002) Ethnobotanical and Antimicrobial Investigation on Some Species of Terminalia and Combretum (Combretaceae) growing in Tanzania. </w:t>
      </w:r>
      <w:r>
        <w:rPr>
          <w:i/>
        </w:rPr>
        <w:t>Journal of Ethnopharmacology</w:t>
      </w:r>
      <w:r>
        <w:rPr/>
        <w:t>, 79, 169-172.</w:t>
      </w:r>
    </w:p>
    <w:p>
      <w:pPr>
        <w:spacing w:line="278" w:lineRule="auto" w:before="199"/>
        <w:ind w:left="1467" w:right="848" w:hanging="720"/>
        <w:jc w:val="both"/>
        <w:rPr>
          <w:sz w:val="24"/>
        </w:rPr>
      </w:pPr>
      <w:r>
        <w:rPr>
          <w:sz w:val="24"/>
        </w:rPr>
        <w:t>Gerloni, M. and Zanetti, M. (2005). CD4 T cells in tumor immunity. </w:t>
      </w:r>
      <w:r>
        <w:rPr>
          <w:i/>
          <w:sz w:val="24"/>
        </w:rPr>
        <w:t>Springer Seminars in Immunopathology, </w:t>
      </w:r>
      <w:r>
        <w:rPr>
          <w:sz w:val="24"/>
        </w:rPr>
        <w:t>27 (1): 37–48.</w:t>
      </w:r>
    </w:p>
    <w:p>
      <w:pPr>
        <w:pStyle w:val="BodyText"/>
        <w:spacing w:before="236"/>
        <w:ind w:left="747"/>
      </w:pPr>
      <w:r>
        <w:rPr/>
        <w:t>Girardi,</w:t>
      </w:r>
      <w:r>
        <w:rPr>
          <w:spacing w:val="7"/>
        </w:rPr>
        <w:t> </w:t>
      </w:r>
      <w:r>
        <w:rPr/>
        <w:t>M.</w:t>
      </w:r>
      <w:r>
        <w:rPr>
          <w:spacing w:val="8"/>
        </w:rPr>
        <w:t> </w:t>
      </w:r>
      <w:r>
        <w:rPr/>
        <w:t>(2006).</w:t>
      </w:r>
      <w:r>
        <w:rPr>
          <w:spacing w:val="10"/>
        </w:rPr>
        <w:t> </w:t>
      </w:r>
      <w:r>
        <w:rPr/>
        <w:t>Immunosurveillance</w:t>
      </w:r>
      <w:r>
        <w:rPr>
          <w:spacing w:val="9"/>
        </w:rPr>
        <w:t> </w:t>
      </w:r>
      <w:r>
        <w:rPr/>
        <w:t>and</w:t>
      </w:r>
      <w:r>
        <w:rPr>
          <w:spacing w:val="8"/>
        </w:rPr>
        <w:t> </w:t>
      </w:r>
      <w:r>
        <w:rPr/>
        <w:t>immunoregulation</w:t>
      </w:r>
      <w:r>
        <w:rPr>
          <w:spacing w:val="8"/>
        </w:rPr>
        <w:t> </w:t>
      </w:r>
      <w:r>
        <w:rPr/>
        <w:t>by</w:t>
      </w:r>
      <w:r>
        <w:rPr>
          <w:spacing w:val="5"/>
        </w:rPr>
        <w:t> </w:t>
      </w:r>
      <w:r>
        <w:rPr/>
        <w:t>gammadelta</w:t>
      </w:r>
      <w:r>
        <w:rPr>
          <w:spacing w:val="7"/>
        </w:rPr>
        <w:t> </w:t>
      </w:r>
      <w:r>
        <w:rPr/>
        <w:t>T</w:t>
      </w:r>
      <w:r>
        <w:rPr>
          <w:spacing w:val="8"/>
        </w:rPr>
        <w:t> </w:t>
      </w:r>
      <w:r>
        <w:rPr>
          <w:spacing w:val="-2"/>
        </w:rPr>
        <w:t>cells.</w:t>
      </w:r>
    </w:p>
    <w:p>
      <w:pPr>
        <w:spacing w:before="41"/>
        <w:ind w:left="1467" w:right="0" w:firstLine="0"/>
        <w:jc w:val="left"/>
        <w:rPr>
          <w:sz w:val="24"/>
        </w:rPr>
      </w:pPr>
      <w:r>
        <w:rPr>
          <w:i/>
          <w:sz w:val="24"/>
        </w:rPr>
        <w:t>The</w:t>
      </w:r>
      <w:r>
        <w:rPr>
          <w:i/>
          <w:spacing w:val="-2"/>
          <w:sz w:val="24"/>
        </w:rPr>
        <w:t> </w:t>
      </w:r>
      <w:r>
        <w:rPr>
          <w:i/>
          <w:sz w:val="24"/>
        </w:rPr>
        <w:t>Journal</w:t>
      </w:r>
      <w:r>
        <w:rPr>
          <w:i/>
          <w:spacing w:val="-1"/>
          <w:sz w:val="24"/>
        </w:rPr>
        <w:t> </w:t>
      </w:r>
      <w:r>
        <w:rPr>
          <w:i/>
          <w:sz w:val="24"/>
        </w:rPr>
        <w:t>of</w:t>
      </w:r>
      <w:r>
        <w:rPr>
          <w:i/>
          <w:spacing w:val="-1"/>
          <w:sz w:val="24"/>
        </w:rPr>
        <w:t> </w:t>
      </w:r>
      <w:r>
        <w:rPr>
          <w:i/>
          <w:sz w:val="24"/>
        </w:rPr>
        <w:t>Investigative</w:t>
      </w:r>
      <w:r>
        <w:rPr>
          <w:i/>
          <w:spacing w:val="-1"/>
          <w:sz w:val="24"/>
        </w:rPr>
        <w:t> </w:t>
      </w:r>
      <w:r>
        <w:rPr>
          <w:i/>
          <w:sz w:val="24"/>
        </w:rPr>
        <w:t>Dermatolog, </w:t>
      </w:r>
      <w:r>
        <w:rPr>
          <w:sz w:val="24"/>
        </w:rPr>
        <w:t>126</w:t>
      </w:r>
      <w:r>
        <w:rPr>
          <w:spacing w:val="-1"/>
          <w:sz w:val="24"/>
        </w:rPr>
        <w:t> </w:t>
      </w:r>
      <w:r>
        <w:rPr>
          <w:sz w:val="24"/>
        </w:rPr>
        <w:t>(1): </w:t>
      </w:r>
      <w:r>
        <w:rPr>
          <w:spacing w:val="-2"/>
          <w:sz w:val="24"/>
        </w:rPr>
        <w:t>25–31.</w:t>
      </w:r>
    </w:p>
    <w:p>
      <w:pPr>
        <w:pStyle w:val="BodyText"/>
        <w:spacing w:before="5"/>
      </w:pPr>
    </w:p>
    <w:p>
      <w:pPr>
        <w:pStyle w:val="BodyText"/>
        <w:spacing w:line="276" w:lineRule="auto"/>
        <w:ind w:left="1467" w:right="846" w:hanging="720"/>
        <w:jc w:val="both"/>
      </w:pPr>
      <w:r>
        <w:rPr/>
        <w:t>Gudrun, F., Isabell, K., Dubravka, C., Carola, H. and Udo, B. (2008). Procalcitonin in paediatric cancer patients: its diagnostic relevance is superior to that of C- reactive protein, interleukin 6, interleukin 8, soluble interleukin 2 receptor and soluble tumour necrosis factor receptor II. </w:t>
      </w:r>
      <w:r>
        <w:rPr>
          <w:i/>
        </w:rPr>
        <w:t>British Journal of Haematology</w:t>
      </w:r>
      <w:r>
        <w:rPr/>
        <w:t>, </w:t>
      </w:r>
      <w:r>
        <w:rPr>
          <w:spacing w:val="-2"/>
        </w:rPr>
        <w:t>111(4):1093-1102.</w:t>
      </w:r>
    </w:p>
    <w:p>
      <w:pPr>
        <w:spacing w:line="276" w:lineRule="auto" w:before="242"/>
        <w:ind w:left="1467" w:right="845" w:hanging="720"/>
        <w:jc w:val="both"/>
        <w:rPr>
          <w:sz w:val="24"/>
        </w:rPr>
      </w:pPr>
      <w:r>
        <w:rPr>
          <w:sz w:val="24"/>
        </w:rPr>
        <w:t>Gupta, S. and Kaushik, R. (2006). Peritonitis, the Eastern experience</w:t>
      </w:r>
      <w:r>
        <w:rPr>
          <w:i/>
          <w:sz w:val="24"/>
        </w:rPr>
        <w:t>. World Journal of Emergency Surgery, </w:t>
      </w:r>
      <w:r>
        <w:rPr>
          <w:sz w:val="24"/>
        </w:rPr>
        <w:t>1:13.</w:t>
      </w:r>
    </w:p>
    <w:p>
      <w:pPr>
        <w:pStyle w:val="BodyText"/>
        <w:spacing w:line="276" w:lineRule="auto" w:before="239"/>
        <w:ind w:left="1467" w:right="843" w:hanging="720"/>
        <w:jc w:val="both"/>
      </w:pPr>
      <w:r>
        <w:rPr/>
        <w:t>Habashy, R.R., Abdel-Naim, A. B., Khalifa, A. E. and Al-Azizi, M.M. (2005). Anti- inflammatory effects of jojoba liquid wax in experimental models. </w:t>
      </w:r>
      <w:r>
        <w:rPr>
          <w:i/>
        </w:rPr>
        <w:t>Journal of Pharmacological Research, </w:t>
      </w:r>
      <w:r>
        <w:rPr/>
        <w:t>51(2): 95–105.</w:t>
      </w:r>
    </w:p>
    <w:p>
      <w:pPr>
        <w:spacing w:line="276" w:lineRule="auto" w:before="241"/>
        <w:ind w:left="1467" w:right="848" w:hanging="720"/>
        <w:jc w:val="both"/>
        <w:rPr>
          <w:sz w:val="24"/>
        </w:rPr>
      </w:pPr>
      <w:r>
        <w:rPr>
          <w:sz w:val="24"/>
        </w:rPr>
        <w:t>Handin, R.I., Samuel, E., Lux, T. and Stossel, P.</w:t>
      </w:r>
      <w:r>
        <w:rPr>
          <w:spacing w:val="-1"/>
          <w:sz w:val="24"/>
        </w:rPr>
        <w:t> </w:t>
      </w:r>
      <w:r>
        <w:rPr>
          <w:sz w:val="24"/>
        </w:rPr>
        <w:t>(2003). </w:t>
      </w:r>
      <w:r>
        <w:rPr>
          <w:i/>
          <w:sz w:val="24"/>
        </w:rPr>
        <w:t>Blood: Principles</w:t>
      </w:r>
      <w:r>
        <w:rPr>
          <w:i/>
          <w:spacing w:val="-2"/>
          <w:sz w:val="24"/>
        </w:rPr>
        <w:t> </w:t>
      </w:r>
      <w:r>
        <w:rPr>
          <w:i/>
          <w:sz w:val="24"/>
        </w:rPr>
        <w:t>and Practice of Hematology </w:t>
      </w:r>
      <w:r>
        <w:rPr>
          <w:sz w:val="24"/>
        </w:rPr>
        <w:t>(2nd ed.). Philadelphia: Lippincott Williams and</w:t>
      </w:r>
      <w:r>
        <w:rPr>
          <w:spacing w:val="-2"/>
          <w:sz w:val="24"/>
        </w:rPr>
        <w:t> </w:t>
      </w:r>
      <w:r>
        <w:rPr>
          <w:sz w:val="24"/>
        </w:rPr>
        <w:t>Wilkins. p. 471.</w:t>
      </w:r>
    </w:p>
    <w:p>
      <w:pPr>
        <w:pStyle w:val="BodyText"/>
        <w:spacing w:line="276" w:lineRule="auto" w:before="239"/>
        <w:ind w:left="1467" w:right="844" w:hanging="720"/>
        <w:jc w:val="both"/>
      </w:pPr>
      <w:r>
        <w:rPr/>
        <w:t>Harty, J.T., Tvinnereim, A.R. and White, D.W. (2000). CD8+ T cell effector mechanisms in resistance to infection. </w:t>
      </w:r>
      <w:r>
        <w:rPr>
          <w:i/>
        </w:rPr>
        <w:t>Annual Review of Immunology, </w:t>
      </w:r>
      <w:r>
        <w:rPr/>
        <w:t>18(1): </w:t>
      </w:r>
      <w:r>
        <w:rPr>
          <w:spacing w:val="-2"/>
        </w:rPr>
        <w:t>275–308.</w:t>
      </w:r>
    </w:p>
    <w:p>
      <w:pPr>
        <w:spacing w:after="0" w:line="276" w:lineRule="auto"/>
        <w:jc w:val="both"/>
        <w:sectPr>
          <w:pgSz w:w="11910" w:h="16840"/>
          <w:pgMar w:header="0" w:footer="981" w:top="1320" w:bottom="1180" w:left="1240" w:right="560"/>
        </w:sectPr>
      </w:pPr>
    </w:p>
    <w:p>
      <w:pPr>
        <w:spacing w:line="276" w:lineRule="auto" w:before="67"/>
        <w:ind w:left="1467" w:right="853" w:hanging="720"/>
        <w:jc w:val="both"/>
        <w:rPr>
          <w:sz w:val="24"/>
        </w:rPr>
      </w:pPr>
      <w:r>
        <w:rPr>
          <w:sz w:val="24"/>
        </w:rPr>
        <w:t>Holtmeier, W. and Kabelitz, D. (2005). gammadelta T cells link innate and adaptive immune responses. </w:t>
      </w:r>
      <w:r>
        <w:rPr>
          <w:i/>
          <w:sz w:val="24"/>
        </w:rPr>
        <w:t>Chemical Immunology and Allergy</w:t>
      </w:r>
      <w:r>
        <w:rPr>
          <w:sz w:val="24"/>
        </w:rPr>
        <w:t>, 86: 151–83.</w:t>
      </w:r>
    </w:p>
    <w:p>
      <w:pPr>
        <w:pStyle w:val="BodyText"/>
        <w:spacing w:line="278" w:lineRule="auto" w:before="239"/>
        <w:ind w:left="1467" w:right="851" w:hanging="720"/>
        <w:jc w:val="both"/>
      </w:pPr>
      <w:r>
        <w:rPr/>
        <w:t>Hostettmann, K.</w:t>
      </w:r>
      <w:r>
        <w:rPr>
          <w:spacing w:val="40"/>
        </w:rPr>
        <w:t> </w:t>
      </w:r>
      <w:r>
        <w:rPr/>
        <w:t>and Marston, A. (2002). Twenty years of research into medicinal plants, Results and perspectives</w:t>
      </w:r>
      <w:r>
        <w:rPr>
          <w:i/>
        </w:rPr>
        <w:t>. Journal of phytochemistry</w:t>
      </w:r>
      <w:r>
        <w:rPr/>
        <w:t>, 1:275-285.</w:t>
      </w:r>
    </w:p>
    <w:p>
      <w:pPr>
        <w:pStyle w:val="BodyText"/>
        <w:spacing w:before="10"/>
      </w:pPr>
    </w:p>
    <w:p>
      <w:pPr>
        <w:pStyle w:val="BodyText"/>
        <w:spacing w:line="276" w:lineRule="auto"/>
        <w:ind w:left="1467" w:right="848" w:hanging="720"/>
        <w:jc w:val="both"/>
      </w:pPr>
      <w:r>
        <w:rPr/>
        <w:t>Jacysyn, J.F., Abrahamsohn, I.A. and Macedo, M.S. (2001). Modulation of delayed- type hypersensitivity during the time course of immune response to a protein antigen. </w:t>
      </w:r>
      <w:r>
        <w:rPr>
          <w:i/>
        </w:rPr>
        <w:t>Immunology</w:t>
      </w:r>
      <w:r>
        <w:rPr/>
        <w:t>, 102(3): 373-379.</w:t>
      </w:r>
    </w:p>
    <w:p>
      <w:pPr>
        <w:pStyle w:val="BodyText"/>
        <w:spacing w:before="42"/>
      </w:pPr>
    </w:p>
    <w:p>
      <w:pPr>
        <w:spacing w:line="276" w:lineRule="auto" w:before="0"/>
        <w:ind w:left="1467" w:right="850" w:hanging="720"/>
        <w:jc w:val="both"/>
        <w:rPr>
          <w:sz w:val="24"/>
        </w:rPr>
      </w:pPr>
      <w:r>
        <w:rPr>
          <w:sz w:val="24"/>
        </w:rPr>
        <w:t>Joseph J.Z., Darcia,</w:t>
      </w:r>
      <w:r>
        <w:rPr>
          <w:spacing w:val="40"/>
          <w:sz w:val="24"/>
        </w:rPr>
        <w:t> </w:t>
      </w:r>
      <w:r>
        <w:rPr>
          <w:sz w:val="24"/>
        </w:rPr>
        <w:t>A.K. and Kathy, N.S. (2005). Diagnosis and Management of Pediatric Urinary Tract Infections. </w:t>
      </w:r>
      <w:r>
        <w:rPr>
          <w:i/>
          <w:sz w:val="24"/>
        </w:rPr>
        <w:t>Journal of American Society for Microbiology</w:t>
      </w:r>
      <w:r>
        <w:rPr>
          <w:sz w:val="24"/>
        </w:rPr>
        <w:t>, 18(2): 417-422.</w:t>
      </w:r>
    </w:p>
    <w:p>
      <w:pPr>
        <w:spacing w:line="276" w:lineRule="auto" w:before="200"/>
        <w:ind w:left="1467" w:right="846" w:hanging="720"/>
        <w:jc w:val="both"/>
        <w:rPr>
          <w:sz w:val="24"/>
        </w:rPr>
      </w:pPr>
      <w:r>
        <w:rPr>
          <w:sz w:val="24"/>
        </w:rPr>
        <w:t>Katsayal, U.A. and Lamai, R.S.</w:t>
      </w:r>
      <w:r>
        <w:rPr>
          <w:spacing w:val="40"/>
          <w:sz w:val="24"/>
        </w:rPr>
        <w:t> </w:t>
      </w:r>
      <w:r>
        <w:rPr>
          <w:sz w:val="24"/>
        </w:rPr>
        <w:t>(2009). Preliminary phytochemical and antibacterial screening of the ethanolic stem bark extract of </w:t>
      </w:r>
      <w:r>
        <w:rPr>
          <w:i/>
          <w:sz w:val="24"/>
        </w:rPr>
        <w:t>Phyllanthus muellerianus. Nigerian Journal of Pharmaceutical Sciences, </w:t>
      </w:r>
      <w:r>
        <w:rPr>
          <w:sz w:val="24"/>
        </w:rPr>
        <w:t>8(2): 121-125.</w:t>
      </w:r>
    </w:p>
    <w:p>
      <w:pPr>
        <w:pStyle w:val="BodyText"/>
        <w:spacing w:line="276" w:lineRule="auto" w:before="200"/>
        <w:ind w:left="1467" w:right="844" w:hanging="720"/>
        <w:jc w:val="both"/>
      </w:pPr>
      <w:r>
        <w:rPr/>
        <w:t>Kawai, T. and Akira, S. (2006). Innate immune recognition of viral infection. </w:t>
      </w:r>
      <w:r>
        <w:rPr>
          <w:i/>
        </w:rPr>
        <w:t>Nature Immunolog, </w:t>
      </w:r>
      <w:r>
        <w:rPr/>
        <w:t>7(2): 131–7.</w:t>
      </w:r>
    </w:p>
    <w:p>
      <w:pPr>
        <w:pStyle w:val="BodyText"/>
        <w:spacing w:before="42"/>
      </w:pPr>
    </w:p>
    <w:p>
      <w:pPr>
        <w:pStyle w:val="BodyText"/>
        <w:spacing w:line="276" w:lineRule="auto"/>
        <w:ind w:left="1467" w:right="854" w:hanging="720"/>
        <w:jc w:val="both"/>
      </w:pPr>
      <w:r>
        <w:rPr/>
        <w:t>Kindt, T.J., Goldsby, R.A. and Osborne, B.A. (2006) Hypersensitivity reactions. In: Kindt, T.J., Goldsby, R.A. and Osborne, B.A. (Eds); Kuby Immunology, 6th edition, New W.H. Freeman and Company; York. pp. 393–400.</w:t>
      </w:r>
    </w:p>
    <w:p>
      <w:pPr>
        <w:pStyle w:val="BodyText"/>
        <w:spacing w:before="42"/>
      </w:pPr>
    </w:p>
    <w:p>
      <w:pPr>
        <w:spacing w:line="276" w:lineRule="auto" w:before="0"/>
        <w:ind w:left="1467" w:right="845" w:hanging="720"/>
        <w:jc w:val="both"/>
        <w:rPr>
          <w:sz w:val="24"/>
        </w:rPr>
      </w:pPr>
      <w:r>
        <w:rPr>
          <w:sz w:val="24"/>
        </w:rPr>
        <w:t>Kola, A.K. and Benjamin E.A. (2002). Comparative antimicrobial Activities of leaves</w:t>
      </w:r>
      <w:r>
        <w:rPr>
          <w:spacing w:val="40"/>
          <w:sz w:val="24"/>
        </w:rPr>
        <w:t> </w:t>
      </w:r>
      <w:r>
        <w:rPr>
          <w:sz w:val="24"/>
        </w:rPr>
        <w:t>of </w:t>
      </w:r>
      <w:r>
        <w:rPr>
          <w:i/>
          <w:sz w:val="24"/>
        </w:rPr>
        <w:t>Combretum micranthum </w:t>
      </w:r>
      <w:r>
        <w:rPr>
          <w:sz w:val="24"/>
        </w:rPr>
        <w:t>and </w:t>
      </w:r>
      <w:r>
        <w:rPr>
          <w:i/>
          <w:sz w:val="24"/>
        </w:rPr>
        <w:t>Combretum racernosum</w:t>
      </w:r>
      <w:r>
        <w:rPr>
          <w:sz w:val="24"/>
        </w:rPr>
        <w:t>. </w:t>
      </w:r>
      <w:r>
        <w:rPr>
          <w:i/>
          <w:sz w:val="24"/>
        </w:rPr>
        <w:t>Global journal of medical science</w:t>
      </w:r>
      <w:r>
        <w:rPr>
          <w:sz w:val="24"/>
        </w:rPr>
        <w:t>, 1(1): 11-15.</w:t>
      </w:r>
    </w:p>
    <w:p>
      <w:pPr>
        <w:spacing w:line="240" w:lineRule="auto" w:before="198"/>
        <w:ind w:left="1467" w:right="844" w:hanging="720"/>
        <w:jc w:val="both"/>
        <w:rPr>
          <w:sz w:val="24"/>
        </w:rPr>
      </w:pPr>
      <w:r>
        <w:rPr>
          <w:sz w:val="24"/>
        </w:rPr>
        <w:t>Kovascs, B., Maus, M.V. and Riley, J.L. (2002). Human CD8+ T cells do not require</w:t>
      </w:r>
      <w:r>
        <w:rPr>
          <w:spacing w:val="40"/>
          <w:sz w:val="24"/>
        </w:rPr>
        <w:t> </w:t>
      </w:r>
      <w:r>
        <w:rPr>
          <w:sz w:val="24"/>
        </w:rPr>
        <w:t>the polarization of lipid rafts for activation and proliferation. </w:t>
      </w:r>
      <w:r>
        <w:rPr>
          <w:i/>
          <w:sz w:val="24"/>
        </w:rPr>
        <w:t>Proceedings of the National Academy of Sciences of the United States of America, </w:t>
      </w:r>
      <w:r>
        <w:rPr>
          <w:sz w:val="24"/>
        </w:rPr>
        <w:t>99(23): 15006– </w:t>
      </w:r>
      <w:r>
        <w:rPr>
          <w:spacing w:val="-4"/>
          <w:sz w:val="24"/>
        </w:rPr>
        <w:t>11.</w:t>
      </w:r>
    </w:p>
    <w:p>
      <w:pPr>
        <w:spacing w:line="276" w:lineRule="auto" w:before="202"/>
        <w:ind w:left="1467" w:right="851" w:hanging="720"/>
        <w:jc w:val="both"/>
        <w:rPr>
          <w:sz w:val="24"/>
        </w:rPr>
      </w:pPr>
      <w:r>
        <w:rPr>
          <w:sz w:val="24"/>
        </w:rPr>
        <w:t>Lawrence, C.W. and Ali, A.Z. (2014). The production and regulation of IgE by the immune system. </w:t>
      </w:r>
      <w:r>
        <w:rPr>
          <w:i/>
          <w:sz w:val="24"/>
        </w:rPr>
        <w:t>Journal of</w:t>
      </w:r>
      <w:r>
        <w:rPr>
          <w:i/>
          <w:spacing w:val="40"/>
          <w:sz w:val="24"/>
        </w:rPr>
        <w:t> </w:t>
      </w:r>
      <w:r>
        <w:rPr>
          <w:i/>
          <w:sz w:val="24"/>
        </w:rPr>
        <w:t>Nature Reviews Immunology, </w:t>
      </w:r>
      <w:r>
        <w:rPr>
          <w:sz w:val="24"/>
        </w:rPr>
        <w:t>14:247-259.</w:t>
      </w:r>
    </w:p>
    <w:p>
      <w:pPr>
        <w:pStyle w:val="BodyText"/>
        <w:spacing w:before="42"/>
      </w:pPr>
    </w:p>
    <w:p>
      <w:pPr>
        <w:spacing w:line="276" w:lineRule="auto" w:before="0"/>
        <w:ind w:left="1467" w:right="848" w:hanging="720"/>
        <w:jc w:val="both"/>
        <w:rPr>
          <w:sz w:val="24"/>
        </w:rPr>
      </w:pPr>
      <w:r>
        <w:rPr>
          <w:sz w:val="24"/>
        </w:rPr>
        <w:t>Lorke, D. (1983). A new approach to practical acute toxicity testing. </w:t>
      </w:r>
      <w:r>
        <w:rPr>
          <w:i/>
          <w:sz w:val="24"/>
        </w:rPr>
        <w:t>Archives of Toxicology, </w:t>
      </w:r>
      <w:r>
        <w:rPr>
          <w:sz w:val="24"/>
        </w:rPr>
        <w:t>54: 275-287.</w:t>
      </w:r>
    </w:p>
    <w:p>
      <w:pPr>
        <w:pStyle w:val="BodyText"/>
        <w:spacing w:line="278" w:lineRule="auto" w:before="239"/>
        <w:ind w:left="1467" w:right="844" w:hanging="720"/>
        <w:jc w:val="both"/>
      </w:pPr>
      <w:r>
        <w:rPr/>
        <w:t>Mackay, C.R. (2001). Chemokines, Immunology’s high impact factor. </w:t>
      </w:r>
      <w:r>
        <w:rPr>
          <w:i/>
        </w:rPr>
        <w:t>Nature Immunnology</w:t>
      </w:r>
      <w:r>
        <w:rPr/>
        <w:t>, 2(2): 95-101.</w:t>
      </w:r>
    </w:p>
    <w:p>
      <w:pPr>
        <w:pStyle w:val="BodyText"/>
      </w:pPr>
    </w:p>
    <w:p>
      <w:pPr>
        <w:pStyle w:val="BodyText"/>
      </w:pPr>
    </w:p>
    <w:p>
      <w:pPr>
        <w:spacing w:line="276" w:lineRule="auto" w:before="0"/>
        <w:ind w:left="1467" w:right="846" w:hanging="720"/>
        <w:jc w:val="both"/>
        <w:rPr>
          <w:sz w:val="24"/>
        </w:rPr>
      </w:pPr>
      <w:r>
        <w:rPr>
          <w:sz w:val="24"/>
        </w:rPr>
        <w:t>Mackay, I. and Rosen, F. (2000). Innate Immunity. </w:t>
      </w:r>
      <w:r>
        <w:rPr>
          <w:i/>
          <w:sz w:val="24"/>
        </w:rPr>
        <w:t>New England Journal of medicine</w:t>
      </w:r>
      <w:r>
        <w:rPr>
          <w:sz w:val="24"/>
        </w:rPr>
        <w:t>, </w:t>
      </w:r>
      <w:r>
        <w:rPr>
          <w:spacing w:val="-2"/>
          <w:sz w:val="24"/>
        </w:rPr>
        <w:t>343:338-44.</w:t>
      </w:r>
    </w:p>
    <w:p>
      <w:pPr>
        <w:spacing w:after="0" w:line="276" w:lineRule="auto"/>
        <w:jc w:val="both"/>
        <w:rPr>
          <w:sz w:val="24"/>
        </w:rPr>
        <w:sectPr>
          <w:pgSz w:w="11910" w:h="16840"/>
          <w:pgMar w:header="0" w:footer="981" w:top="1320" w:bottom="1180" w:left="1240" w:right="560"/>
        </w:sectPr>
      </w:pPr>
    </w:p>
    <w:p>
      <w:pPr>
        <w:spacing w:line="276" w:lineRule="auto" w:before="67"/>
        <w:ind w:left="1467" w:right="846" w:hanging="720"/>
        <w:jc w:val="both"/>
        <w:rPr>
          <w:sz w:val="24"/>
        </w:rPr>
      </w:pPr>
      <w:r>
        <w:rPr>
          <w:sz w:val="24"/>
        </w:rPr>
        <w:t>Marshall, J.C. (2004). Intra-abdominal infections. </w:t>
      </w:r>
      <w:r>
        <w:rPr>
          <w:i/>
          <w:sz w:val="24"/>
        </w:rPr>
        <w:t>Journal of Microbes and Infection</w:t>
      </w:r>
      <w:r>
        <w:rPr>
          <w:sz w:val="24"/>
        </w:rPr>
        <w:t>, 6(11): 1015-25.</w:t>
      </w:r>
    </w:p>
    <w:p>
      <w:pPr>
        <w:spacing w:line="278" w:lineRule="auto" w:before="239"/>
        <w:ind w:left="1467" w:right="846" w:hanging="720"/>
        <w:jc w:val="both"/>
        <w:rPr>
          <w:sz w:val="24"/>
        </w:rPr>
      </w:pPr>
      <w:r>
        <w:rPr>
          <w:sz w:val="24"/>
        </w:rPr>
        <w:t>May,</w:t>
      </w:r>
      <w:r>
        <w:rPr>
          <w:spacing w:val="-4"/>
          <w:sz w:val="24"/>
        </w:rPr>
        <w:t> </w:t>
      </w:r>
      <w:r>
        <w:rPr>
          <w:sz w:val="24"/>
        </w:rPr>
        <w:t>R.C.</w:t>
      </w:r>
      <w:r>
        <w:rPr>
          <w:spacing w:val="-4"/>
          <w:sz w:val="24"/>
        </w:rPr>
        <w:t> </w:t>
      </w:r>
      <w:r>
        <w:rPr>
          <w:sz w:val="24"/>
        </w:rPr>
        <w:t>and</w:t>
      </w:r>
      <w:r>
        <w:rPr>
          <w:spacing w:val="-2"/>
          <w:sz w:val="24"/>
        </w:rPr>
        <w:t> </w:t>
      </w:r>
      <w:r>
        <w:rPr>
          <w:sz w:val="24"/>
        </w:rPr>
        <w:t>Machesky,</w:t>
      </w:r>
      <w:r>
        <w:rPr>
          <w:spacing w:val="-2"/>
          <w:sz w:val="24"/>
        </w:rPr>
        <w:t> </w:t>
      </w:r>
      <w:r>
        <w:rPr>
          <w:sz w:val="24"/>
        </w:rPr>
        <w:t>L.M.</w:t>
      </w:r>
      <w:r>
        <w:rPr>
          <w:spacing w:val="-2"/>
          <w:sz w:val="24"/>
        </w:rPr>
        <w:t> </w:t>
      </w:r>
      <w:r>
        <w:rPr>
          <w:sz w:val="24"/>
        </w:rPr>
        <w:t>(2001).</w:t>
      </w:r>
      <w:r>
        <w:rPr>
          <w:spacing w:val="-4"/>
          <w:sz w:val="24"/>
        </w:rPr>
        <w:t> </w:t>
      </w:r>
      <w:r>
        <w:rPr>
          <w:sz w:val="24"/>
        </w:rPr>
        <w:t>Phagocytosis</w:t>
      </w:r>
      <w:r>
        <w:rPr>
          <w:spacing w:val="-4"/>
          <w:sz w:val="24"/>
        </w:rPr>
        <w:t> </w:t>
      </w:r>
      <w:r>
        <w:rPr>
          <w:sz w:val="24"/>
        </w:rPr>
        <w:t>and</w:t>
      </w:r>
      <w:r>
        <w:rPr>
          <w:spacing w:val="-4"/>
          <w:sz w:val="24"/>
        </w:rPr>
        <w:t> </w:t>
      </w:r>
      <w:r>
        <w:rPr>
          <w:sz w:val="24"/>
        </w:rPr>
        <w:t>actin</w:t>
      </w:r>
      <w:r>
        <w:rPr>
          <w:spacing w:val="-4"/>
          <w:sz w:val="24"/>
        </w:rPr>
        <w:t> </w:t>
      </w:r>
      <w:r>
        <w:rPr>
          <w:sz w:val="24"/>
        </w:rPr>
        <w:t>skeleton. </w:t>
      </w:r>
      <w:r>
        <w:rPr>
          <w:i/>
          <w:sz w:val="24"/>
        </w:rPr>
        <w:t>Journal</w:t>
      </w:r>
      <w:r>
        <w:rPr>
          <w:i/>
          <w:spacing w:val="-4"/>
          <w:sz w:val="24"/>
        </w:rPr>
        <w:t> </w:t>
      </w:r>
      <w:r>
        <w:rPr>
          <w:i/>
          <w:sz w:val="24"/>
        </w:rPr>
        <w:t>of</w:t>
      </w:r>
      <w:r>
        <w:rPr>
          <w:i/>
          <w:spacing w:val="-4"/>
          <w:sz w:val="24"/>
        </w:rPr>
        <w:t> </w:t>
      </w:r>
      <w:r>
        <w:rPr>
          <w:i/>
          <w:sz w:val="24"/>
        </w:rPr>
        <w:t>Cell Science. </w:t>
      </w:r>
      <w:r>
        <w:rPr>
          <w:sz w:val="24"/>
        </w:rPr>
        <w:t>114, 1061-1077.</w:t>
      </w:r>
    </w:p>
    <w:p>
      <w:pPr>
        <w:spacing w:line="276" w:lineRule="auto" w:before="236"/>
        <w:ind w:left="1467" w:right="843" w:hanging="720"/>
        <w:jc w:val="both"/>
        <w:rPr>
          <w:sz w:val="24"/>
        </w:rPr>
      </w:pPr>
      <w:r>
        <w:rPr>
          <w:sz w:val="24"/>
        </w:rPr>
        <w:t>Mediratta, P.K., Sharma, K.K. and Singh, S. (2002). Evaluation of immunomodulatory potential of </w:t>
      </w:r>
      <w:r>
        <w:rPr>
          <w:i/>
          <w:sz w:val="24"/>
        </w:rPr>
        <w:t>Ocimum sanctum </w:t>
      </w:r>
      <w:r>
        <w:rPr>
          <w:sz w:val="24"/>
        </w:rPr>
        <w:t>seed oil and its possible mechanism of action</w:t>
      </w:r>
      <w:r>
        <w:rPr>
          <w:i/>
          <w:sz w:val="24"/>
        </w:rPr>
        <w:t>. Journal of ethnopharmacology</w:t>
      </w:r>
      <w:r>
        <w:rPr>
          <w:sz w:val="24"/>
        </w:rPr>
        <w:t>, 80(1): 15-20.</w:t>
      </w:r>
    </w:p>
    <w:p>
      <w:pPr>
        <w:pStyle w:val="BodyText"/>
        <w:spacing w:line="276" w:lineRule="auto" w:before="241"/>
        <w:ind w:left="1467" w:right="851" w:hanging="720"/>
        <w:jc w:val="both"/>
      </w:pPr>
      <w:r>
        <w:rPr/>
        <w:t>Medzhitov, R. (2007). Recognition of microorganisms and activation of the immune response. </w:t>
      </w:r>
      <w:r>
        <w:rPr>
          <w:i/>
        </w:rPr>
        <w:t>Nature, </w:t>
      </w:r>
      <w:r>
        <w:rPr/>
        <w:t>449(7164): 819–26.</w:t>
      </w:r>
    </w:p>
    <w:p>
      <w:pPr>
        <w:spacing w:before="237"/>
        <w:ind w:left="1467" w:right="848" w:hanging="720"/>
        <w:jc w:val="both"/>
        <w:rPr>
          <w:sz w:val="24"/>
        </w:rPr>
      </w:pPr>
      <w:r>
        <w:rPr>
          <w:sz w:val="24"/>
        </w:rPr>
        <w:t>Morrell, M.R. (2009). The management of severe sepsis and septic shock. </w:t>
      </w:r>
      <w:r>
        <w:rPr>
          <w:i/>
          <w:sz w:val="24"/>
        </w:rPr>
        <w:t>Journal of Infectious Disease Clinics of North America</w:t>
      </w:r>
      <w:r>
        <w:rPr>
          <w:sz w:val="24"/>
        </w:rPr>
        <w:t>, 23(3): 485-501.</w:t>
      </w:r>
    </w:p>
    <w:p>
      <w:pPr>
        <w:pStyle w:val="BodyText"/>
        <w:spacing w:before="240"/>
        <w:ind w:left="1467" w:right="847" w:hanging="720"/>
        <w:jc w:val="both"/>
      </w:pPr>
      <w:r>
        <w:rPr/>
        <w:t>Mosyagin, I., Dettling, M., Roots I., Mueller-oerlinghansen, B. and Cascerbi, I. (2004). Impact of myeloperoxidase and NADPH-oxidase polymorphisms in drug induced agranulocytosis</w:t>
      </w:r>
      <w:r>
        <w:rPr>
          <w:i/>
        </w:rPr>
        <w:t>. Journal of clinical pharmacology, </w:t>
      </w:r>
      <w:r>
        <w:rPr/>
        <w:t>24: 613-617.</w:t>
      </w:r>
    </w:p>
    <w:p>
      <w:pPr>
        <w:spacing w:before="240"/>
        <w:ind w:left="1467" w:right="849" w:hanging="720"/>
        <w:jc w:val="both"/>
        <w:rPr>
          <w:sz w:val="24"/>
        </w:rPr>
      </w:pPr>
      <w:r>
        <w:rPr>
          <w:sz w:val="24"/>
        </w:rPr>
        <w:t>Mukinda, J.T. and Syce, J.A. (2007)</w:t>
      </w:r>
      <w:r>
        <w:rPr>
          <w:b/>
          <w:sz w:val="24"/>
        </w:rPr>
        <w:t>. </w:t>
      </w:r>
      <w:r>
        <w:rPr>
          <w:sz w:val="24"/>
        </w:rPr>
        <w:t>Acute and chronic toxicity of the aqueous extract of </w:t>
      </w:r>
      <w:r>
        <w:rPr>
          <w:i/>
          <w:sz w:val="24"/>
        </w:rPr>
        <w:t>Artemisia afra </w:t>
      </w:r>
      <w:r>
        <w:rPr>
          <w:sz w:val="24"/>
        </w:rPr>
        <w:t>in rodents. </w:t>
      </w:r>
      <w:r>
        <w:rPr>
          <w:i/>
          <w:sz w:val="24"/>
        </w:rPr>
        <w:t>Journal of Ethnopharmacology</w:t>
      </w:r>
      <w:r>
        <w:rPr>
          <w:sz w:val="24"/>
        </w:rPr>
        <w:t>, 112(1): 138-144.</w:t>
      </w:r>
    </w:p>
    <w:p>
      <w:pPr>
        <w:spacing w:before="240"/>
        <w:ind w:left="1467" w:right="845" w:hanging="720"/>
        <w:jc w:val="both"/>
        <w:rPr>
          <w:sz w:val="24"/>
        </w:rPr>
      </w:pPr>
      <w:r>
        <w:rPr>
          <w:sz w:val="24"/>
        </w:rPr>
        <w:t>Neil,</w:t>
      </w:r>
      <w:r>
        <w:rPr>
          <w:spacing w:val="-3"/>
          <w:sz w:val="24"/>
        </w:rPr>
        <w:t> </w:t>
      </w:r>
      <w:r>
        <w:rPr>
          <w:sz w:val="24"/>
        </w:rPr>
        <w:t>A.</w:t>
      </w:r>
      <w:r>
        <w:rPr>
          <w:spacing w:val="-3"/>
          <w:sz w:val="24"/>
        </w:rPr>
        <w:t> </w:t>
      </w:r>
      <w:r>
        <w:rPr>
          <w:sz w:val="24"/>
        </w:rPr>
        <w:t>and</w:t>
      </w:r>
      <w:r>
        <w:rPr>
          <w:spacing w:val="-3"/>
          <w:sz w:val="24"/>
        </w:rPr>
        <w:t> </w:t>
      </w:r>
      <w:r>
        <w:rPr>
          <w:sz w:val="24"/>
        </w:rPr>
        <w:t>Melton,</w:t>
      </w:r>
      <w:r>
        <w:rPr>
          <w:spacing w:val="-2"/>
          <w:sz w:val="24"/>
        </w:rPr>
        <w:t> </w:t>
      </w:r>
      <w:r>
        <w:rPr>
          <w:sz w:val="24"/>
        </w:rPr>
        <w:t>B.</w:t>
      </w:r>
      <w:r>
        <w:rPr>
          <w:spacing w:val="-3"/>
          <w:sz w:val="24"/>
        </w:rPr>
        <w:t> </w:t>
      </w:r>
      <w:r>
        <w:rPr>
          <w:sz w:val="24"/>
        </w:rPr>
        <w:t>(2000).</w:t>
      </w:r>
      <w:r>
        <w:rPr>
          <w:spacing w:val="-2"/>
          <w:sz w:val="24"/>
        </w:rPr>
        <w:t> </w:t>
      </w:r>
      <w:r>
        <w:rPr>
          <w:sz w:val="24"/>
        </w:rPr>
        <w:t>Leukocytosis:</w:t>
      </w:r>
      <w:r>
        <w:rPr>
          <w:spacing w:val="-3"/>
          <w:sz w:val="24"/>
        </w:rPr>
        <w:t> </w:t>
      </w:r>
      <w:r>
        <w:rPr>
          <w:sz w:val="24"/>
        </w:rPr>
        <w:t>Basics</w:t>
      </w:r>
      <w:r>
        <w:rPr>
          <w:spacing w:val="-3"/>
          <w:sz w:val="24"/>
        </w:rPr>
        <w:t> </w:t>
      </w:r>
      <w:r>
        <w:rPr>
          <w:sz w:val="24"/>
        </w:rPr>
        <w:t>of</w:t>
      </w:r>
      <w:r>
        <w:rPr>
          <w:spacing w:val="-4"/>
          <w:sz w:val="24"/>
        </w:rPr>
        <w:t> </w:t>
      </w:r>
      <w:r>
        <w:rPr>
          <w:sz w:val="24"/>
        </w:rPr>
        <w:t>Clinical</w:t>
      </w:r>
      <w:r>
        <w:rPr>
          <w:spacing w:val="-3"/>
          <w:sz w:val="24"/>
        </w:rPr>
        <w:t> </w:t>
      </w:r>
      <w:r>
        <w:rPr>
          <w:sz w:val="24"/>
        </w:rPr>
        <w:t>Assessment. </w:t>
      </w:r>
      <w:r>
        <w:rPr>
          <w:i/>
          <w:sz w:val="24"/>
        </w:rPr>
        <w:t>Journal</w:t>
      </w:r>
      <w:r>
        <w:rPr>
          <w:i/>
          <w:spacing w:val="-3"/>
          <w:sz w:val="24"/>
        </w:rPr>
        <w:t> </w:t>
      </w:r>
      <w:r>
        <w:rPr>
          <w:i/>
          <w:sz w:val="24"/>
        </w:rPr>
        <w:t>of American Family Physician</w:t>
      </w:r>
      <w:r>
        <w:rPr>
          <w:sz w:val="24"/>
        </w:rPr>
        <w:t>, 62(9): 2053-2060.</w:t>
      </w:r>
    </w:p>
    <w:p>
      <w:pPr>
        <w:pStyle w:val="BodyText"/>
        <w:spacing w:before="240"/>
        <w:ind w:left="1467" w:right="846" w:hanging="720"/>
        <w:jc w:val="both"/>
      </w:pPr>
      <w:r>
        <w:rPr/>
        <w:t>Ojewole, J. A. O. (2008). Analgesic and Antiinflammatory Effects of Mollic Acid Glucoside, a 1a-Hydroxycycloartenoid Saponin Extractive from </w:t>
      </w:r>
      <w:r>
        <w:rPr>
          <w:i/>
        </w:rPr>
        <w:t>Combretum molle </w:t>
      </w:r>
      <w:r>
        <w:rPr/>
        <w:t>R. Br.</w:t>
      </w:r>
      <w:r>
        <w:rPr>
          <w:spacing w:val="40"/>
        </w:rPr>
        <w:t> </w:t>
      </w:r>
      <w:r>
        <w:rPr/>
        <w:t>G. Don (Combretaceae) Leaf. </w:t>
      </w:r>
      <w:r>
        <w:rPr>
          <w:i/>
        </w:rPr>
        <w:t>Phytotherapy Research, </w:t>
      </w:r>
      <w:r>
        <w:rPr/>
        <w:t>22(1): 30- </w:t>
      </w:r>
      <w:r>
        <w:rPr>
          <w:spacing w:val="-4"/>
        </w:rPr>
        <w:t>35.</w:t>
      </w:r>
    </w:p>
    <w:p>
      <w:pPr>
        <w:spacing w:before="240"/>
        <w:ind w:left="1467" w:right="843" w:hanging="720"/>
        <w:jc w:val="both"/>
        <w:rPr>
          <w:sz w:val="24"/>
        </w:rPr>
      </w:pPr>
      <w:r>
        <w:rPr>
          <w:sz w:val="24"/>
        </w:rPr>
        <w:t>Olajide, O., Makinde, J. M. and Okpako, D.T. (2003). Evaluation of the anti- inflammatory property of the extract of </w:t>
      </w:r>
      <w:r>
        <w:rPr>
          <w:i/>
          <w:sz w:val="24"/>
        </w:rPr>
        <w:t>Combretum micranthum </w:t>
      </w:r>
      <w:r>
        <w:rPr>
          <w:sz w:val="24"/>
        </w:rPr>
        <w:t>G. Don. (Combretaceae). </w:t>
      </w:r>
      <w:r>
        <w:rPr>
          <w:i/>
          <w:sz w:val="24"/>
        </w:rPr>
        <w:t>Inflammopharmacology, </w:t>
      </w:r>
      <w:r>
        <w:rPr>
          <w:sz w:val="24"/>
        </w:rPr>
        <w:t>11(3): 293-298.</w:t>
      </w:r>
    </w:p>
    <w:p>
      <w:pPr>
        <w:spacing w:before="240"/>
        <w:ind w:left="1467" w:right="846" w:hanging="720"/>
        <w:jc w:val="both"/>
        <w:rPr>
          <w:sz w:val="24"/>
        </w:rPr>
      </w:pPr>
      <w:r>
        <w:rPr>
          <w:sz w:val="24"/>
        </w:rPr>
        <w:t>Osonwa, U. E., Umeyor, Chukwuebuka, E. O., Joel, E., Agboke, A. U. and Victor, M. (2012). Physico-Technical Properties of Tablets Formulated with Ethanolic Extract of Fresh Leaves of </w:t>
      </w:r>
      <w:r>
        <w:rPr>
          <w:i/>
          <w:sz w:val="24"/>
        </w:rPr>
        <w:t>Combretum micranthum </w:t>
      </w:r>
      <w:r>
        <w:rPr>
          <w:sz w:val="24"/>
        </w:rPr>
        <w:t>G. Don. </w:t>
      </w:r>
      <w:r>
        <w:rPr>
          <w:i/>
          <w:sz w:val="24"/>
        </w:rPr>
        <w:t>Journal of applied pharmaceutical sciences</w:t>
      </w:r>
      <w:r>
        <w:rPr>
          <w:sz w:val="24"/>
        </w:rPr>
        <w:t>, 2(12): 125-129.</w:t>
      </w:r>
    </w:p>
    <w:p>
      <w:pPr>
        <w:pStyle w:val="BodyText"/>
        <w:spacing w:before="241"/>
        <w:ind w:left="1467" w:right="847" w:hanging="720"/>
        <w:jc w:val="both"/>
      </w:pPr>
      <w:r>
        <w:rPr/>
        <w:t>Pallable, D.E., Dasupta, S.C. and Gomes, .A (1998). Immunopotentiating and Immunoprophylactic activities of Immune 21, a polyherbal product. </w:t>
      </w:r>
      <w:r>
        <w:rPr>
          <w:i/>
        </w:rPr>
        <w:t>Indian Journal of pharmacology</w:t>
      </w:r>
      <w:r>
        <w:rPr/>
        <w:t>, 30:163-168.</w:t>
      </w:r>
    </w:p>
    <w:p>
      <w:pPr>
        <w:spacing w:before="240"/>
        <w:ind w:left="1467" w:right="847" w:hanging="720"/>
        <w:jc w:val="both"/>
        <w:rPr>
          <w:sz w:val="24"/>
        </w:rPr>
      </w:pPr>
      <w:r>
        <w:rPr>
          <w:sz w:val="24"/>
        </w:rPr>
        <w:t>Parakrama, C. and Clive, R. T. (2005). </w:t>
      </w:r>
      <w:r>
        <w:rPr>
          <w:i/>
          <w:sz w:val="24"/>
        </w:rPr>
        <w:t>The Acute Inflammatory Response</w:t>
      </w:r>
      <w:r>
        <w:rPr>
          <w:sz w:val="24"/>
        </w:rPr>
        <w:t>, </w:t>
      </w:r>
      <w:r>
        <w:rPr>
          <w:i/>
          <w:sz w:val="24"/>
        </w:rPr>
        <w:t>The Host Response to Injury</w:t>
      </w:r>
      <w:r>
        <w:rPr>
          <w:sz w:val="24"/>
        </w:rPr>
        <w:t>, "Part A. </w:t>
      </w:r>
      <w:r>
        <w:rPr>
          <w:i/>
          <w:sz w:val="24"/>
        </w:rPr>
        <w:t>General Pathology</w:t>
      </w:r>
      <w:r>
        <w:rPr>
          <w:sz w:val="24"/>
        </w:rPr>
        <w:t>, Section II. sub-section</w:t>
      </w:r>
      <w:r>
        <w:rPr>
          <w:spacing w:val="80"/>
          <w:sz w:val="24"/>
        </w:rPr>
        <w:t> </w:t>
      </w:r>
      <w:r>
        <w:rPr>
          <w:i/>
          <w:sz w:val="24"/>
        </w:rPr>
        <w:t>Cardinal Clinical Signs</w:t>
      </w:r>
      <w:r>
        <w:rPr>
          <w:sz w:val="24"/>
        </w:rPr>
        <w:t>". </w:t>
      </w:r>
      <w:r>
        <w:rPr>
          <w:i/>
          <w:sz w:val="24"/>
        </w:rPr>
        <w:t>Concise Pathology </w:t>
      </w:r>
      <w:r>
        <w:rPr>
          <w:sz w:val="24"/>
        </w:rPr>
        <w:t>(3rd edition (Computer file) ed.). New York, N.Y.: McGraw-Hill. </w:t>
      </w:r>
      <w:hyperlink r:id="rId16">
        <w:r>
          <w:rPr>
            <w:sz w:val="24"/>
          </w:rPr>
          <w:t>http://www.tpgold.com/inflammation/</w:t>
        </w:r>
      </w:hyperlink>
    </w:p>
    <w:p>
      <w:pPr>
        <w:pStyle w:val="BodyText"/>
        <w:spacing w:before="241"/>
        <w:ind w:left="1467" w:right="852" w:hanging="720"/>
        <w:jc w:val="both"/>
      </w:pPr>
      <w:r>
        <w:rPr/>
        <w:t>Pavlidis, T.E.</w:t>
      </w:r>
      <w:r>
        <w:rPr>
          <w:spacing w:val="80"/>
        </w:rPr>
        <w:t> </w:t>
      </w:r>
      <w:r>
        <w:rPr/>
        <w:t>(2003). Cellular changes in association with defense mechanisms in</w:t>
      </w:r>
      <w:r>
        <w:rPr>
          <w:spacing w:val="40"/>
        </w:rPr>
        <w:t> </w:t>
      </w:r>
      <w:r>
        <w:rPr/>
        <w:t>intra-abdominal sepsis. </w:t>
      </w:r>
      <w:r>
        <w:rPr>
          <w:i/>
        </w:rPr>
        <w:t>Minerva Chiurgica</w:t>
      </w:r>
      <w:r>
        <w:rPr/>
        <w:t>, 58(6): 777-781.</w:t>
      </w:r>
    </w:p>
    <w:p>
      <w:pPr>
        <w:spacing w:after="0"/>
        <w:jc w:val="both"/>
        <w:sectPr>
          <w:pgSz w:w="11910" w:h="16840"/>
          <w:pgMar w:header="0" w:footer="981" w:top="1320" w:bottom="1180" w:left="1240" w:right="560"/>
        </w:sectPr>
      </w:pPr>
    </w:p>
    <w:p>
      <w:pPr>
        <w:pStyle w:val="BodyText"/>
        <w:spacing w:line="242" w:lineRule="auto" w:before="64"/>
        <w:ind w:left="1467" w:right="846" w:hanging="720"/>
        <w:jc w:val="both"/>
      </w:pPr>
      <w:r>
        <w:rPr/>
        <w:t>Pillay,</w:t>
      </w:r>
      <w:r>
        <w:rPr>
          <w:spacing w:val="-3"/>
        </w:rPr>
        <w:t> </w:t>
      </w:r>
      <w:r>
        <w:rPr/>
        <w:t>J.,</w:t>
      </w:r>
      <w:r>
        <w:rPr>
          <w:spacing w:val="-3"/>
        </w:rPr>
        <w:t> </w:t>
      </w:r>
      <w:r>
        <w:rPr/>
        <w:t>Den,</w:t>
      </w:r>
      <w:r>
        <w:rPr>
          <w:spacing w:val="-1"/>
        </w:rPr>
        <w:t> </w:t>
      </w:r>
      <w:r>
        <w:rPr/>
        <w:t>Braber. I.,</w:t>
      </w:r>
      <w:r>
        <w:rPr>
          <w:spacing w:val="-1"/>
        </w:rPr>
        <w:t> </w:t>
      </w:r>
      <w:r>
        <w:rPr/>
        <w:t>Vrisekoop,</w:t>
      </w:r>
      <w:r>
        <w:rPr>
          <w:spacing w:val="-3"/>
        </w:rPr>
        <w:t> </w:t>
      </w:r>
      <w:r>
        <w:rPr/>
        <w:t>N.,</w:t>
      </w:r>
      <w:r>
        <w:rPr>
          <w:spacing w:val="-3"/>
        </w:rPr>
        <w:t> </w:t>
      </w:r>
      <w:r>
        <w:rPr/>
        <w:t>Kwast,</w:t>
      </w:r>
      <w:r>
        <w:rPr>
          <w:spacing w:val="-1"/>
        </w:rPr>
        <w:t> </w:t>
      </w:r>
      <w:r>
        <w:rPr/>
        <w:t>L.M.,</w:t>
      </w:r>
      <w:r>
        <w:rPr>
          <w:spacing w:val="-3"/>
        </w:rPr>
        <w:t> </w:t>
      </w:r>
      <w:r>
        <w:rPr/>
        <w:t>De</w:t>
      </w:r>
      <w:r>
        <w:rPr>
          <w:spacing w:val="-5"/>
        </w:rPr>
        <w:t> </w:t>
      </w:r>
      <w:r>
        <w:rPr/>
        <w:t>Boer,</w:t>
      </w:r>
      <w:r>
        <w:rPr>
          <w:spacing w:val="-3"/>
        </w:rPr>
        <w:t> </w:t>
      </w:r>
      <w:r>
        <w:rPr/>
        <w:t>R.J.</w:t>
      </w:r>
      <w:r>
        <w:rPr>
          <w:spacing w:val="-3"/>
        </w:rPr>
        <w:t> </w:t>
      </w:r>
      <w:r>
        <w:rPr/>
        <w:t>and</w:t>
      </w:r>
      <w:r>
        <w:rPr>
          <w:spacing w:val="-3"/>
        </w:rPr>
        <w:t> </w:t>
      </w:r>
      <w:r>
        <w:rPr/>
        <w:t>Borghans,</w:t>
      </w:r>
      <w:r>
        <w:rPr>
          <w:spacing w:val="-3"/>
        </w:rPr>
        <w:t> </w:t>
      </w:r>
      <w:r>
        <w:rPr/>
        <w:t>J.A. (2010). In vivo labeling with water reveals a human neutrophil lifespan of 54 days. </w:t>
      </w:r>
      <w:r>
        <w:rPr>
          <w:i/>
        </w:rPr>
        <w:t>Blood, </w:t>
      </w:r>
      <w:r>
        <w:rPr/>
        <w:t>116 (4): 625–7.</w:t>
      </w:r>
    </w:p>
    <w:p>
      <w:pPr>
        <w:spacing w:before="192"/>
        <w:ind w:left="1467" w:right="852" w:hanging="720"/>
        <w:jc w:val="both"/>
        <w:rPr>
          <w:sz w:val="24"/>
        </w:rPr>
      </w:pPr>
      <w:r>
        <w:rPr>
          <w:sz w:val="24"/>
        </w:rPr>
        <w:t>Prosper, F. and Verfaillie, C.M. (2001): Regulation of hematopoiesis through adhesion receptors. </w:t>
      </w:r>
      <w:r>
        <w:rPr>
          <w:i/>
          <w:sz w:val="24"/>
        </w:rPr>
        <w:t>Journal of Leukocyte Biology, </w:t>
      </w:r>
      <w:r>
        <w:rPr>
          <w:sz w:val="24"/>
        </w:rPr>
        <w:t>69(3): 307-316.</w:t>
      </w:r>
    </w:p>
    <w:p>
      <w:pPr>
        <w:pStyle w:val="BodyText"/>
      </w:pPr>
    </w:p>
    <w:p>
      <w:pPr>
        <w:pStyle w:val="BodyText"/>
        <w:ind w:left="1467" w:right="848" w:hanging="720"/>
        <w:jc w:val="both"/>
      </w:pPr>
      <w:r>
        <w:rPr/>
        <w:t>Rajan, T.V. (2003). The Gell-Coombs classification of hypersensitivity reactions: a re- interpretation. </w:t>
      </w:r>
      <w:r>
        <w:rPr>
          <w:i/>
        </w:rPr>
        <w:t>Trends Immunology, </w:t>
      </w:r>
      <w:r>
        <w:rPr/>
        <w:t>24 (7): 376–9.</w:t>
      </w:r>
    </w:p>
    <w:p>
      <w:pPr>
        <w:pStyle w:val="BodyText"/>
      </w:pPr>
    </w:p>
    <w:p>
      <w:pPr>
        <w:pStyle w:val="BodyText"/>
        <w:ind w:left="1467" w:right="845" w:hanging="720"/>
        <w:jc w:val="both"/>
      </w:pPr>
      <w:r>
        <w:rPr/>
        <w:t>Rauha, J.P., Remes, S., Heinonen, M., Hopia, A., Kahkonen, M., Kujala, T., Pihlaja, K. and Vuorela, P. (2000). Antimicrobial Effects of Finnish Plant Extracts Containing</w:t>
      </w:r>
      <w:r>
        <w:rPr>
          <w:spacing w:val="-7"/>
        </w:rPr>
        <w:t> </w:t>
      </w:r>
      <w:r>
        <w:rPr/>
        <w:t>Flavonoids</w:t>
      </w:r>
      <w:r>
        <w:rPr>
          <w:spacing w:val="-3"/>
        </w:rPr>
        <w:t> </w:t>
      </w:r>
      <w:r>
        <w:rPr/>
        <w:t>and</w:t>
      </w:r>
      <w:r>
        <w:rPr>
          <w:spacing w:val="-5"/>
        </w:rPr>
        <w:t> </w:t>
      </w:r>
      <w:r>
        <w:rPr/>
        <w:t>Other</w:t>
      </w:r>
      <w:r>
        <w:rPr>
          <w:spacing w:val="-5"/>
        </w:rPr>
        <w:t> </w:t>
      </w:r>
      <w:r>
        <w:rPr/>
        <w:t>Phenolic</w:t>
      </w:r>
      <w:r>
        <w:rPr>
          <w:spacing w:val="-6"/>
        </w:rPr>
        <w:t> </w:t>
      </w:r>
      <w:r>
        <w:rPr/>
        <w:t>Compounds.</w:t>
      </w:r>
      <w:r>
        <w:rPr>
          <w:spacing w:val="-2"/>
        </w:rPr>
        <w:t> </w:t>
      </w:r>
      <w:r>
        <w:rPr>
          <w:i/>
        </w:rPr>
        <w:t>Interternational</w:t>
      </w:r>
      <w:r>
        <w:rPr>
          <w:i/>
          <w:spacing w:val="-5"/>
        </w:rPr>
        <w:t> </w:t>
      </w:r>
      <w:r>
        <w:rPr>
          <w:i/>
        </w:rPr>
        <w:t>Journal of Food Microbiology, </w:t>
      </w:r>
      <w:r>
        <w:rPr/>
        <w:t>56(1): 3-12.</w:t>
      </w:r>
    </w:p>
    <w:p>
      <w:pPr>
        <w:pStyle w:val="BodyText"/>
      </w:pPr>
    </w:p>
    <w:p>
      <w:pPr>
        <w:pStyle w:val="BodyText"/>
        <w:spacing w:before="1"/>
        <w:ind w:left="1467" w:right="846" w:hanging="720"/>
        <w:jc w:val="both"/>
      </w:pPr>
      <w:r>
        <w:rPr/>
        <w:t>Romero, P., Cerottini, J.C. and Speiser, D.E. (2006). The human T cell response to melanoma antigens. </w:t>
      </w:r>
      <w:r>
        <w:rPr>
          <w:i/>
        </w:rPr>
        <w:t>Advances in Immunology</w:t>
      </w:r>
      <w:r>
        <w:rPr/>
        <w:t>, 92: 187–224.</w:t>
      </w:r>
    </w:p>
    <w:p>
      <w:pPr>
        <w:pStyle w:val="BodyText"/>
      </w:pPr>
    </w:p>
    <w:p>
      <w:pPr>
        <w:pStyle w:val="BodyText"/>
        <w:ind w:left="697" w:right="804"/>
        <w:jc w:val="center"/>
      </w:pPr>
      <w:r>
        <w:rPr/>
        <w:t>Schroeder,</w:t>
      </w:r>
      <w:r>
        <w:rPr>
          <w:spacing w:val="18"/>
        </w:rPr>
        <w:t> </w:t>
      </w:r>
      <w:r>
        <w:rPr/>
        <w:t>H.W.</w:t>
      </w:r>
      <w:r>
        <w:rPr>
          <w:spacing w:val="19"/>
        </w:rPr>
        <w:t> </w:t>
      </w:r>
      <w:r>
        <w:rPr/>
        <w:t>and</w:t>
      </w:r>
      <w:r>
        <w:rPr>
          <w:spacing w:val="20"/>
        </w:rPr>
        <w:t> </w:t>
      </w:r>
      <w:r>
        <w:rPr/>
        <w:t>Cavacini,</w:t>
      </w:r>
      <w:r>
        <w:rPr>
          <w:spacing w:val="21"/>
        </w:rPr>
        <w:t> </w:t>
      </w:r>
      <w:r>
        <w:rPr/>
        <w:t>L.</w:t>
      </w:r>
      <w:r>
        <w:rPr>
          <w:spacing w:val="19"/>
        </w:rPr>
        <w:t> </w:t>
      </w:r>
      <w:r>
        <w:rPr/>
        <w:t>(2010).</w:t>
      </w:r>
      <w:r>
        <w:rPr>
          <w:spacing w:val="19"/>
        </w:rPr>
        <w:t> </w:t>
      </w:r>
      <w:r>
        <w:rPr/>
        <w:t>Structure</w:t>
      </w:r>
      <w:r>
        <w:rPr>
          <w:spacing w:val="18"/>
        </w:rPr>
        <w:t> </w:t>
      </w:r>
      <w:r>
        <w:rPr/>
        <w:t>and</w:t>
      </w:r>
      <w:r>
        <w:rPr>
          <w:spacing w:val="20"/>
        </w:rPr>
        <w:t> </w:t>
      </w:r>
      <w:r>
        <w:rPr/>
        <w:t>function</w:t>
      </w:r>
      <w:r>
        <w:rPr>
          <w:spacing w:val="19"/>
        </w:rPr>
        <w:t> </w:t>
      </w:r>
      <w:r>
        <w:rPr/>
        <w:t>of</w:t>
      </w:r>
      <w:r>
        <w:rPr>
          <w:spacing w:val="19"/>
        </w:rPr>
        <w:t> </w:t>
      </w:r>
      <w:r>
        <w:rPr>
          <w:spacing w:val="-2"/>
        </w:rPr>
        <w:t>immunoglobulins.</w:t>
      </w:r>
    </w:p>
    <w:p>
      <w:pPr>
        <w:spacing w:before="0"/>
        <w:ind w:left="1467" w:right="0" w:firstLine="0"/>
        <w:jc w:val="left"/>
        <w:rPr>
          <w:sz w:val="24"/>
        </w:rPr>
      </w:pPr>
      <w:r>
        <w:rPr>
          <w:i/>
          <w:sz w:val="24"/>
        </w:rPr>
        <w:t>Journal</w:t>
      </w:r>
      <w:r>
        <w:rPr>
          <w:i/>
          <w:spacing w:val="-1"/>
          <w:sz w:val="24"/>
        </w:rPr>
        <w:t> </w:t>
      </w:r>
      <w:r>
        <w:rPr>
          <w:i/>
          <w:sz w:val="24"/>
        </w:rPr>
        <w:t>of</w:t>
      </w:r>
      <w:r>
        <w:rPr>
          <w:i/>
          <w:spacing w:val="-1"/>
          <w:sz w:val="24"/>
        </w:rPr>
        <w:t> </w:t>
      </w:r>
      <w:r>
        <w:rPr>
          <w:i/>
          <w:sz w:val="24"/>
        </w:rPr>
        <w:t>Allergy</w:t>
      </w:r>
      <w:r>
        <w:rPr>
          <w:i/>
          <w:spacing w:val="-3"/>
          <w:sz w:val="24"/>
        </w:rPr>
        <w:t> </w:t>
      </w:r>
      <w:r>
        <w:rPr>
          <w:i/>
          <w:sz w:val="24"/>
        </w:rPr>
        <w:t>and</w:t>
      </w:r>
      <w:r>
        <w:rPr>
          <w:i/>
          <w:spacing w:val="59"/>
          <w:sz w:val="24"/>
        </w:rPr>
        <w:t> </w:t>
      </w:r>
      <w:r>
        <w:rPr>
          <w:i/>
          <w:sz w:val="24"/>
        </w:rPr>
        <w:t>Clinical</w:t>
      </w:r>
      <w:r>
        <w:rPr>
          <w:i/>
          <w:spacing w:val="-1"/>
          <w:sz w:val="24"/>
        </w:rPr>
        <w:t> </w:t>
      </w:r>
      <w:r>
        <w:rPr>
          <w:i/>
          <w:sz w:val="24"/>
        </w:rPr>
        <w:t>Immunology;</w:t>
      </w:r>
      <w:r>
        <w:rPr>
          <w:i/>
          <w:spacing w:val="1"/>
          <w:sz w:val="24"/>
        </w:rPr>
        <w:t> </w:t>
      </w:r>
      <w:r>
        <w:rPr>
          <w:sz w:val="24"/>
        </w:rPr>
        <w:t>125(2):41-</w:t>
      </w:r>
      <w:r>
        <w:rPr>
          <w:spacing w:val="-5"/>
          <w:sz w:val="24"/>
        </w:rPr>
        <w:t>52.</w:t>
      </w:r>
    </w:p>
    <w:p>
      <w:pPr>
        <w:pStyle w:val="BodyText"/>
      </w:pPr>
    </w:p>
    <w:p>
      <w:pPr>
        <w:pStyle w:val="BodyText"/>
        <w:ind w:left="1467" w:right="848" w:hanging="720"/>
        <w:jc w:val="both"/>
      </w:pPr>
      <w:r>
        <w:rPr/>
        <w:t>Schulten, E.M., Yates, L.M and Taylor, R.L. (2007).Antibody response against Sheep Red Blood Cells in lines congenic for Major Histocompatibility (</w:t>
      </w:r>
      <w:r>
        <w:rPr>
          <w:i/>
        </w:rPr>
        <w:t>B</w:t>
      </w:r>
      <w:r>
        <w:rPr/>
        <w:t>) Complex Recombinants. </w:t>
      </w:r>
      <w:r>
        <w:rPr>
          <w:i/>
        </w:rPr>
        <w:t>International Journal of Poultry Science, </w:t>
      </w:r>
      <w:r>
        <w:rPr/>
        <w:t>6 (10): 732-738.</w:t>
      </w:r>
    </w:p>
    <w:p>
      <w:pPr>
        <w:pStyle w:val="BodyText"/>
      </w:pPr>
    </w:p>
    <w:p>
      <w:pPr>
        <w:pStyle w:val="BodyText"/>
        <w:ind w:left="1467" w:right="846" w:hanging="720"/>
        <w:jc w:val="both"/>
      </w:pPr>
      <w:r>
        <w:rPr/>
        <w:t>Serhan, C. N. (2008). Controlling the resolution of acute inflammation: a new genus of dual anti-inflammatory and proresolving mediators. </w:t>
      </w:r>
      <w:r>
        <w:rPr>
          <w:i/>
        </w:rPr>
        <w:t>Journal of Periodontology</w:t>
      </w:r>
      <w:r>
        <w:rPr/>
        <w:t>, 79 (8): 1520–1526.</w:t>
      </w:r>
    </w:p>
    <w:p>
      <w:pPr>
        <w:pStyle w:val="BodyText"/>
      </w:pPr>
    </w:p>
    <w:p>
      <w:pPr>
        <w:spacing w:line="240" w:lineRule="auto" w:before="0"/>
        <w:ind w:left="1467" w:right="846" w:hanging="720"/>
        <w:jc w:val="both"/>
        <w:rPr>
          <w:sz w:val="24"/>
        </w:rPr>
      </w:pPr>
      <w:r>
        <w:rPr>
          <w:sz w:val="24"/>
        </w:rPr>
        <w:t>Solomkin, J.S. (2009). Intra abdominal sepsis: Newer intervention and antimicrobial therapies.</w:t>
      </w:r>
      <w:r>
        <w:rPr>
          <w:spacing w:val="40"/>
          <w:sz w:val="24"/>
        </w:rPr>
        <w:t> </w:t>
      </w:r>
      <w:r>
        <w:rPr>
          <w:i/>
          <w:sz w:val="24"/>
        </w:rPr>
        <w:t>Journal </w:t>
      </w:r>
      <w:r>
        <w:rPr>
          <w:sz w:val="24"/>
        </w:rPr>
        <w:t>of </w:t>
      </w:r>
      <w:r>
        <w:rPr>
          <w:i/>
          <w:sz w:val="24"/>
        </w:rPr>
        <w:t>Infectious Disease Clinics of North America</w:t>
      </w:r>
      <w:r>
        <w:rPr>
          <w:sz w:val="24"/>
        </w:rPr>
        <w:t>, 23(3): 593- </w:t>
      </w:r>
      <w:r>
        <w:rPr>
          <w:spacing w:val="-4"/>
          <w:sz w:val="24"/>
        </w:rPr>
        <w:t>608.</w:t>
      </w:r>
    </w:p>
    <w:p>
      <w:pPr>
        <w:spacing w:before="200"/>
        <w:ind w:left="1467" w:right="844" w:hanging="720"/>
        <w:jc w:val="both"/>
        <w:rPr>
          <w:sz w:val="24"/>
        </w:rPr>
      </w:pPr>
      <w:r>
        <w:rPr>
          <w:sz w:val="24"/>
        </w:rPr>
        <w:t>Subramanian, S. and Ramalingam, K. (2005). Electron microscopic evidence on the participation Cytotoxic T Lymphocytes and Macrophages in Mtb adjuvant induced connective tissue inflammation and arthritogenesis in Rattus</w:t>
      </w:r>
      <w:r>
        <w:rPr>
          <w:spacing w:val="80"/>
          <w:sz w:val="24"/>
        </w:rPr>
        <w:t> </w:t>
      </w:r>
      <w:r>
        <w:rPr>
          <w:sz w:val="24"/>
        </w:rPr>
        <w:t>norvegicus. </w:t>
      </w:r>
      <w:r>
        <w:rPr>
          <w:i/>
          <w:sz w:val="24"/>
        </w:rPr>
        <w:t>Asian Journal of Microbiology, Biotechnology and Environmental Sciences, </w:t>
      </w:r>
      <w:r>
        <w:rPr>
          <w:b/>
          <w:sz w:val="24"/>
        </w:rPr>
        <w:t>7</w:t>
      </w:r>
      <w:r>
        <w:rPr>
          <w:sz w:val="24"/>
        </w:rPr>
        <w:t>(2):227–233.</w:t>
      </w:r>
    </w:p>
    <w:p>
      <w:pPr>
        <w:pStyle w:val="BodyText"/>
      </w:pPr>
    </w:p>
    <w:p>
      <w:pPr>
        <w:pStyle w:val="BodyText"/>
        <w:ind w:left="1467" w:right="845" w:hanging="660"/>
        <w:jc w:val="both"/>
      </w:pPr>
      <w:r>
        <w:rPr/>
        <w:t>Suffredini, A.F., Fantuzzi, G., Badolato, R., Oppenheim, J.J. and. O'Grady, N.P.</w:t>
      </w:r>
      <w:r>
        <w:rPr>
          <w:spacing w:val="40"/>
        </w:rPr>
        <w:t> </w:t>
      </w:r>
      <w:r>
        <w:rPr/>
        <w:t>(1999). New insights into the biology of the acute phase response. </w:t>
      </w:r>
      <w:r>
        <w:rPr>
          <w:i/>
        </w:rPr>
        <w:t>Journal of Clinical Immunology</w:t>
      </w:r>
      <w:r>
        <w:rPr/>
        <w:t>, 19(4): 203–214.</w:t>
      </w:r>
    </w:p>
    <w:p>
      <w:pPr>
        <w:pStyle w:val="BodyText"/>
      </w:pPr>
    </w:p>
    <w:p>
      <w:pPr>
        <w:pStyle w:val="BodyText"/>
        <w:spacing w:before="1"/>
        <w:ind w:left="1467" w:right="851" w:hanging="720"/>
        <w:jc w:val="both"/>
      </w:pPr>
      <w:r>
        <w:rPr/>
        <w:t>Thatte, U.M., Chhabria, S.N., Karandikar, S.M. and Dahanukar, S.A. (1987). Protective effects of Indian medicinal plants against cyclophosphamide induced neutropenia. </w:t>
      </w:r>
      <w:r>
        <w:rPr>
          <w:i/>
        </w:rPr>
        <w:t>Journal of post graduate Medicine, </w:t>
      </w:r>
      <w:r>
        <w:rPr/>
        <w:t>33(4):185-188.</w:t>
      </w:r>
    </w:p>
    <w:p>
      <w:pPr>
        <w:spacing w:before="276"/>
        <w:ind w:left="535" w:right="634" w:firstLine="0"/>
        <w:jc w:val="center"/>
        <w:rPr>
          <w:sz w:val="24"/>
        </w:rPr>
      </w:pPr>
      <w:r>
        <w:rPr>
          <w:sz w:val="24"/>
        </w:rPr>
        <w:t>The</w:t>
      </w:r>
      <w:r>
        <w:rPr>
          <w:spacing w:val="28"/>
          <w:sz w:val="24"/>
        </w:rPr>
        <w:t> </w:t>
      </w:r>
      <w:r>
        <w:rPr>
          <w:sz w:val="24"/>
        </w:rPr>
        <w:t>World</w:t>
      </w:r>
      <w:r>
        <w:rPr>
          <w:spacing w:val="32"/>
          <w:sz w:val="24"/>
        </w:rPr>
        <w:t> </w:t>
      </w:r>
      <w:r>
        <w:rPr>
          <w:sz w:val="24"/>
        </w:rPr>
        <w:t>Health</w:t>
      </w:r>
      <w:r>
        <w:rPr>
          <w:spacing w:val="32"/>
          <w:sz w:val="24"/>
        </w:rPr>
        <w:t> </w:t>
      </w:r>
      <w:r>
        <w:rPr>
          <w:sz w:val="24"/>
        </w:rPr>
        <w:t>Organization</w:t>
      </w:r>
      <w:r>
        <w:rPr>
          <w:i/>
          <w:sz w:val="24"/>
        </w:rPr>
        <w:t>)</w:t>
      </w:r>
      <w:r>
        <w:rPr>
          <w:i/>
          <w:spacing w:val="28"/>
          <w:sz w:val="24"/>
        </w:rPr>
        <w:t> </w:t>
      </w:r>
      <w:r>
        <w:rPr>
          <w:sz w:val="24"/>
        </w:rPr>
        <w:t>(2002).</w:t>
      </w:r>
      <w:r>
        <w:rPr>
          <w:spacing w:val="32"/>
          <w:sz w:val="24"/>
        </w:rPr>
        <w:t> </w:t>
      </w:r>
      <w:r>
        <w:rPr>
          <w:i/>
          <w:sz w:val="24"/>
        </w:rPr>
        <w:t>Global</w:t>
      </w:r>
      <w:r>
        <w:rPr>
          <w:i/>
          <w:spacing w:val="32"/>
          <w:sz w:val="24"/>
        </w:rPr>
        <w:t> </w:t>
      </w:r>
      <w:r>
        <w:rPr>
          <w:i/>
          <w:sz w:val="24"/>
        </w:rPr>
        <w:t>Burden</w:t>
      </w:r>
      <w:r>
        <w:rPr>
          <w:i/>
          <w:spacing w:val="31"/>
          <w:sz w:val="24"/>
        </w:rPr>
        <w:t> </w:t>
      </w:r>
      <w:r>
        <w:rPr>
          <w:i/>
          <w:sz w:val="24"/>
        </w:rPr>
        <w:t>of</w:t>
      </w:r>
      <w:r>
        <w:rPr>
          <w:i/>
          <w:spacing w:val="32"/>
          <w:sz w:val="24"/>
        </w:rPr>
        <w:t> </w:t>
      </w:r>
      <w:r>
        <w:rPr>
          <w:i/>
          <w:sz w:val="24"/>
        </w:rPr>
        <w:t>Diseases</w:t>
      </w:r>
      <w:r>
        <w:rPr>
          <w:i/>
          <w:spacing w:val="32"/>
          <w:sz w:val="24"/>
        </w:rPr>
        <w:t> </w:t>
      </w:r>
      <w:r>
        <w:rPr>
          <w:i/>
          <w:sz w:val="24"/>
        </w:rPr>
        <w:t>(GBD)</w:t>
      </w:r>
      <w:r>
        <w:rPr>
          <w:i/>
          <w:spacing w:val="29"/>
          <w:sz w:val="24"/>
        </w:rPr>
        <w:t> </w:t>
      </w:r>
      <w:r>
        <w:rPr>
          <w:i/>
          <w:spacing w:val="-2"/>
          <w:sz w:val="24"/>
        </w:rPr>
        <w:t>estimate</w:t>
      </w:r>
      <w:r>
        <w:rPr>
          <w:spacing w:val="-2"/>
          <w:sz w:val="24"/>
        </w:rPr>
        <w:t>.</w:t>
      </w:r>
    </w:p>
    <w:p>
      <w:pPr>
        <w:pStyle w:val="BodyText"/>
        <w:ind w:left="1467"/>
      </w:pPr>
      <w:hyperlink r:id="rId17">
        <w:r>
          <w:rPr/>
          <w:t>.http://www.who.int/he</w:t>
        </w:r>
      </w:hyperlink>
      <w:r>
        <w:rPr/>
        <w:t>a</w:t>
      </w:r>
      <w:hyperlink r:id="rId17">
        <w:r>
          <w:rPr/>
          <w:t>lthinfo/bodestimates/en.</w:t>
        </w:r>
      </w:hyperlink>
      <w:r>
        <w:rPr>
          <w:spacing w:val="-3"/>
        </w:rPr>
        <w:t> </w:t>
      </w:r>
      <w:r>
        <w:rPr/>
        <w:t>(accessed</w:t>
      </w:r>
      <w:r>
        <w:rPr>
          <w:spacing w:val="-2"/>
        </w:rPr>
        <w:t> </w:t>
      </w:r>
      <w:r>
        <w:rPr/>
        <w:t>March</w:t>
      </w:r>
      <w:r>
        <w:rPr>
          <w:spacing w:val="-3"/>
        </w:rPr>
        <w:t> </w:t>
      </w:r>
      <w:r>
        <w:rPr/>
        <w:t>26,</w:t>
      </w:r>
      <w:r>
        <w:rPr>
          <w:spacing w:val="-2"/>
        </w:rPr>
        <w:t> 2012).</w:t>
      </w:r>
    </w:p>
    <w:p>
      <w:pPr>
        <w:spacing w:after="0"/>
        <w:sectPr>
          <w:pgSz w:w="11910" w:h="16840"/>
          <w:pgMar w:header="0" w:footer="981" w:top="1320" w:bottom="1180" w:left="1240" w:right="560"/>
        </w:sectPr>
      </w:pPr>
    </w:p>
    <w:p>
      <w:pPr>
        <w:spacing w:before="64"/>
        <w:ind w:left="1467" w:right="848" w:hanging="720"/>
        <w:jc w:val="both"/>
        <w:rPr>
          <w:sz w:val="24"/>
        </w:rPr>
      </w:pPr>
      <w:r>
        <w:rPr>
          <w:sz w:val="24"/>
        </w:rPr>
        <w:t>Theodore, K., Christopher, P. B., Maike, K. and Ronald, J. K. (2012). Cell Biology of Ischemia/Reperfusion Injury</w:t>
      </w:r>
      <w:r>
        <w:rPr>
          <w:i/>
          <w:sz w:val="24"/>
        </w:rPr>
        <w:t>. Journal of international review of cell and molecular biology</w:t>
      </w:r>
      <w:r>
        <w:rPr>
          <w:sz w:val="24"/>
        </w:rPr>
        <w:t>, 298:</w:t>
      </w:r>
      <w:r>
        <w:rPr>
          <w:spacing w:val="40"/>
          <w:sz w:val="24"/>
        </w:rPr>
        <w:t> </w:t>
      </w:r>
      <w:r>
        <w:rPr>
          <w:sz w:val="24"/>
        </w:rPr>
        <w:t>229–317.</w:t>
      </w:r>
    </w:p>
    <w:p>
      <w:pPr>
        <w:spacing w:before="241"/>
        <w:ind w:left="1467" w:right="845" w:hanging="720"/>
        <w:jc w:val="both"/>
        <w:rPr>
          <w:sz w:val="24"/>
        </w:rPr>
      </w:pPr>
      <w:r>
        <w:rPr>
          <w:sz w:val="24"/>
        </w:rPr>
        <w:t>Thomas, P., Stossel, H., Robert, I. and Samuel, E.L. (2003). </w:t>
      </w:r>
      <w:r>
        <w:rPr>
          <w:i/>
          <w:sz w:val="24"/>
        </w:rPr>
        <w:t>Blood: Principles and Practice of Hematology </w:t>
      </w:r>
      <w:r>
        <w:rPr>
          <w:sz w:val="24"/>
        </w:rPr>
        <w:t>(2nd ed.). Philadelphia: Lippincott Williams and Wilkins. p.471.</w:t>
      </w:r>
    </w:p>
    <w:p>
      <w:pPr>
        <w:pStyle w:val="BodyText"/>
        <w:spacing w:before="240"/>
        <w:ind w:left="1467" w:right="846" w:hanging="720"/>
        <w:jc w:val="both"/>
      </w:pPr>
      <w:r>
        <w:rPr/>
        <w:t>Trease, G.E. and Evan, W.C. (2002). Drugs of Biological origin. In; Evans, W. C. (Ed). A Text Book of Pharmacognosy, 15</w:t>
      </w:r>
      <w:r>
        <w:rPr>
          <w:vertAlign w:val="superscript"/>
        </w:rPr>
        <w:t>th</w:t>
      </w:r>
      <w:r>
        <w:rPr>
          <w:vertAlign w:val="baseline"/>
        </w:rPr>
        <w:t> edition, London: Bailliere Tindall. Pp137- </w:t>
      </w:r>
      <w:r>
        <w:rPr>
          <w:spacing w:val="-4"/>
          <w:vertAlign w:val="baseline"/>
        </w:rPr>
        <w:t>149.</w:t>
      </w:r>
    </w:p>
    <w:p>
      <w:pPr>
        <w:spacing w:line="242" w:lineRule="auto" w:before="240"/>
        <w:ind w:left="1467" w:right="848" w:hanging="720"/>
        <w:jc w:val="both"/>
        <w:rPr>
          <w:sz w:val="24"/>
        </w:rPr>
      </w:pPr>
      <w:r>
        <w:rPr>
          <w:sz w:val="24"/>
        </w:rPr>
        <w:t>Tsiotou, A.G., Sakorafas, G.H., Anagnostopoulos, G. and Bramis, J.</w:t>
      </w:r>
      <w:r>
        <w:rPr>
          <w:spacing w:val="40"/>
          <w:sz w:val="24"/>
        </w:rPr>
        <w:t> </w:t>
      </w:r>
      <w:r>
        <w:rPr>
          <w:sz w:val="24"/>
        </w:rPr>
        <w:t>(2005). Septic shock: Current pathogenetic concepts from a clinical perspective. </w:t>
      </w:r>
      <w:r>
        <w:rPr>
          <w:i/>
          <w:sz w:val="24"/>
        </w:rPr>
        <w:t>International Medical Journal of Experimental and Clinical Reseach, </w:t>
      </w:r>
      <w:r>
        <w:rPr>
          <w:sz w:val="24"/>
        </w:rPr>
        <w:t>11(3): 76-85.</w:t>
      </w:r>
    </w:p>
    <w:p>
      <w:pPr>
        <w:spacing w:before="192"/>
        <w:ind w:left="1467" w:right="846" w:hanging="720"/>
        <w:jc w:val="both"/>
        <w:rPr>
          <w:sz w:val="24"/>
        </w:rPr>
      </w:pPr>
      <w:r>
        <w:rPr>
          <w:sz w:val="24"/>
        </w:rPr>
        <w:t>Uduma, E.</w:t>
      </w:r>
      <w:r>
        <w:rPr>
          <w:spacing w:val="-1"/>
          <w:sz w:val="24"/>
        </w:rPr>
        <w:t> </w:t>
      </w:r>
      <w:r>
        <w:rPr>
          <w:sz w:val="24"/>
        </w:rPr>
        <w:t>O.,</w:t>
      </w:r>
      <w:r>
        <w:rPr>
          <w:spacing w:val="-1"/>
          <w:sz w:val="24"/>
        </w:rPr>
        <w:t> </w:t>
      </w:r>
      <w:r>
        <w:rPr>
          <w:sz w:val="24"/>
        </w:rPr>
        <w:t>Chukwuebuka, E.</w:t>
      </w:r>
      <w:r>
        <w:rPr>
          <w:spacing w:val="-1"/>
          <w:sz w:val="24"/>
        </w:rPr>
        <w:t> </w:t>
      </w:r>
      <w:r>
        <w:rPr>
          <w:sz w:val="24"/>
        </w:rPr>
        <w:t>U.,</w:t>
      </w:r>
      <w:r>
        <w:rPr>
          <w:spacing w:val="-1"/>
          <w:sz w:val="24"/>
        </w:rPr>
        <w:t> </w:t>
      </w:r>
      <w:r>
        <w:rPr>
          <w:sz w:val="24"/>
        </w:rPr>
        <w:t>Uduak, V.</w:t>
      </w:r>
      <w:r>
        <w:rPr>
          <w:spacing w:val="-1"/>
          <w:sz w:val="24"/>
        </w:rPr>
        <w:t> </w:t>
      </w:r>
      <w:r>
        <w:rPr>
          <w:sz w:val="24"/>
        </w:rPr>
        <w:t>O., Emmanuel, M.U</w:t>
      </w:r>
      <w:r>
        <w:rPr>
          <w:spacing w:val="-1"/>
          <w:sz w:val="24"/>
        </w:rPr>
        <w:t> </w:t>
      </w:r>
      <w:r>
        <w:rPr>
          <w:sz w:val="24"/>
        </w:rPr>
        <w:t>and Calistus, D.</w:t>
      </w:r>
      <w:r>
        <w:rPr>
          <w:spacing w:val="-1"/>
          <w:sz w:val="24"/>
        </w:rPr>
        <w:t> </w:t>
      </w:r>
      <w:r>
        <w:rPr>
          <w:sz w:val="24"/>
        </w:rPr>
        <w:t>N. (2012). Stability Studies on the Aqueous Extract of the Fresh Leaves of </w:t>
      </w:r>
      <w:r>
        <w:rPr>
          <w:i/>
          <w:sz w:val="24"/>
        </w:rPr>
        <w:t>Combretum micranthum </w:t>
      </w:r>
      <w:r>
        <w:rPr>
          <w:sz w:val="24"/>
        </w:rPr>
        <w:t>G. Don.</w:t>
      </w:r>
      <w:r>
        <w:rPr>
          <w:spacing w:val="-1"/>
          <w:sz w:val="24"/>
        </w:rPr>
        <w:t> </w:t>
      </w:r>
      <w:r>
        <w:rPr>
          <w:sz w:val="24"/>
        </w:rPr>
        <w:t>Used as</w:t>
      </w:r>
      <w:r>
        <w:rPr>
          <w:spacing w:val="-1"/>
          <w:sz w:val="24"/>
        </w:rPr>
        <w:t> </w:t>
      </w:r>
      <w:r>
        <w:rPr>
          <w:sz w:val="24"/>
        </w:rPr>
        <w:t>Antibacterial Agent. </w:t>
      </w:r>
      <w:r>
        <w:rPr>
          <w:i/>
          <w:sz w:val="24"/>
        </w:rPr>
        <w:t>England</w:t>
      </w:r>
      <w:r>
        <w:rPr>
          <w:i/>
          <w:spacing w:val="40"/>
          <w:sz w:val="24"/>
        </w:rPr>
        <w:t> </w:t>
      </w:r>
      <w:r>
        <w:rPr>
          <w:i/>
          <w:sz w:val="24"/>
        </w:rPr>
        <w:t>Journal of Chemical Engineering</w:t>
      </w:r>
      <w:r>
        <w:rPr>
          <w:sz w:val="24"/>
        </w:rPr>
        <w:t>, 6: 417-424.</w:t>
      </w:r>
    </w:p>
    <w:p>
      <w:pPr>
        <w:pStyle w:val="BodyText"/>
        <w:tabs>
          <w:tab w:pos="1925" w:val="left" w:leader="none"/>
          <w:tab w:pos="2267" w:val="left" w:leader="none"/>
          <w:tab w:pos="3154" w:val="left" w:leader="none"/>
          <w:tab w:pos="4066" w:val="left" w:leader="none"/>
          <w:tab w:pos="5596" w:val="left" w:leader="none"/>
          <w:tab w:pos="6569" w:val="left" w:leader="none"/>
          <w:tab w:pos="7363" w:val="left" w:leader="none"/>
          <w:tab w:pos="8543" w:val="left" w:leader="none"/>
        </w:tabs>
        <w:spacing w:before="240"/>
        <w:ind w:left="1467" w:right="846" w:hanging="720"/>
      </w:pPr>
      <w:r>
        <w:rPr>
          <w:spacing w:val="-2"/>
        </w:rPr>
        <w:t>UNAIDS</w:t>
      </w:r>
      <w:r>
        <w:rPr/>
        <w:tab/>
      </w:r>
      <w:r>
        <w:rPr>
          <w:spacing w:val="-10"/>
        </w:rPr>
        <w:t>/</w:t>
      </w:r>
      <w:r>
        <w:rPr/>
        <w:tab/>
      </w:r>
      <w:r>
        <w:rPr>
          <w:spacing w:val="-4"/>
        </w:rPr>
        <w:t>World</w:t>
      </w:r>
      <w:r>
        <w:rPr/>
        <w:tab/>
      </w:r>
      <w:r>
        <w:rPr>
          <w:spacing w:val="-2"/>
        </w:rPr>
        <w:t>Health</w:t>
      </w:r>
      <w:r>
        <w:rPr/>
        <w:tab/>
      </w:r>
      <w:r>
        <w:rPr>
          <w:spacing w:val="-2"/>
        </w:rPr>
        <w:t>Organization</w:t>
      </w:r>
      <w:r>
        <w:rPr/>
        <w:tab/>
      </w:r>
      <w:r>
        <w:rPr>
          <w:spacing w:val="-2"/>
        </w:rPr>
        <w:t>(2007).</w:t>
      </w:r>
      <w:r>
        <w:rPr/>
        <w:tab/>
      </w:r>
      <w:r>
        <w:rPr>
          <w:i/>
          <w:spacing w:val="-4"/>
        </w:rPr>
        <w:t>AIDS</w:t>
      </w:r>
      <w:r>
        <w:rPr>
          <w:i/>
        </w:rPr>
        <w:tab/>
      </w:r>
      <w:r>
        <w:rPr>
          <w:i/>
          <w:spacing w:val="-2"/>
        </w:rPr>
        <w:t>Epidemic</w:t>
      </w:r>
      <w:r>
        <w:rPr>
          <w:i/>
        </w:rPr>
        <w:tab/>
      </w:r>
      <w:r>
        <w:rPr>
          <w:i/>
          <w:spacing w:val="-2"/>
        </w:rPr>
        <w:t>update</w:t>
      </w:r>
      <w:r>
        <w:rPr>
          <w:spacing w:val="-2"/>
        </w:rPr>
        <w:t>. </w:t>
      </w:r>
      <w:hyperlink r:id="rId18">
        <w:r>
          <w:rPr/>
          <w:t>http://data.unaids.org/pub/EPISlides/2007/2007_epiupdate_en.pdf.</w:t>
        </w:r>
      </w:hyperlink>
      <w:r>
        <w:rPr>
          <w:spacing w:val="30"/>
        </w:rPr>
        <w:t>  </w:t>
      </w:r>
      <w:r>
        <w:rPr/>
        <w:t>(March</w:t>
      </w:r>
      <w:r>
        <w:rPr>
          <w:spacing w:val="29"/>
        </w:rPr>
        <w:t>  </w:t>
      </w:r>
      <w:r>
        <w:rPr>
          <w:spacing w:val="-5"/>
        </w:rPr>
        <w:t>26,</w:t>
      </w:r>
    </w:p>
    <w:p>
      <w:pPr>
        <w:pStyle w:val="BodyText"/>
        <w:ind w:left="1467"/>
      </w:pPr>
      <w:r>
        <w:rPr>
          <w:spacing w:val="-2"/>
        </w:rPr>
        <w:t>2012).</w:t>
      </w:r>
    </w:p>
    <w:p>
      <w:pPr>
        <w:spacing w:line="240" w:lineRule="auto" w:before="240"/>
        <w:ind w:left="1467" w:right="845" w:hanging="720"/>
        <w:jc w:val="both"/>
        <w:rPr>
          <w:sz w:val="24"/>
        </w:rPr>
      </w:pPr>
      <w:r>
        <w:rPr>
          <w:sz w:val="24"/>
        </w:rPr>
        <w:t>Vivek, M.N., Sachidananda S. H.C., Manasa, M., Pallavi, S., Yashoda, K., Asha, M.M., Chaithra M., Prashith, K.T.R., Mallikarjun, N., Onkarappa, R. (2013). Antimicrobial and Antioxidant activity</w:t>
      </w:r>
      <w:r>
        <w:rPr>
          <w:spacing w:val="-1"/>
          <w:sz w:val="24"/>
        </w:rPr>
        <w:t> </w:t>
      </w:r>
      <w:r>
        <w:rPr>
          <w:sz w:val="24"/>
        </w:rPr>
        <w:t>of leaf and flower extract of </w:t>
      </w:r>
      <w:r>
        <w:rPr>
          <w:i/>
          <w:sz w:val="24"/>
        </w:rPr>
        <w:t>Caesalpinia pulcherrima</w:t>
      </w:r>
      <w:r>
        <w:rPr>
          <w:sz w:val="24"/>
        </w:rPr>
        <w:t>, </w:t>
      </w:r>
      <w:r>
        <w:rPr>
          <w:i/>
          <w:sz w:val="24"/>
        </w:rPr>
        <w:t>Delonix regia </w:t>
      </w:r>
      <w:r>
        <w:rPr>
          <w:sz w:val="24"/>
        </w:rPr>
        <w:t>and </w:t>
      </w:r>
      <w:r>
        <w:rPr>
          <w:i/>
          <w:sz w:val="24"/>
        </w:rPr>
        <w:t>Peltaphorum ferrugineum</w:t>
      </w:r>
      <w:r>
        <w:rPr>
          <w:sz w:val="24"/>
        </w:rPr>
        <w:t>. </w:t>
      </w:r>
      <w:r>
        <w:rPr>
          <w:i/>
          <w:sz w:val="24"/>
        </w:rPr>
        <w:t>Journal of Applied Pharmaceutical Sciences</w:t>
      </w:r>
      <w:r>
        <w:rPr>
          <w:sz w:val="24"/>
        </w:rPr>
        <w:t>, 3(08), 064-071.</w:t>
      </w:r>
    </w:p>
    <w:p>
      <w:pPr>
        <w:spacing w:before="200"/>
        <w:ind w:left="1467" w:right="880" w:hanging="720"/>
        <w:jc w:val="left"/>
        <w:rPr>
          <w:sz w:val="24"/>
        </w:rPr>
      </w:pPr>
      <w:r>
        <w:rPr>
          <w:sz w:val="24"/>
        </w:rPr>
        <w:t>Von Andrian, U.H. and Mackay, C.R. (2000). T-cell function and migration, two sides of the same coin. </w:t>
      </w:r>
      <w:r>
        <w:rPr>
          <w:i/>
          <w:sz w:val="24"/>
        </w:rPr>
        <w:t>New England Journal of Medicine</w:t>
      </w:r>
      <w:r>
        <w:rPr>
          <w:sz w:val="24"/>
        </w:rPr>
        <w:t>, 343(14): 338-44.</w:t>
      </w:r>
    </w:p>
    <w:p>
      <w:pPr>
        <w:spacing w:before="276"/>
        <w:ind w:left="1467" w:right="847" w:hanging="720"/>
        <w:jc w:val="both"/>
        <w:rPr>
          <w:sz w:val="24"/>
        </w:rPr>
      </w:pPr>
      <w:r>
        <w:rPr>
          <w:sz w:val="24"/>
        </w:rPr>
        <w:t>Watson, L. and Dallwitz, M.J. (1993). </w:t>
      </w:r>
      <w:r>
        <w:rPr>
          <w:i/>
          <w:sz w:val="24"/>
        </w:rPr>
        <w:t>Description, illustrations, identification and information </w:t>
      </w:r>
      <w:r>
        <w:rPr>
          <w:sz w:val="24"/>
        </w:rPr>
        <w:t>In; Dallwitz, M.J.(Ed). The families of flowering plant. Retrieval versions; Delta printing press, Nigeria. Pp10-46.</w:t>
      </w:r>
    </w:p>
    <w:p>
      <w:pPr>
        <w:pStyle w:val="BodyText"/>
      </w:pPr>
    </w:p>
    <w:p>
      <w:pPr>
        <w:pStyle w:val="BodyText"/>
        <w:ind w:left="1467" w:right="846" w:hanging="660"/>
        <w:jc w:val="both"/>
      </w:pPr>
      <w:r>
        <w:rPr/>
        <w:t>Welch, C.R. (2010). Chemistry and pharmacology of Kinkeliba (</w:t>
      </w:r>
      <w:r>
        <w:rPr>
          <w:i/>
        </w:rPr>
        <w:t>Combretum micranthum)</w:t>
      </w:r>
      <w:r>
        <w:rPr/>
        <w:t>, a West African medicinal plant. Unpublished PhD dissertation, Rutgers University.</w:t>
      </w:r>
    </w:p>
    <w:p>
      <w:pPr>
        <w:spacing w:before="202"/>
        <w:ind w:left="1467" w:right="845" w:hanging="720"/>
        <w:jc w:val="both"/>
        <w:rPr>
          <w:sz w:val="24"/>
        </w:rPr>
      </w:pPr>
      <w:r>
        <w:rPr>
          <w:sz w:val="24"/>
        </w:rPr>
        <w:t>WHO/UNAIDS (2004). </w:t>
      </w:r>
      <w:r>
        <w:rPr>
          <w:i/>
          <w:sz w:val="24"/>
        </w:rPr>
        <w:t>Report on the global Aids epidemic.</w:t>
      </w:r>
      <w:r>
        <w:rPr>
          <w:i/>
          <w:spacing w:val="40"/>
          <w:sz w:val="24"/>
        </w:rPr>
        <w:t> </w:t>
      </w:r>
      <w:r>
        <w:rPr>
          <w:sz w:val="24"/>
        </w:rPr>
        <w:t>Data.unaids.org/Global Reports/Bangkok-2004/unaidsbankokpress/gar2004 html/GAR 2004-01-en.htm. (July 2004).</w:t>
      </w:r>
    </w:p>
    <w:p>
      <w:pPr>
        <w:pStyle w:val="BodyText"/>
      </w:pPr>
    </w:p>
    <w:p>
      <w:pPr>
        <w:tabs>
          <w:tab w:pos="1685" w:val="left" w:leader="none"/>
          <w:tab w:pos="2647" w:val="left" w:leader="none"/>
          <w:tab w:pos="4227" w:val="left" w:leader="none"/>
          <w:tab w:pos="5814" w:val="left" w:leader="none"/>
          <w:tab w:pos="7234" w:val="left" w:leader="none"/>
          <w:tab w:pos="8422" w:val="left" w:leader="none"/>
        </w:tabs>
        <w:spacing w:before="0"/>
        <w:ind w:left="747" w:right="0" w:firstLine="0"/>
        <w:jc w:val="left"/>
        <w:rPr>
          <w:sz w:val="24"/>
        </w:rPr>
      </w:pPr>
      <w:r>
        <w:rPr>
          <w:spacing w:val="-2"/>
          <w:sz w:val="24"/>
        </w:rPr>
        <w:t>World</w:t>
      </w:r>
      <w:r>
        <w:rPr>
          <w:sz w:val="24"/>
        </w:rPr>
        <w:tab/>
      </w:r>
      <w:r>
        <w:rPr>
          <w:spacing w:val="-2"/>
          <w:sz w:val="24"/>
        </w:rPr>
        <w:t>Health</w:t>
      </w:r>
      <w:r>
        <w:rPr>
          <w:sz w:val="24"/>
        </w:rPr>
        <w:tab/>
      </w:r>
      <w:r>
        <w:rPr>
          <w:spacing w:val="-2"/>
          <w:sz w:val="24"/>
        </w:rPr>
        <w:t>Organization</w:t>
      </w:r>
      <w:r>
        <w:rPr>
          <w:sz w:val="24"/>
        </w:rPr>
        <w:tab/>
        <w:t>(2002-</w:t>
      </w:r>
      <w:r>
        <w:rPr>
          <w:spacing w:val="-2"/>
          <w:sz w:val="24"/>
        </w:rPr>
        <w:t>2005).</w:t>
      </w:r>
      <w:r>
        <w:rPr>
          <w:sz w:val="24"/>
        </w:rPr>
        <w:tab/>
      </w:r>
      <w:r>
        <w:rPr>
          <w:i/>
          <w:spacing w:val="-2"/>
          <w:sz w:val="24"/>
        </w:rPr>
        <w:t>Traditional</w:t>
      </w:r>
      <w:r>
        <w:rPr>
          <w:i/>
          <w:sz w:val="24"/>
        </w:rPr>
        <w:tab/>
      </w:r>
      <w:r>
        <w:rPr>
          <w:i/>
          <w:spacing w:val="-2"/>
          <w:sz w:val="24"/>
        </w:rPr>
        <w:t>medicine</w:t>
      </w:r>
      <w:r>
        <w:rPr>
          <w:i/>
          <w:sz w:val="24"/>
        </w:rPr>
        <w:tab/>
      </w:r>
      <w:r>
        <w:rPr>
          <w:i/>
          <w:spacing w:val="-2"/>
          <w:sz w:val="24"/>
        </w:rPr>
        <w:t>strategy</w:t>
      </w:r>
      <w:r>
        <w:rPr>
          <w:spacing w:val="-2"/>
          <w:sz w:val="24"/>
        </w:rPr>
        <w:t>.</w:t>
      </w:r>
    </w:p>
    <w:p>
      <w:pPr>
        <w:pStyle w:val="BodyText"/>
        <w:ind w:left="1467"/>
      </w:pPr>
      <w:r>
        <w:rPr/>
        <w:t>WHO/TRM/2002.1,</w:t>
      </w:r>
      <w:r>
        <w:rPr>
          <w:spacing w:val="-1"/>
        </w:rPr>
        <w:t> </w:t>
      </w:r>
      <w:r>
        <w:rPr/>
        <w:t>WHO,</w:t>
      </w:r>
      <w:r>
        <w:rPr>
          <w:spacing w:val="-1"/>
        </w:rPr>
        <w:t> </w:t>
      </w:r>
      <w:r>
        <w:rPr/>
        <w:t>Geneva,</w:t>
      </w:r>
      <w:r>
        <w:rPr>
          <w:spacing w:val="-1"/>
        </w:rPr>
        <w:t> </w:t>
      </w:r>
      <w:r>
        <w:rPr>
          <w:spacing w:val="-5"/>
        </w:rPr>
        <w:t>P7.</w:t>
      </w:r>
    </w:p>
    <w:p>
      <w:pPr>
        <w:pStyle w:val="BodyText"/>
      </w:pPr>
    </w:p>
    <w:p>
      <w:pPr>
        <w:spacing w:line="240" w:lineRule="auto" w:before="0"/>
        <w:ind w:left="1467" w:right="847" w:hanging="720"/>
        <w:jc w:val="both"/>
        <w:rPr>
          <w:sz w:val="24"/>
        </w:rPr>
      </w:pPr>
      <w:r>
        <w:rPr>
          <w:sz w:val="24"/>
        </w:rPr>
        <w:t>Yaouba, A., Tchikoua, R and Tatsadjieu.N.L (2012). Antibacterial effect of plant extracts against some pathogenic bacteria. </w:t>
      </w:r>
      <w:r>
        <w:rPr>
          <w:i/>
          <w:sz w:val="24"/>
        </w:rPr>
        <w:t>International Journal of Natural Products Research</w:t>
      </w:r>
      <w:r>
        <w:rPr>
          <w:sz w:val="24"/>
        </w:rPr>
        <w:t>, 1 (4): 83-87.</w:t>
      </w:r>
    </w:p>
    <w:p>
      <w:pPr>
        <w:spacing w:after="0" w:line="240" w:lineRule="auto"/>
        <w:jc w:val="both"/>
        <w:rPr>
          <w:sz w:val="24"/>
        </w:rPr>
        <w:sectPr>
          <w:pgSz w:w="11910" w:h="16840"/>
          <w:pgMar w:header="0" w:footer="981" w:top="1320" w:bottom="1180" w:left="1240" w:right="5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
      </w:pPr>
    </w:p>
    <w:p>
      <w:pPr>
        <w:pStyle w:val="BodyText"/>
        <w:tabs>
          <w:tab w:pos="2188" w:val="left" w:leader="none"/>
          <w:tab w:pos="3397" w:val="left" w:leader="none"/>
          <w:tab w:pos="4755" w:val="left" w:leader="none"/>
          <w:tab w:pos="5285" w:val="left" w:leader="none"/>
          <w:tab w:pos="6925" w:val="left" w:leader="none"/>
          <w:tab w:pos="8534" w:val="left" w:leader="none"/>
        </w:tabs>
        <w:ind w:left="2188" w:right="847" w:hanging="1441"/>
      </w:pPr>
      <w:r>
        <w:rPr/>
        <w:t>Appendix I:</w:t>
        <w:tab/>
      </w:r>
      <w:r>
        <w:rPr>
          <w:spacing w:val="-2"/>
        </w:rPr>
        <w:t>European</w:t>
      </w:r>
      <w:r>
        <w:rPr/>
        <w:tab/>
      </w:r>
      <w:r>
        <w:rPr>
          <w:spacing w:val="-2"/>
        </w:rPr>
        <w:t>Committee</w:t>
      </w:r>
      <w:r>
        <w:rPr/>
        <w:tab/>
      </w:r>
      <w:r>
        <w:rPr>
          <w:spacing w:val="-6"/>
        </w:rPr>
        <w:t>on</w:t>
      </w:r>
      <w:r>
        <w:rPr/>
        <w:tab/>
      </w:r>
      <w:r>
        <w:rPr>
          <w:spacing w:val="-2"/>
        </w:rPr>
        <w:t>Antimicrobial</w:t>
      </w:r>
      <w:r>
        <w:rPr/>
        <w:tab/>
      </w:r>
      <w:r>
        <w:rPr>
          <w:spacing w:val="-2"/>
        </w:rPr>
        <w:t>Susceptibility</w:t>
      </w:r>
      <w:r>
        <w:rPr/>
        <w:tab/>
      </w:r>
      <w:r>
        <w:rPr>
          <w:spacing w:val="-2"/>
        </w:rPr>
        <w:t>Testing </w:t>
      </w:r>
      <w:r>
        <w:rPr/>
        <w:t>Interpretation Table for Zone diameter Growth Inhibition</w:t>
      </w:r>
    </w:p>
    <w:p>
      <w:pPr>
        <w:pStyle w:val="BodyText"/>
        <w:spacing w:before="54"/>
        <w:rPr>
          <w:sz w:val="20"/>
        </w:r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4"/>
        <w:gridCol w:w="1771"/>
        <w:gridCol w:w="1197"/>
        <w:gridCol w:w="1602"/>
        <w:gridCol w:w="1553"/>
        <w:gridCol w:w="1216"/>
      </w:tblGrid>
      <w:tr>
        <w:trPr>
          <w:trHeight w:val="512" w:hRule="atLeast"/>
        </w:trPr>
        <w:tc>
          <w:tcPr>
            <w:tcW w:w="8743" w:type="dxa"/>
            <w:gridSpan w:val="6"/>
            <w:tcBorders>
              <w:top w:val="single" w:sz="4" w:space="0" w:color="000000"/>
            </w:tcBorders>
          </w:tcPr>
          <w:p>
            <w:pPr>
              <w:pStyle w:val="TableParagraph"/>
              <w:spacing w:before="111"/>
              <w:ind w:left="4563"/>
              <w:rPr>
                <w:sz w:val="24"/>
              </w:rPr>
            </w:pPr>
            <w:r>
              <w:rPr>
                <w:sz w:val="24"/>
              </w:rPr>
              <w:t>Zone</w:t>
            </w:r>
            <w:r>
              <w:rPr>
                <w:spacing w:val="-5"/>
                <w:sz w:val="24"/>
              </w:rPr>
              <w:t> </w:t>
            </w:r>
            <w:r>
              <w:rPr>
                <w:sz w:val="24"/>
              </w:rPr>
              <w:t>of</w:t>
            </w:r>
            <w:r>
              <w:rPr>
                <w:spacing w:val="-1"/>
                <w:sz w:val="24"/>
              </w:rPr>
              <w:t> </w:t>
            </w:r>
            <w:r>
              <w:rPr>
                <w:sz w:val="24"/>
              </w:rPr>
              <w:t>diammeter</w:t>
            </w:r>
            <w:r>
              <w:rPr>
                <w:spacing w:val="-1"/>
                <w:sz w:val="24"/>
              </w:rPr>
              <w:t> </w:t>
            </w:r>
            <w:r>
              <w:rPr>
                <w:spacing w:val="-4"/>
                <w:sz w:val="24"/>
              </w:rPr>
              <w:t>(mm)</w:t>
            </w:r>
          </w:p>
        </w:tc>
      </w:tr>
      <w:tr>
        <w:trPr>
          <w:trHeight w:val="1070" w:hRule="atLeast"/>
        </w:trPr>
        <w:tc>
          <w:tcPr>
            <w:tcW w:w="1404" w:type="dxa"/>
            <w:tcBorders>
              <w:bottom w:val="single" w:sz="4" w:space="0" w:color="000000"/>
            </w:tcBorders>
          </w:tcPr>
          <w:p>
            <w:pPr>
              <w:pStyle w:val="TableParagraph"/>
              <w:spacing w:before="115"/>
              <w:ind w:left="122"/>
              <w:rPr>
                <w:sz w:val="24"/>
              </w:rPr>
            </w:pPr>
            <w:r>
              <w:rPr>
                <w:spacing w:val="-2"/>
                <w:sz w:val="24"/>
              </w:rPr>
              <w:t>Organisms</w:t>
            </w:r>
          </w:p>
        </w:tc>
        <w:tc>
          <w:tcPr>
            <w:tcW w:w="1771" w:type="dxa"/>
            <w:tcBorders>
              <w:bottom w:val="single" w:sz="4" w:space="0" w:color="000000"/>
            </w:tcBorders>
          </w:tcPr>
          <w:p>
            <w:pPr>
              <w:pStyle w:val="TableParagraph"/>
              <w:spacing w:before="115"/>
              <w:ind w:left="108"/>
              <w:rPr>
                <w:sz w:val="24"/>
              </w:rPr>
            </w:pPr>
            <w:r>
              <w:rPr>
                <w:spacing w:val="-2"/>
                <w:sz w:val="24"/>
              </w:rPr>
              <w:t>Antibiotics</w:t>
            </w:r>
          </w:p>
        </w:tc>
        <w:tc>
          <w:tcPr>
            <w:tcW w:w="1197" w:type="dxa"/>
            <w:tcBorders>
              <w:bottom w:val="single" w:sz="4" w:space="0" w:color="000000"/>
            </w:tcBorders>
          </w:tcPr>
          <w:p>
            <w:pPr>
              <w:pStyle w:val="TableParagraph"/>
              <w:spacing w:before="115"/>
              <w:ind w:left="221" w:right="268"/>
              <w:rPr>
                <w:sz w:val="24"/>
              </w:rPr>
            </w:pPr>
            <w:r>
              <w:rPr>
                <w:spacing w:val="-4"/>
                <w:sz w:val="24"/>
              </w:rPr>
              <w:t>Disc </w:t>
            </w:r>
            <w:r>
              <w:rPr>
                <w:spacing w:val="-2"/>
                <w:sz w:val="24"/>
              </w:rPr>
              <w:t>content </w:t>
            </w:r>
            <w:r>
              <w:rPr>
                <w:spacing w:val="-4"/>
                <w:sz w:val="24"/>
              </w:rPr>
              <w:t>(µg)</w:t>
            </w:r>
          </w:p>
        </w:tc>
        <w:tc>
          <w:tcPr>
            <w:tcW w:w="1602" w:type="dxa"/>
            <w:tcBorders>
              <w:bottom w:val="single" w:sz="4" w:space="0" w:color="000000"/>
            </w:tcBorders>
          </w:tcPr>
          <w:p>
            <w:pPr>
              <w:pStyle w:val="TableParagraph"/>
              <w:spacing w:before="115"/>
              <w:ind w:left="268"/>
              <w:rPr>
                <w:sz w:val="24"/>
              </w:rPr>
            </w:pPr>
            <w:r>
              <w:rPr>
                <w:spacing w:val="-2"/>
                <w:sz w:val="24"/>
              </w:rPr>
              <w:t>Intermediate</w:t>
            </w:r>
          </w:p>
        </w:tc>
        <w:tc>
          <w:tcPr>
            <w:tcW w:w="1553" w:type="dxa"/>
            <w:tcBorders>
              <w:bottom w:val="single" w:sz="4" w:space="0" w:color="000000"/>
            </w:tcBorders>
          </w:tcPr>
          <w:p>
            <w:pPr>
              <w:pStyle w:val="TableParagraph"/>
              <w:spacing w:before="115"/>
              <w:ind w:left="121"/>
              <w:rPr>
                <w:sz w:val="24"/>
              </w:rPr>
            </w:pPr>
            <w:r>
              <w:rPr>
                <w:spacing w:val="-2"/>
                <w:sz w:val="24"/>
              </w:rPr>
              <w:t>Susceptibility</w:t>
            </w:r>
          </w:p>
        </w:tc>
        <w:tc>
          <w:tcPr>
            <w:tcW w:w="1216" w:type="dxa"/>
            <w:tcBorders>
              <w:bottom w:val="single" w:sz="4" w:space="0" w:color="000000"/>
            </w:tcBorders>
          </w:tcPr>
          <w:p>
            <w:pPr>
              <w:pStyle w:val="TableParagraph"/>
              <w:spacing w:before="115"/>
              <w:ind w:left="104"/>
              <w:rPr>
                <w:sz w:val="24"/>
              </w:rPr>
            </w:pPr>
            <w:r>
              <w:rPr>
                <w:spacing w:val="-2"/>
                <w:sz w:val="24"/>
              </w:rPr>
              <w:t>Resistant</w:t>
            </w:r>
          </w:p>
        </w:tc>
      </w:tr>
      <w:tr>
        <w:trPr>
          <w:trHeight w:val="512" w:hRule="atLeast"/>
        </w:trPr>
        <w:tc>
          <w:tcPr>
            <w:tcW w:w="1404" w:type="dxa"/>
            <w:tcBorders>
              <w:top w:val="single" w:sz="4" w:space="0" w:color="000000"/>
            </w:tcBorders>
          </w:tcPr>
          <w:p>
            <w:pPr>
              <w:pStyle w:val="TableParagraph"/>
              <w:spacing w:before="111"/>
              <w:ind w:left="122"/>
              <w:rPr>
                <w:i/>
                <w:sz w:val="24"/>
              </w:rPr>
            </w:pPr>
            <w:r>
              <w:rPr>
                <w:i/>
                <w:sz w:val="24"/>
              </w:rPr>
              <w:t>E. </w:t>
            </w:r>
            <w:r>
              <w:rPr>
                <w:i/>
                <w:spacing w:val="-4"/>
                <w:sz w:val="24"/>
              </w:rPr>
              <w:t>coli</w:t>
            </w:r>
          </w:p>
        </w:tc>
        <w:tc>
          <w:tcPr>
            <w:tcW w:w="1771" w:type="dxa"/>
            <w:tcBorders>
              <w:top w:val="single" w:sz="4" w:space="0" w:color="000000"/>
            </w:tcBorders>
          </w:tcPr>
          <w:p>
            <w:pPr>
              <w:pStyle w:val="TableParagraph"/>
              <w:spacing w:before="111"/>
              <w:ind w:left="108"/>
              <w:rPr>
                <w:sz w:val="24"/>
              </w:rPr>
            </w:pPr>
            <w:r>
              <w:rPr>
                <w:spacing w:val="-2"/>
                <w:sz w:val="24"/>
              </w:rPr>
              <w:t>Gentamycin</w:t>
            </w:r>
          </w:p>
        </w:tc>
        <w:tc>
          <w:tcPr>
            <w:tcW w:w="1197" w:type="dxa"/>
            <w:tcBorders>
              <w:top w:val="single" w:sz="4" w:space="0" w:color="000000"/>
            </w:tcBorders>
          </w:tcPr>
          <w:p>
            <w:pPr>
              <w:pStyle w:val="TableParagraph"/>
              <w:spacing w:before="111"/>
              <w:ind w:left="221"/>
              <w:rPr>
                <w:sz w:val="24"/>
              </w:rPr>
            </w:pPr>
            <w:r>
              <w:rPr>
                <w:spacing w:val="-5"/>
                <w:sz w:val="24"/>
              </w:rPr>
              <w:t>10</w:t>
            </w:r>
          </w:p>
        </w:tc>
        <w:tc>
          <w:tcPr>
            <w:tcW w:w="1602" w:type="dxa"/>
            <w:tcBorders>
              <w:top w:val="single" w:sz="4" w:space="0" w:color="000000"/>
            </w:tcBorders>
          </w:tcPr>
          <w:p>
            <w:pPr>
              <w:pStyle w:val="TableParagraph"/>
              <w:spacing w:before="111"/>
              <w:ind w:left="268"/>
              <w:rPr>
                <w:sz w:val="24"/>
              </w:rPr>
            </w:pPr>
            <w:r>
              <w:rPr>
                <w:spacing w:val="-2"/>
                <w:sz w:val="24"/>
              </w:rPr>
              <w:t>14-</w:t>
            </w:r>
            <w:r>
              <w:rPr>
                <w:spacing w:val="-7"/>
                <w:sz w:val="24"/>
              </w:rPr>
              <w:t>16</w:t>
            </w:r>
          </w:p>
        </w:tc>
        <w:tc>
          <w:tcPr>
            <w:tcW w:w="1553" w:type="dxa"/>
            <w:tcBorders>
              <w:top w:val="single" w:sz="4" w:space="0" w:color="000000"/>
            </w:tcBorders>
          </w:tcPr>
          <w:p>
            <w:pPr>
              <w:pStyle w:val="TableParagraph"/>
              <w:spacing w:before="111"/>
              <w:ind w:left="121"/>
              <w:rPr>
                <w:sz w:val="24"/>
              </w:rPr>
            </w:pPr>
            <w:r>
              <w:rPr>
                <w:spacing w:val="-5"/>
                <w:sz w:val="24"/>
              </w:rPr>
              <w:t>≥17</w:t>
            </w:r>
          </w:p>
        </w:tc>
        <w:tc>
          <w:tcPr>
            <w:tcW w:w="1216" w:type="dxa"/>
            <w:tcBorders>
              <w:top w:val="single" w:sz="4" w:space="0" w:color="000000"/>
            </w:tcBorders>
          </w:tcPr>
          <w:p>
            <w:pPr>
              <w:pStyle w:val="TableParagraph"/>
              <w:spacing w:before="111"/>
              <w:ind w:left="104"/>
              <w:rPr>
                <w:sz w:val="24"/>
              </w:rPr>
            </w:pPr>
            <w:r>
              <w:rPr>
                <w:spacing w:val="-5"/>
                <w:sz w:val="24"/>
              </w:rPr>
              <w:t>≤14</w:t>
            </w:r>
          </w:p>
        </w:tc>
      </w:tr>
      <w:tr>
        <w:trPr>
          <w:trHeight w:val="515" w:hRule="atLeast"/>
        </w:trPr>
        <w:tc>
          <w:tcPr>
            <w:tcW w:w="1404" w:type="dxa"/>
          </w:tcPr>
          <w:p>
            <w:pPr>
              <w:pStyle w:val="TableParagraph"/>
              <w:rPr>
                <w:sz w:val="24"/>
              </w:rPr>
            </w:pPr>
          </w:p>
        </w:tc>
        <w:tc>
          <w:tcPr>
            <w:tcW w:w="1771" w:type="dxa"/>
          </w:tcPr>
          <w:p>
            <w:pPr>
              <w:pStyle w:val="TableParagraph"/>
              <w:spacing w:before="115"/>
              <w:ind w:left="108"/>
              <w:rPr>
                <w:sz w:val="24"/>
              </w:rPr>
            </w:pPr>
            <w:r>
              <w:rPr>
                <w:spacing w:val="-2"/>
                <w:sz w:val="24"/>
              </w:rPr>
              <w:t>Ciprofloxacine</w:t>
            </w:r>
          </w:p>
        </w:tc>
        <w:tc>
          <w:tcPr>
            <w:tcW w:w="1197" w:type="dxa"/>
          </w:tcPr>
          <w:p>
            <w:pPr>
              <w:pStyle w:val="TableParagraph"/>
              <w:spacing w:before="115"/>
              <w:ind w:left="221"/>
              <w:rPr>
                <w:sz w:val="24"/>
              </w:rPr>
            </w:pPr>
            <w:r>
              <w:rPr>
                <w:spacing w:val="-10"/>
                <w:sz w:val="24"/>
              </w:rPr>
              <w:t>5</w:t>
            </w:r>
          </w:p>
        </w:tc>
        <w:tc>
          <w:tcPr>
            <w:tcW w:w="1602" w:type="dxa"/>
          </w:tcPr>
          <w:p>
            <w:pPr>
              <w:pStyle w:val="TableParagraph"/>
              <w:spacing w:before="115"/>
              <w:ind w:left="268"/>
              <w:rPr>
                <w:sz w:val="24"/>
              </w:rPr>
            </w:pPr>
            <w:r>
              <w:rPr>
                <w:spacing w:val="-2"/>
                <w:sz w:val="24"/>
              </w:rPr>
              <w:t>19-</w:t>
            </w:r>
            <w:r>
              <w:rPr>
                <w:spacing w:val="-7"/>
                <w:sz w:val="24"/>
              </w:rPr>
              <w:t>21</w:t>
            </w:r>
          </w:p>
        </w:tc>
        <w:tc>
          <w:tcPr>
            <w:tcW w:w="1553" w:type="dxa"/>
          </w:tcPr>
          <w:p>
            <w:pPr>
              <w:pStyle w:val="TableParagraph"/>
              <w:spacing w:before="115"/>
              <w:ind w:left="121"/>
              <w:rPr>
                <w:sz w:val="24"/>
              </w:rPr>
            </w:pPr>
            <w:r>
              <w:rPr>
                <w:spacing w:val="-5"/>
                <w:sz w:val="24"/>
              </w:rPr>
              <w:t>≥22</w:t>
            </w:r>
          </w:p>
        </w:tc>
        <w:tc>
          <w:tcPr>
            <w:tcW w:w="1216" w:type="dxa"/>
          </w:tcPr>
          <w:p>
            <w:pPr>
              <w:pStyle w:val="TableParagraph"/>
              <w:spacing w:before="115"/>
              <w:ind w:left="104"/>
              <w:rPr>
                <w:sz w:val="24"/>
              </w:rPr>
            </w:pPr>
            <w:r>
              <w:rPr>
                <w:spacing w:val="-5"/>
                <w:sz w:val="24"/>
              </w:rPr>
              <w:t>≤19</w:t>
            </w:r>
          </w:p>
        </w:tc>
      </w:tr>
      <w:tr>
        <w:trPr>
          <w:trHeight w:val="516" w:hRule="atLeast"/>
        </w:trPr>
        <w:tc>
          <w:tcPr>
            <w:tcW w:w="1404" w:type="dxa"/>
          </w:tcPr>
          <w:p>
            <w:pPr>
              <w:pStyle w:val="TableParagraph"/>
              <w:rPr>
                <w:sz w:val="24"/>
              </w:rPr>
            </w:pPr>
          </w:p>
        </w:tc>
        <w:tc>
          <w:tcPr>
            <w:tcW w:w="1771" w:type="dxa"/>
          </w:tcPr>
          <w:p>
            <w:pPr>
              <w:pStyle w:val="TableParagraph"/>
              <w:spacing w:before="115"/>
              <w:ind w:left="108"/>
              <w:rPr>
                <w:sz w:val="24"/>
              </w:rPr>
            </w:pPr>
            <w:r>
              <w:rPr>
                <w:spacing w:val="-2"/>
                <w:sz w:val="24"/>
              </w:rPr>
              <w:t>Ceftriaxone</w:t>
            </w:r>
          </w:p>
        </w:tc>
        <w:tc>
          <w:tcPr>
            <w:tcW w:w="1197" w:type="dxa"/>
          </w:tcPr>
          <w:p>
            <w:pPr>
              <w:pStyle w:val="TableParagraph"/>
              <w:spacing w:before="115"/>
              <w:ind w:left="221"/>
              <w:rPr>
                <w:sz w:val="24"/>
              </w:rPr>
            </w:pPr>
            <w:r>
              <w:rPr>
                <w:spacing w:val="-5"/>
                <w:sz w:val="24"/>
              </w:rPr>
              <w:t>30</w:t>
            </w:r>
          </w:p>
        </w:tc>
        <w:tc>
          <w:tcPr>
            <w:tcW w:w="1602" w:type="dxa"/>
          </w:tcPr>
          <w:p>
            <w:pPr>
              <w:pStyle w:val="TableParagraph"/>
              <w:spacing w:before="115"/>
              <w:ind w:left="268"/>
              <w:rPr>
                <w:sz w:val="24"/>
              </w:rPr>
            </w:pPr>
            <w:r>
              <w:rPr>
                <w:spacing w:val="-2"/>
                <w:sz w:val="24"/>
              </w:rPr>
              <w:t>20-</w:t>
            </w:r>
            <w:r>
              <w:rPr>
                <w:spacing w:val="-7"/>
                <w:sz w:val="24"/>
              </w:rPr>
              <w:t>22</w:t>
            </w:r>
          </w:p>
        </w:tc>
        <w:tc>
          <w:tcPr>
            <w:tcW w:w="1553" w:type="dxa"/>
          </w:tcPr>
          <w:p>
            <w:pPr>
              <w:pStyle w:val="TableParagraph"/>
              <w:spacing w:before="115"/>
              <w:ind w:left="121"/>
              <w:rPr>
                <w:sz w:val="24"/>
              </w:rPr>
            </w:pPr>
            <w:r>
              <w:rPr>
                <w:spacing w:val="-5"/>
                <w:sz w:val="24"/>
              </w:rPr>
              <w:t>≥23</w:t>
            </w:r>
          </w:p>
        </w:tc>
        <w:tc>
          <w:tcPr>
            <w:tcW w:w="1216" w:type="dxa"/>
          </w:tcPr>
          <w:p>
            <w:pPr>
              <w:pStyle w:val="TableParagraph"/>
              <w:spacing w:before="115"/>
              <w:ind w:left="104"/>
              <w:rPr>
                <w:sz w:val="24"/>
              </w:rPr>
            </w:pPr>
            <w:r>
              <w:rPr>
                <w:spacing w:val="-5"/>
                <w:sz w:val="24"/>
              </w:rPr>
              <w:t>≤20</w:t>
            </w:r>
          </w:p>
        </w:tc>
      </w:tr>
      <w:tr>
        <w:trPr>
          <w:trHeight w:val="516" w:hRule="atLeast"/>
        </w:trPr>
        <w:tc>
          <w:tcPr>
            <w:tcW w:w="1404" w:type="dxa"/>
          </w:tcPr>
          <w:p>
            <w:pPr>
              <w:pStyle w:val="TableParagraph"/>
              <w:rPr>
                <w:sz w:val="24"/>
              </w:rPr>
            </w:pPr>
          </w:p>
        </w:tc>
        <w:tc>
          <w:tcPr>
            <w:tcW w:w="1771" w:type="dxa"/>
          </w:tcPr>
          <w:p>
            <w:pPr>
              <w:pStyle w:val="TableParagraph"/>
              <w:spacing w:before="115"/>
              <w:ind w:left="108"/>
              <w:rPr>
                <w:sz w:val="24"/>
              </w:rPr>
            </w:pPr>
            <w:r>
              <w:rPr>
                <w:spacing w:val="-2"/>
                <w:sz w:val="24"/>
              </w:rPr>
              <w:t>Meropenem</w:t>
            </w:r>
          </w:p>
        </w:tc>
        <w:tc>
          <w:tcPr>
            <w:tcW w:w="1197" w:type="dxa"/>
          </w:tcPr>
          <w:p>
            <w:pPr>
              <w:pStyle w:val="TableParagraph"/>
              <w:spacing w:before="115"/>
              <w:ind w:left="221"/>
              <w:rPr>
                <w:sz w:val="24"/>
              </w:rPr>
            </w:pPr>
            <w:r>
              <w:rPr>
                <w:spacing w:val="-5"/>
                <w:sz w:val="24"/>
              </w:rPr>
              <w:t>10</w:t>
            </w:r>
          </w:p>
        </w:tc>
        <w:tc>
          <w:tcPr>
            <w:tcW w:w="1602" w:type="dxa"/>
          </w:tcPr>
          <w:p>
            <w:pPr>
              <w:pStyle w:val="TableParagraph"/>
              <w:spacing w:before="115"/>
              <w:ind w:left="268"/>
              <w:rPr>
                <w:sz w:val="24"/>
              </w:rPr>
            </w:pPr>
            <w:r>
              <w:rPr>
                <w:spacing w:val="-2"/>
                <w:sz w:val="24"/>
              </w:rPr>
              <w:t>16-</w:t>
            </w:r>
            <w:r>
              <w:rPr>
                <w:spacing w:val="-7"/>
                <w:sz w:val="24"/>
              </w:rPr>
              <w:t>21</w:t>
            </w:r>
          </w:p>
        </w:tc>
        <w:tc>
          <w:tcPr>
            <w:tcW w:w="1553" w:type="dxa"/>
          </w:tcPr>
          <w:p>
            <w:pPr>
              <w:pStyle w:val="TableParagraph"/>
              <w:spacing w:before="115"/>
              <w:ind w:left="121"/>
              <w:rPr>
                <w:sz w:val="24"/>
              </w:rPr>
            </w:pPr>
            <w:r>
              <w:rPr>
                <w:spacing w:val="-5"/>
                <w:sz w:val="24"/>
              </w:rPr>
              <w:t>≥22</w:t>
            </w:r>
          </w:p>
        </w:tc>
        <w:tc>
          <w:tcPr>
            <w:tcW w:w="1216" w:type="dxa"/>
          </w:tcPr>
          <w:p>
            <w:pPr>
              <w:pStyle w:val="TableParagraph"/>
              <w:spacing w:before="115"/>
              <w:ind w:left="104"/>
              <w:rPr>
                <w:sz w:val="24"/>
              </w:rPr>
            </w:pPr>
            <w:r>
              <w:rPr>
                <w:spacing w:val="-5"/>
                <w:sz w:val="24"/>
              </w:rPr>
              <w:t>≤16</w:t>
            </w:r>
          </w:p>
        </w:tc>
      </w:tr>
      <w:tr>
        <w:trPr>
          <w:trHeight w:val="516" w:hRule="atLeast"/>
        </w:trPr>
        <w:tc>
          <w:tcPr>
            <w:tcW w:w="1404" w:type="dxa"/>
          </w:tcPr>
          <w:p>
            <w:pPr>
              <w:pStyle w:val="TableParagraph"/>
              <w:spacing w:before="115"/>
              <w:ind w:left="122"/>
              <w:rPr>
                <w:i/>
                <w:sz w:val="24"/>
              </w:rPr>
            </w:pPr>
            <w:r>
              <w:rPr>
                <w:i/>
                <w:sz w:val="24"/>
              </w:rPr>
              <w:t>S. </w:t>
            </w:r>
            <w:r>
              <w:rPr>
                <w:i/>
                <w:spacing w:val="-2"/>
                <w:sz w:val="24"/>
              </w:rPr>
              <w:t>aureus</w:t>
            </w:r>
          </w:p>
        </w:tc>
        <w:tc>
          <w:tcPr>
            <w:tcW w:w="1771" w:type="dxa"/>
          </w:tcPr>
          <w:p>
            <w:pPr>
              <w:pStyle w:val="TableParagraph"/>
              <w:spacing w:before="115"/>
              <w:ind w:left="108"/>
              <w:rPr>
                <w:sz w:val="24"/>
              </w:rPr>
            </w:pPr>
            <w:r>
              <w:rPr>
                <w:spacing w:val="-2"/>
                <w:sz w:val="24"/>
              </w:rPr>
              <w:t>Augmentin</w:t>
            </w:r>
          </w:p>
        </w:tc>
        <w:tc>
          <w:tcPr>
            <w:tcW w:w="1197" w:type="dxa"/>
          </w:tcPr>
          <w:p>
            <w:pPr>
              <w:pStyle w:val="TableParagraph"/>
              <w:spacing w:before="115"/>
              <w:ind w:left="221"/>
              <w:rPr>
                <w:sz w:val="24"/>
              </w:rPr>
            </w:pPr>
            <w:r>
              <w:rPr>
                <w:spacing w:val="-5"/>
                <w:sz w:val="24"/>
              </w:rPr>
              <w:t>10</w:t>
            </w:r>
          </w:p>
        </w:tc>
        <w:tc>
          <w:tcPr>
            <w:tcW w:w="1602" w:type="dxa"/>
          </w:tcPr>
          <w:p>
            <w:pPr>
              <w:pStyle w:val="TableParagraph"/>
              <w:rPr>
                <w:sz w:val="24"/>
              </w:rPr>
            </w:pPr>
          </w:p>
        </w:tc>
        <w:tc>
          <w:tcPr>
            <w:tcW w:w="1553" w:type="dxa"/>
          </w:tcPr>
          <w:p>
            <w:pPr>
              <w:pStyle w:val="TableParagraph"/>
              <w:spacing w:before="115"/>
              <w:ind w:left="121"/>
              <w:rPr>
                <w:sz w:val="24"/>
              </w:rPr>
            </w:pPr>
            <w:r>
              <w:rPr>
                <w:spacing w:val="-5"/>
                <w:sz w:val="24"/>
              </w:rPr>
              <w:t>≥17</w:t>
            </w:r>
          </w:p>
        </w:tc>
        <w:tc>
          <w:tcPr>
            <w:tcW w:w="1216" w:type="dxa"/>
          </w:tcPr>
          <w:p>
            <w:pPr>
              <w:pStyle w:val="TableParagraph"/>
              <w:spacing w:before="115"/>
              <w:ind w:left="104"/>
              <w:rPr>
                <w:sz w:val="24"/>
              </w:rPr>
            </w:pPr>
            <w:r>
              <w:rPr>
                <w:spacing w:val="-5"/>
                <w:sz w:val="24"/>
              </w:rPr>
              <w:t>≤17</w:t>
            </w:r>
          </w:p>
        </w:tc>
      </w:tr>
      <w:tr>
        <w:trPr>
          <w:trHeight w:val="515" w:hRule="atLeast"/>
        </w:trPr>
        <w:tc>
          <w:tcPr>
            <w:tcW w:w="1404" w:type="dxa"/>
          </w:tcPr>
          <w:p>
            <w:pPr>
              <w:pStyle w:val="TableParagraph"/>
              <w:rPr>
                <w:sz w:val="24"/>
              </w:rPr>
            </w:pPr>
          </w:p>
        </w:tc>
        <w:tc>
          <w:tcPr>
            <w:tcW w:w="1771" w:type="dxa"/>
          </w:tcPr>
          <w:p>
            <w:pPr>
              <w:pStyle w:val="TableParagraph"/>
              <w:spacing w:before="115"/>
              <w:ind w:left="108"/>
              <w:rPr>
                <w:sz w:val="24"/>
              </w:rPr>
            </w:pPr>
            <w:r>
              <w:rPr>
                <w:spacing w:val="-2"/>
                <w:sz w:val="24"/>
              </w:rPr>
              <w:t>Vancomycin</w:t>
            </w:r>
          </w:p>
        </w:tc>
        <w:tc>
          <w:tcPr>
            <w:tcW w:w="1197" w:type="dxa"/>
          </w:tcPr>
          <w:p>
            <w:pPr>
              <w:pStyle w:val="TableParagraph"/>
              <w:spacing w:before="115"/>
              <w:ind w:left="221"/>
              <w:rPr>
                <w:sz w:val="24"/>
              </w:rPr>
            </w:pPr>
            <w:r>
              <w:rPr>
                <w:spacing w:val="-5"/>
                <w:sz w:val="24"/>
              </w:rPr>
              <w:t>30</w:t>
            </w:r>
          </w:p>
        </w:tc>
        <w:tc>
          <w:tcPr>
            <w:tcW w:w="1602" w:type="dxa"/>
          </w:tcPr>
          <w:p>
            <w:pPr>
              <w:pStyle w:val="TableParagraph"/>
              <w:spacing w:before="115"/>
              <w:ind w:left="268"/>
              <w:rPr>
                <w:sz w:val="24"/>
              </w:rPr>
            </w:pPr>
            <w:r>
              <w:rPr>
                <w:spacing w:val="-2"/>
                <w:sz w:val="24"/>
              </w:rPr>
              <w:t>15-</w:t>
            </w:r>
            <w:r>
              <w:rPr>
                <w:spacing w:val="-7"/>
                <w:sz w:val="24"/>
              </w:rPr>
              <w:t>16</w:t>
            </w:r>
          </w:p>
        </w:tc>
        <w:tc>
          <w:tcPr>
            <w:tcW w:w="1553" w:type="dxa"/>
          </w:tcPr>
          <w:p>
            <w:pPr>
              <w:pStyle w:val="TableParagraph"/>
              <w:spacing w:before="115"/>
              <w:ind w:left="121"/>
              <w:rPr>
                <w:sz w:val="24"/>
              </w:rPr>
            </w:pPr>
            <w:r>
              <w:rPr>
                <w:spacing w:val="-5"/>
                <w:sz w:val="24"/>
              </w:rPr>
              <w:t>≥17</w:t>
            </w:r>
          </w:p>
        </w:tc>
        <w:tc>
          <w:tcPr>
            <w:tcW w:w="1216" w:type="dxa"/>
          </w:tcPr>
          <w:p>
            <w:pPr>
              <w:pStyle w:val="TableParagraph"/>
              <w:spacing w:before="115"/>
              <w:ind w:left="104"/>
              <w:rPr>
                <w:sz w:val="24"/>
              </w:rPr>
            </w:pPr>
            <w:r>
              <w:rPr>
                <w:spacing w:val="-5"/>
                <w:sz w:val="24"/>
              </w:rPr>
              <w:t>≤14</w:t>
            </w:r>
          </w:p>
        </w:tc>
      </w:tr>
      <w:tr>
        <w:trPr>
          <w:trHeight w:val="516" w:hRule="atLeast"/>
        </w:trPr>
        <w:tc>
          <w:tcPr>
            <w:tcW w:w="1404" w:type="dxa"/>
          </w:tcPr>
          <w:p>
            <w:pPr>
              <w:pStyle w:val="TableParagraph"/>
              <w:rPr>
                <w:sz w:val="24"/>
              </w:rPr>
            </w:pPr>
          </w:p>
        </w:tc>
        <w:tc>
          <w:tcPr>
            <w:tcW w:w="1771" w:type="dxa"/>
          </w:tcPr>
          <w:p>
            <w:pPr>
              <w:pStyle w:val="TableParagraph"/>
              <w:spacing w:before="115"/>
              <w:ind w:left="108"/>
              <w:rPr>
                <w:sz w:val="24"/>
              </w:rPr>
            </w:pPr>
            <w:r>
              <w:rPr>
                <w:spacing w:val="-2"/>
                <w:sz w:val="24"/>
              </w:rPr>
              <w:t>Tetracycline</w:t>
            </w:r>
          </w:p>
        </w:tc>
        <w:tc>
          <w:tcPr>
            <w:tcW w:w="1197" w:type="dxa"/>
          </w:tcPr>
          <w:p>
            <w:pPr>
              <w:pStyle w:val="TableParagraph"/>
              <w:spacing w:before="115"/>
              <w:ind w:left="221"/>
              <w:rPr>
                <w:sz w:val="24"/>
              </w:rPr>
            </w:pPr>
            <w:r>
              <w:rPr>
                <w:spacing w:val="-5"/>
                <w:sz w:val="24"/>
              </w:rPr>
              <w:t>30</w:t>
            </w:r>
          </w:p>
        </w:tc>
        <w:tc>
          <w:tcPr>
            <w:tcW w:w="1602" w:type="dxa"/>
          </w:tcPr>
          <w:p>
            <w:pPr>
              <w:pStyle w:val="TableParagraph"/>
              <w:spacing w:before="115"/>
              <w:ind w:left="268"/>
              <w:rPr>
                <w:sz w:val="24"/>
              </w:rPr>
            </w:pPr>
            <w:r>
              <w:rPr>
                <w:spacing w:val="-2"/>
                <w:sz w:val="24"/>
              </w:rPr>
              <w:t>12-</w:t>
            </w:r>
            <w:r>
              <w:rPr>
                <w:spacing w:val="-7"/>
                <w:sz w:val="24"/>
              </w:rPr>
              <w:t>14</w:t>
            </w:r>
          </w:p>
        </w:tc>
        <w:tc>
          <w:tcPr>
            <w:tcW w:w="1553" w:type="dxa"/>
          </w:tcPr>
          <w:p>
            <w:pPr>
              <w:pStyle w:val="TableParagraph"/>
              <w:spacing w:before="115"/>
              <w:ind w:left="121"/>
              <w:rPr>
                <w:sz w:val="24"/>
              </w:rPr>
            </w:pPr>
            <w:r>
              <w:rPr>
                <w:spacing w:val="-5"/>
                <w:sz w:val="24"/>
              </w:rPr>
              <w:t>≥15</w:t>
            </w:r>
          </w:p>
        </w:tc>
        <w:tc>
          <w:tcPr>
            <w:tcW w:w="1216" w:type="dxa"/>
          </w:tcPr>
          <w:p>
            <w:pPr>
              <w:pStyle w:val="TableParagraph"/>
              <w:spacing w:before="115"/>
              <w:ind w:left="104"/>
              <w:rPr>
                <w:sz w:val="24"/>
              </w:rPr>
            </w:pPr>
            <w:r>
              <w:rPr>
                <w:spacing w:val="-5"/>
                <w:sz w:val="24"/>
              </w:rPr>
              <w:t>≤11</w:t>
            </w:r>
          </w:p>
        </w:tc>
      </w:tr>
      <w:tr>
        <w:trPr>
          <w:trHeight w:val="515" w:hRule="atLeast"/>
        </w:trPr>
        <w:tc>
          <w:tcPr>
            <w:tcW w:w="1404" w:type="dxa"/>
          </w:tcPr>
          <w:p>
            <w:pPr>
              <w:pStyle w:val="TableParagraph"/>
              <w:rPr>
                <w:sz w:val="24"/>
              </w:rPr>
            </w:pPr>
          </w:p>
        </w:tc>
        <w:tc>
          <w:tcPr>
            <w:tcW w:w="1771" w:type="dxa"/>
          </w:tcPr>
          <w:p>
            <w:pPr>
              <w:pStyle w:val="TableParagraph"/>
              <w:spacing w:before="115"/>
              <w:ind w:left="108"/>
              <w:rPr>
                <w:sz w:val="24"/>
              </w:rPr>
            </w:pPr>
            <w:r>
              <w:rPr>
                <w:spacing w:val="-2"/>
                <w:sz w:val="24"/>
              </w:rPr>
              <w:t>Azithromycin</w:t>
            </w:r>
          </w:p>
        </w:tc>
        <w:tc>
          <w:tcPr>
            <w:tcW w:w="1197" w:type="dxa"/>
          </w:tcPr>
          <w:p>
            <w:pPr>
              <w:pStyle w:val="TableParagraph"/>
              <w:spacing w:before="115"/>
              <w:ind w:left="221"/>
              <w:rPr>
                <w:sz w:val="24"/>
              </w:rPr>
            </w:pPr>
            <w:r>
              <w:rPr>
                <w:spacing w:val="-5"/>
                <w:sz w:val="24"/>
              </w:rPr>
              <w:t>15</w:t>
            </w:r>
          </w:p>
        </w:tc>
        <w:tc>
          <w:tcPr>
            <w:tcW w:w="1602" w:type="dxa"/>
          </w:tcPr>
          <w:p>
            <w:pPr>
              <w:pStyle w:val="TableParagraph"/>
              <w:spacing w:before="115"/>
              <w:ind w:left="268"/>
              <w:rPr>
                <w:sz w:val="24"/>
              </w:rPr>
            </w:pPr>
            <w:r>
              <w:rPr>
                <w:spacing w:val="-2"/>
                <w:sz w:val="24"/>
              </w:rPr>
              <w:t>14-</w:t>
            </w:r>
            <w:r>
              <w:rPr>
                <w:spacing w:val="-7"/>
                <w:sz w:val="24"/>
              </w:rPr>
              <w:t>17</w:t>
            </w:r>
          </w:p>
        </w:tc>
        <w:tc>
          <w:tcPr>
            <w:tcW w:w="1553" w:type="dxa"/>
          </w:tcPr>
          <w:p>
            <w:pPr>
              <w:pStyle w:val="TableParagraph"/>
              <w:spacing w:before="115"/>
              <w:ind w:left="121"/>
              <w:rPr>
                <w:sz w:val="24"/>
              </w:rPr>
            </w:pPr>
            <w:r>
              <w:rPr>
                <w:spacing w:val="-5"/>
                <w:sz w:val="24"/>
              </w:rPr>
              <w:t>≥18</w:t>
            </w:r>
          </w:p>
        </w:tc>
        <w:tc>
          <w:tcPr>
            <w:tcW w:w="1216" w:type="dxa"/>
          </w:tcPr>
          <w:p>
            <w:pPr>
              <w:pStyle w:val="TableParagraph"/>
              <w:spacing w:before="115"/>
              <w:ind w:left="104"/>
              <w:rPr>
                <w:sz w:val="24"/>
              </w:rPr>
            </w:pPr>
            <w:r>
              <w:rPr>
                <w:spacing w:val="-5"/>
                <w:sz w:val="24"/>
              </w:rPr>
              <w:t>≤13</w:t>
            </w:r>
          </w:p>
        </w:tc>
      </w:tr>
      <w:tr>
        <w:trPr>
          <w:trHeight w:val="792" w:hRule="atLeast"/>
        </w:trPr>
        <w:tc>
          <w:tcPr>
            <w:tcW w:w="1404" w:type="dxa"/>
          </w:tcPr>
          <w:p>
            <w:pPr>
              <w:pStyle w:val="TableParagraph"/>
              <w:spacing w:before="115"/>
              <w:ind w:left="122"/>
              <w:rPr>
                <w:i/>
                <w:sz w:val="24"/>
              </w:rPr>
            </w:pPr>
            <w:r>
              <w:rPr>
                <w:i/>
                <w:spacing w:val="-2"/>
                <w:sz w:val="24"/>
              </w:rPr>
              <w:t>Klepsiella pneumoniae</w:t>
            </w:r>
          </w:p>
        </w:tc>
        <w:tc>
          <w:tcPr>
            <w:tcW w:w="1771" w:type="dxa"/>
          </w:tcPr>
          <w:p>
            <w:pPr>
              <w:pStyle w:val="TableParagraph"/>
              <w:spacing w:before="115"/>
              <w:ind w:left="108"/>
              <w:rPr>
                <w:sz w:val="24"/>
              </w:rPr>
            </w:pPr>
            <w:r>
              <w:rPr>
                <w:spacing w:val="-2"/>
                <w:sz w:val="24"/>
              </w:rPr>
              <w:t>Amoxycillin</w:t>
            </w:r>
          </w:p>
        </w:tc>
        <w:tc>
          <w:tcPr>
            <w:tcW w:w="1197" w:type="dxa"/>
          </w:tcPr>
          <w:p>
            <w:pPr>
              <w:pStyle w:val="TableParagraph"/>
              <w:spacing w:before="115"/>
              <w:ind w:left="221"/>
              <w:rPr>
                <w:sz w:val="24"/>
              </w:rPr>
            </w:pPr>
            <w:r>
              <w:rPr>
                <w:spacing w:val="-5"/>
                <w:sz w:val="24"/>
              </w:rPr>
              <w:t>10</w:t>
            </w:r>
          </w:p>
        </w:tc>
        <w:tc>
          <w:tcPr>
            <w:tcW w:w="1602" w:type="dxa"/>
          </w:tcPr>
          <w:p>
            <w:pPr>
              <w:pStyle w:val="TableParagraph"/>
              <w:rPr>
                <w:sz w:val="24"/>
              </w:rPr>
            </w:pPr>
          </w:p>
        </w:tc>
        <w:tc>
          <w:tcPr>
            <w:tcW w:w="1553" w:type="dxa"/>
          </w:tcPr>
          <w:p>
            <w:pPr>
              <w:pStyle w:val="TableParagraph"/>
              <w:spacing w:before="115"/>
              <w:ind w:left="121"/>
              <w:rPr>
                <w:sz w:val="24"/>
              </w:rPr>
            </w:pPr>
            <w:r>
              <w:rPr>
                <w:spacing w:val="-5"/>
                <w:sz w:val="24"/>
              </w:rPr>
              <w:t>≥14</w:t>
            </w:r>
          </w:p>
        </w:tc>
        <w:tc>
          <w:tcPr>
            <w:tcW w:w="1216" w:type="dxa"/>
          </w:tcPr>
          <w:p>
            <w:pPr>
              <w:pStyle w:val="TableParagraph"/>
              <w:spacing w:before="115"/>
              <w:ind w:left="104"/>
              <w:rPr>
                <w:sz w:val="24"/>
              </w:rPr>
            </w:pPr>
            <w:r>
              <w:rPr>
                <w:spacing w:val="-5"/>
                <w:sz w:val="24"/>
              </w:rPr>
              <w:t>≤13</w:t>
            </w:r>
          </w:p>
        </w:tc>
      </w:tr>
      <w:tr>
        <w:trPr>
          <w:trHeight w:val="518" w:hRule="atLeast"/>
        </w:trPr>
        <w:tc>
          <w:tcPr>
            <w:tcW w:w="1404" w:type="dxa"/>
            <w:tcBorders>
              <w:bottom w:val="single" w:sz="4" w:space="0" w:color="000000"/>
            </w:tcBorders>
          </w:tcPr>
          <w:p>
            <w:pPr>
              <w:pStyle w:val="TableParagraph"/>
              <w:rPr>
                <w:sz w:val="24"/>
              </w:rPr>
            </w:pPr>
          </w:p>
        </w:tc>
        <w:tc>
          <w:tcPr>
            <w:tcW w:w="1771" w:type="dxa"/>
            <w:tcBorders>
              <w:bottom w:val="single" w:sz="4" w:space="0" w:color="000000"/>
            </w:tcBorders>
          </w:tcPr>
          <w:p>
            <w:pPr>
              <w:pStyle w:val="TableParagraph"/>
              <w:spacing w:before="115"/>
              <w:ind w:left="108"/>
              <w:rPr>
                <w:sz w:val="24"/>
              </w:rPr>
            </w:pPr>
            <w:r>
              <w:rPr>
                <w:spacing w:val="-2"/>
                <w:sz w:val="24"/>
              </w:rPr>
              <w:t>Ofloxacin</w:t>
            </w:r>
          </w:p>
        </w:tc>
        <w:tc>
          <w:tcPr>
            <w:tcW w:w="1197" w:type="dxa"/>
            <w:tcBorders>
              <w:bottom w:val="single" w:sz="4" w:space="0" w:color="000000"/>
            </w:tcBorders>
          </w:tcPr>
          <w:p>
            <w:pPr>
              <w:pStyle w:val="TableParagraph"/>
              <w:spacing w:before="115"/>
              <w:ind w:left="221"/>
              <w:rPr>
                <w:sz w:val="24"/>
              </w:rPr>
            </w:pPr>
            <w:r>
              <w:rPr>
                <w:spacing w:val="-10"/>
                <w:sz w:val="24"/>
              </w:rPr>
              <w:t>5</w:t>
            </w:r>
          </w:p>
        </w:tc>
        <w:tc>
          <w:tcPr>
            <w:tcW w:w="1602" w:type="dxa"/>
            <w:tcBorders>
              <w:bottom w:val="single" w:sz="4" w:space="0" w:color="000000"/>
            </w:tcBorders>
          </w:tcPr>
          <w:p>
            <w:pPr>
              <w:pStyle w:val="TableParagraph"/>
              <w:spacing w:before="115"/>
              <w:ind w:left="268"/>
              <w:rPr>
                <w:sz w:val="24"/>
              </w:rPr>
            </w:pPr>
            <w:r>
              <w:rPr>
                <w:spacing w:val="-2"/>
                <w:sz w:val="24"/>
              </w:rPr>
              <w:t>20-</w:t>
            </w:r>
            <w:r>
              <w:rPr>
                <w:spacing w:val="-7"/>
                <w:sz w:val="24"/>
              </w:rPr>
              <w:t>21</w:t>
            </w:r>
          </w:p>
        </w:tc>
        <w:tc>
          <w:tcPr>
            <w:tcW w:w="1553" w:type="dxa"/>
            <w:tcBorders>
              <w:bottom w:val="single" w:sz="4" w:space="0" w:color="000000"/>
            </w:tcBorders>
          </w:tcPr>
          <w:p>
            <w:pPr>
              <w:pStyle w:val="TableParagraph"/>
              <w:spacing w:before="115"/>
              <w:ind w:left="121"/>
              <w:rPr>
                <w:sz w:val="24"/>
              </w:rPr>
            </w:pPr>
            <w:r>
              <w:rPr>
                <w:spacing w:val="-5"/>
                <w:sz w:val="24"/>
              </w:rPr>
              <w:t>≥22</w:t>
            </w:r>
          </w:p>
        </w:tc>
        <w:tc>
          <w:tcPr>
            <w:tcW w:w="1216" w:type="dxa"/>
            <w:tcBorders>
              <w:bottom w:val="single" w:sz="4" w:space="0" w:color="000000"/>
            </w:tcBorders>
          </w:tcPr>
          <w:p>
            <w:pPr>
              <w:pStyle w:val="TableParagraph"/>
              <w:spacing w:before="115"/>
              <w:ind w:left="104"/>
              <w:rPr>
                <w:sz w:val="24"/>
              </w:rPr>
            </w:pPr>
            <w:r>
              <w:rPr>
                <w:spacing w:val="-5"/>
                <w:sz w:val="24"/>
              </w:rPr>
              <w:t>≤19</w:t>
            </w:r>
          </w:p>
        </w:tc>
      </w:tr>
    </w:tbl>
    <w:p>
      <w:pPr>
        <w:spacing w:after="0"/>
        <w:rPr>
          <w:sz w:val="24"/>
        </w:rPr>
        <w:sectPr>
          <w:pgSz w:w="11910" w:h="16840"/>
          <w:pgMar w:header="0" w:footer="981" w:top="1920" w:bottom="1180" w:left="1240" w:right="560"/>
        </w:sect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5"/>
        <w:gridCol w:w="1903"/>
        <w:gridCol w:w="912"/>
        <w:gridCol w:w="1450"/>
        <w:gridCol w:w="1403"/>
        <w:gridCol w:w="1692"/>
      </w:tblGrid>
      <w:tr>
        <w:trPr>
          <w:trHeight w:val="513" w:hRule="atLeast"/>
        </w:trPr>
        <w:tc>
          <w:tcPr>
            <w:tcW w:w="1385" w:type="dxa"/>
            <w:tcBorders>
              <w:top w:val="single" w:sz="4" w:space="0" w:color="000000"/>
            </w:tcBorders>
          </w:tcPr>
          <w:p>
            <w:pPr>
              <w:pStyle w:val="TableParagraph"/>
              <w:rPr>
                <w:sz w:val="22"/>
              </w:rPr>
            </w:pPr>
          </w:p>
        </w:tc>
        <w:tc>
          <w:tcPr>
            <w:tcW w:w="1903" w:type="dxa"/>
            <w:tcBorders>
              <w:top w:val="single" w:sz="4" w:space="0" w:color="000000"/>
            </w:tcBorders>
          </w:tcPr>
          <w:p>
            <w:pPr>
              <w:pStyle w:val="TableParagraph"/>
              <w:spacing w:before="112"/>
              <w:ind w:left="127"/>
              <w:rPr>
                <w:sz w:val="24"/>
              </w:rPr>
            </w:pPr>
            <w:r>
              <w:rPr>
                <w:spacing w:val="-2"/>
                <w:sz w:val="24"/>
              </w:rPr>
              <w:t>Nitrofurantoin</w:t>
            </w:r>
          </w:p>
        </w:tc>
        <w:tc>
          <w:tcPr>
            <w:tcW w:w="912" w:type="dxa"/>
            <w:tcBorders>
              <w:top w:val="single" w:sz="4" w:space="0" w:color="000000"/>
            </w:tcBorders>
          </w:tcPr>
          <w:p>
            <w:pPr>
              <w:pStyle w:val="TableParagraph"/>
              <w:spacing w:before="112"/>
              <w:ind w:left="108"/>
              <w:rPr>
                <w:sz w:val="24"/>
              </w:rPr>
            </w:pPr>
            <w:r>
              <w:rPr>
                <w:spacing w:val="-5"/>
                <w:sz w:val="24"/>
              </w:rPr>
              <w:t>300</w:t>
            </w:r>
          </w:p>
        </w:tc>
        <w:tc>
          <w:tcPr>
            <w:tcW w:w="1450" w:type="dxa"/>
            <w:tcBorders>
              <w:top w:val="single" w:sz="4" w:space="0" w:color="000000"/>
            </w:tcBorders>
          </w:tcPr>
          <w:p>
            <w:pPr>
              <w:pStyle w:val="TableParagraph"/>
              <w:spacing w:before="112"/>
              <w:ind w:right="8"/>
              <w:jc w:val="center"/>
              <w:rPr>
                <w:sz w:val="24"/>
              </w:rPr>
            </w:pPr>
            <w:r>
              <w:rPr>
                <w:spacing w:val="-2"/>
                <w:sz w:val="24"/>
              </w:rPr>
              <w:t>15-</w:t>
            </w:r>
            <w:r>
              <w:rPr>
                <w:spacing w:val="-7"/>
                <w:sz w:val="24"/>
              </w:rPr>
              <w:t>16</w:t>
            </w:r>
          </w:p>
        </w:tc>
        <w:tc>
          <w:tcPr>
            <w:tcW w:w="1403" w:type="dxa"/>
            <w:tcBorders>
              <w:top w:val="single" w:sz="4" w:space="0" w:color="000000"/>
            </w:tcBorders>
          </w:tcPr>
          <w:p>
            <w:pPr>
              <w:pStyle w:val="TableParagraph"/>
              <w:spacing w:before="112"/>
              <w:ind w:right="138"/>
              <w:jc w:val="center"/>
              <w:rPr>
                <w:sz w:val="24"/>
              </w:rPr>
            </w:pPr>
            <w:r>
              <w:rPr>
                <w:spacing w:val="-5"/>
                <w:sz w:val="24"/>
              </w:rPr>
              <w:t>≥17</w:t>
            </w:r>
          </w:p>
        </w:tc>
        <w:tc>
          <w:tcPr>
            <w:tcW w:w="1692" w:type="dxa"/>
            <w:tcBorders>
              <w:top w:val="single" w:sz="4" w:space="0" w:color="000000"/>
            </w:tcBorders>
          </w:tcPr>
          <w:p>
            <w:pPr>
              <w:pStyle w:val="TableParagraph"/>
              <w:spacing w:before="112"/>
              <w:ind w:left="578"/>
              <w:rPr>
                <w:sz w:val="24"/>
              </w:rPr>
            </w:pPr>
            <w:r>
              <w:rPr>
                <w:spacing w:val="-5"/>
                <w:sz w:val="24"/>
              </w:rPr>
              <w:t>≤14</w:t>
            </w:r>
          </w:p>
        </w:tc>
      </w:tr>
      <w:tr>
        <w:trPr>
          <w:trHeight w:val="515" w:hRule="atLeast"/>
        </w:trPr>
        <w:tc>
          <w:tcPr>
            <w:tcW w:w="1385" w:type="dxa"/>
          </w:tcPr>
          <w:p>
            <w:pPr>
              <w:pStyle w:val="TableParagraph"/>
              <w:spacing w:before="115"/>
              <w:ind w:left="122"/>
              <w:rPr>
                <w:i/>
                <w:sz w:val="24"/>
              </w:rPr>
            </w:pPr>
            <w:r>
              <w:rPr>
                <w:i/>
                <w:sz w:val="24"/>
              </w:rPr>
              <w:t>S. </w:t>
            </w:r>
            <w:r>
              <w:rPr>
                <w:i/>
                <w:spacing w:val="-2"/>
                <w:sz w:val="24"/>
              </w:rPr>
              <w:t>typhi</w:t>
            </w:r>
          </w:p>
        </w:tc>
        <w:tc>
          <w:tcPr>
            <w:tcW w:w="1903" w:type="dxa"/>
          </w:tcPr>
          <w:p>
            <w:pPr>
              <w:pStyle w:val="TableParagraph"/>
              <w:spacing w:before="115"/>
              <w:ind w:left="127"/>
              <w:rPr>
                <w:sz w:val="24"/>
              </w:rPr>
            </w:pPr>
            <w:r>
              <w:rPr>
                <w:spacing w:val="-2"/>
                <w:sz w:val="24"/>
              </w:rPr>
              <w:t>Cefuroxime</w:t>
            </w:r>
          </w:p>
        </w:tc>
        <w:tc>
          <w:tcPr>
            <w:tcW w:w="912" w:type="dxa"/>
          </w:tcPr>
          <w:p>
            <w:pPr>
              <w:pStyle w:val="TableParagraph"/>
              <w:spacing w:before="115"/>
              <w:ind w:left="108"/>
              <w:rPr>
                <w:sz w:val="24"/>
              </w:rPr>
            </w:pPr>
            <w:r>
              <w:rPr>
                <w:spacing w:val="-5"/>
                <w:sz w:val="24"/>
              </w:rPr>
              <w:t>30</w:t>
            </w:r>
          </w:p>
        </w:tc>
        <w:tc>
          <w:tcPr>
            <w:tcW w:w="1450" w:type="dxa"/>
          </w:tcPr>
          <w:p>
            <w:pPr>
              <w:pStyle w:val="TableParagraph"/>
              <w:rPr>
                <w:sz w:val="22"/>
              </w:rPr>
            </w:pPr>
          </w:p>
        </w:tc>
        <w:tc>
          <w:tcPr>
            <w:tcW w:w="1403" w:type="dxa"/>
          </w:tcPr>
          <w:p>
            <w:pPr>
              <w:pStyle w:val="TableParagraph"/>
              <w:spacing w:before="115"/>
              <w:ind w:right="138"/>
              <w:jc w:val="center"/>
              <w:rPr>
                <w:sz w:val="24"/>
              </w:rPr>
            </w:pPr>
            <w:r>
              <w:rPr>
                <w:spacing w:val="-5"/>
                <w:sz w:val="24"/>
              </w:rPr>
              <w:t>≥18</w:t>
            </w:r>
          </w:p>
        </w:tc>
        <w:tc>
          <w:tcPr>
            <w:tcW w:w="1692" w:type="dxa"/>
          </w:tcPr>
          <w:p>
            <w:pPr>
              <w:pStyle w:val="TableParagraph"/>
              <w:spacing w:before="115"/>
              <w:ind w:left="578"/>
              <w:rPr>
                <w:sz w:val="24"/>
              </w:rPr>
            </w:pPr>
            <w:r>
              <w:rPr>
                <w:spacing w:val="-5"/>
                <w:sz w:val="24"/>
              </w:rPr>
              <w:t>≤18</w:t>
            </w:r>
          </w:p>
        </w:tc>
      </w:tr>
      <w:tr>
        <w:trPr>
          <w:trHeight w:val="516" w:hRule="atLeast"/>
        </w:trPr>
        <w:tc>
          <w:tcPr>
            <w:tcW w:w="1385" w:type="dxa"/>
          </w:tcPr>
          <w:p>
            <w:pPr>
              <w:pStyle w:val="TableParagraph"/>
              <w:rPr>
                <w:sz w:val="22"/>
              </w:rPr>
            </w:pPr>
          </w:p>
        </w:tc>
        <w:tc>
          <w:tcPr>
            <w:tcW w:w="1903" w:type="dxa"/>
          </w:tcPr>
          <w:p>
            <w:pPr>
              <w:pStyle w:val="TableParagraph"/>
              <w:spacing w:before="115"/>
              <w:ind w:left="127"/>
              <w:rPr>
                <w:sz w:val="24"/>
              </w:rPr>
            </w:pPr>
            <w:r>
              <w:rPr>
                <w:sz w:val="24"/>
              </w:rPr>
              <w:t>Nalidixic</w:t>
            </w:r>
            <w:r>
              <w:rPr>
                <w:spacing w:val="-2"/>
                <w:sz w:val="24"/>
              </w:rPr>
              <w:t> </w:t>
            </w:r>
            <w:r>
              <w:rPr>
                <w:spacing w:val="-4"/>
                <w:sz w:val="24"/>
              </w:rPr>
              <w:t>acid</w:t>
            </w:r>
          </w:p>
        </w:tc>
        <w:tc>
          <w:tcPr>
            <w:tcW w:w="912" w:type="dxa"/>
          </w:tcPr>
          <w:p>
            <w:pPr>
              <w:pStyle w:val="TableParagraph"/>
              <w:spacing w:before="115"/>
              <w:ind w:left="108"/>
              <w:rPr>
                <w:sz w:val="24"/>
              </w:rPr>
            </w:pPr>
            <w:r>
              <w:rPr>
                <w:spacing w:val="-5"/>
                <w:sz w:val="24"/>
              </w:rPr>
              <w:t>30</w:t>
            </w:r>
          </w:p>
        </w:tc>
        <w:tc>
          <w:tcPr>
            <w:tcW w:w="1450" w:type="dxa"/>
          </w:tcPr>
          <w:p>
            <w:pPr>
              <w:pStyle w:val="TableParagraph"/>
              <w:spacing w:before="115"/>
              <w:ind w:right="8"/>
              <w:jc w:val="center"/>
              <w:rPr>
                <w:sz w:val="24"/>
              </w:rPr>
            </w:pPr>
            <w:r>
              <w:rPr>
                <w:spacing w:val="-2"/>
                <w:sz w:val="24"/>
              </w:rPr>
              <w:t>14-</w:t>
            </w:r>
            <w:r>
              <w:rPr>
                <w:spacing w:val="-7"/>
                <w:sz w:val="24"/>
              </w:rPr>
              <w:t>18</w:t>
            </w:r>
          </w:p>
        </w:tc>
        <w:tc>
          <w:tcPr>
            <w:tcW w:w="1403" w:type="dxa"/>
          </w:tcPr>
          <w:p>
            <w:pPr>
              <w:pStyle w:val="TableParagraph"/>
              <w:spacing w:before="115"/>
              <w:ind w:right="138"/>
              <w:jc w:val="center"/>
              <w:rPr>
                <w:sz w:val="24"/>
              </w:rPr>
            </w:pPr>
            <w:r>
              <w:rPr>
                <w:spacing w:val="-5"/>
                <w:sz w:val="24"/>
              </w:rPr>
              <w:t>≥19</w:t>
            </w:r>
          </w:p>
        </w:tc>
        <w:tc>
          <w:tcPr>
            <w:tcW w:w="1692" w:type="dxa"/>
          </w:tcPr>
          <w:p>
            <w:pPr>
              <w:pStyle w:val="TableParagraph"/>
              <w:spacing w:before="115"/>
              <w:ind w:left="578"/>
              <w:rPr>
                <w:sz w:val="24"/>
              </w:rPr>
            </w:pPr>
            <w:r>
              <w:rPr>
                <w:spacing w:val="-5"/>
                <w:sz w:val="24"/>
              </w:rPr>
              <w:t>≤13</w:t>
            </w:r>
          </w:p>
        </w:tc>
      </w:tr>
      <w:tr>
        <w:trPr>
          <w:trHeight w:val="515" w:hRule="atLeast"/>
        </w:trPr>
        <w:tc>
          <w:tcPr>
            <w:tcW w:w="1385" w:type="dxa"/>
          </w:tcPr>
          <w:p>
            <w:pPr>
              <w:pStyle w:val="TableParagraph"/>
              <w:rPr>
                <w:sz w:val="22"/>
              </w:rPr>
            </w:pPr>
          </w:p>
        </w:tc>
        <w:tc>
          <w:tcPr>
            <w:tcW w:w="1903" w:type="dxa"/>
          </w:tcPr>
          <w:p>
            <w:pPr>
              <w:pStyle w:val="TableParagraph"/>
              <w:spacing w:before="115"/>
              <w:ind w:left="127"/>
              <w:rPr>
                <w:sz w:val="24"/>
              </w:rPr>
            </w:pPr>
            <w:r>
              <w:rPr>
                <w:spacing w:val="-2"/>
                <w:sz w:val="24"/>
              </w:rPr>
              <w:t>Cephalexin</w:t>
            </w:r>
          </w:p>
        </w:tc>
        <w:tc>
          <w:tcPr>
            <w:tcW w:w="912" w:type="dxa"/>
          </w:tcPr>
          <w:p>
            <w:pPr>
              <w:pStyle w:val="TableParagraph"/>
              <w:spacing w:before="115"/>
              <w:ind w:left="108"/>
              <w:rPr>
                <w:sz w:val="24"/>
              </w:rPr>
            </w:pPr>
            <w:r>
              <w:rPr>
                <w:spacing w:val="-5"/>
                <w:sz w:val="24"/>
              </w:rPr>
              <w:t>30</w:t>
            </w:r>
          </w:p>
        </w:tc>
        <w:tc>
          <w:tcPr>
            <w:tcW w:w="1450" w:type="dxa"/>
          </w:tcPr>
          <w:p>
            <w:pPr>
              <w:pStyle w:val="TableParagraph"/>
              <w:rPr>
                <w:sz w:val="22"/>
              </w:rPr>
            </w:pPr>
          </w:p>
        </w:tc>
        <w:tc>
          <w:tcPr>
            <w:tcW w:w="1403" w:type="dxa"/>
          </w:tcPr>
          <w:p>
            <w:pPr>
              <w:pStyle w:val="TableParagraph"/>
              <w:spacing w:before="115"/>
              <w:ind w:right="138"/>
              <w:jc w:val="center"/>
              <w:rPr>
                <w:sz w:val="24"/>
              </w:rPr>
            </w:pPr>
            <w:r>
              <w:rPr>
                <w:spacing w:val="-5"/>
                <w:sz w:val="24"/>
              </w:rPr>
              <w:t>≥12</w:t>
            </w:r>
          </w:p>
        </w:tc>
        <w:tc>
          <w:tcPr>
            <w:tcW w:w="1692" w:type="dxa"/>
          </w:tcPr>
          <w:p>
            <w:pPr>
              <w:pStyle w:val="TableParagraph"/>
              <w:spacing w:before="115"/>
              <w:ind w:left="578"/>
              <w:rPr>
                <w:sz w:val="24"/>
              </w:rPr>
            </w:pPr>
            <w:r>
              <w:rPr>
                <w:spacing w:val="-5"/>
                <w:sz w:val="24"/>
              </w:rPr>
              <w:t>≤12</w:t>
            </w:r>
          </w:p>
        </w:tc>
      </w:tr>
      <w:tr>
        <w:trPr>
          <w:trHeight w:val="515" w:hRule="atLeast"/>
        </w:trPr>
        <w:tc>
          <w:tcPr>
            <w:tcW w:w="1385" w:type="dxa"/>
          </w:tcPr>
          <w:p>
            <w:pPr>
              <w:pStyle w:val="TableParagraph"/>
              <w:rPr>
                <w:sz w:val="22"/>
              </w:rPr>
            </w:pPr>
          </w:p>
        </w:tc>
        <w:tc>
          <w:tcPr>
            <w:tcW w:w="1903" w:type="dxa"/>
          </w:tcPr>
          <w:p>
            <w:pPr>
              <w:pStyle w:val="TableParagraph"/>
              <w:spacing w:before="115"/>
              <w:ind w:left="127"/>
              <w:rPr>
                <w:sz w:val="24"/>
              </w:rPr>
            </w:pPr>
            <w:r>
              <w:rPr>
                <w:spacing w:val="-2"/>
                <w:sz w:val="24"/>
              </w:rPr>
              <w:t>Chloramphenicol</w:t>
            </w:r>
          </w:p>
        </w:tc>
        <w:tc>
          <w:tcPr>
            <w:tcW w:w="912" w:type="dxa"/>
          </w:tcPr>
          <w:p>
            <w:pPr>
              <w:pStyle w:val="TableParagraph"/>
              <w:spacing w:before="115"/>
              <w:ind w:left="108"/>
              <w:rPr>
                <w:sz w:val="24"/>
              </w:rPr>
            </w:pPr>
            <w:r>
              <w:rPr>
                <w:spacing w:val="-5"/>
                <w:sz w:val="24"/>
              </w:rPr>
              <w:t>30</w:t>
            </w:r>
          </w:p>
        </w:tc>
        <w:tc>
          <w:tcPr>
            <w:tcW w:w="1450" w:type="dxa"/>
          </w:tcPr>
          <w:p>
            <w:pPr>
              <w:pStyle w:val="TableParagraph"/>
              <w:rPr>
                <w:sz w:val="22"/>
              </w:rPr>
            </w:pPr>
          </w:p>
        </w:tc>
        <w:tc>
          <w:tcPr>
            <w:tcW w:w="1403" w:type="dxa"/>
          </w:tcPr>
          <w:p>
            <w:pPr>
              <w:pStyle w:val="TableParagraph"/>
              <w:spacing w:before="115"/>
              <w:ind w:right="138"/>
              <w:jc w:val="center"/>
              <w:rPr>
                <w:sz w:val="24"/>
              </w:rPr>
            </w:pPr>
            <w:r>
              <w:rPr>
                <w:spacing w:val="-5"/>
                <w:sz w:val="24"/>
              </w:rPr>
              <w:t>≥17</w:t>
            </w:r>
          </w:p>
        </w:tc>
        <w:tc>
          <w:tcPr>
            <w:tcW w:w="1692" w:type="dxa"/>
          </w:tcPr>
          <w:p>
            <w:pPr>
              <w:pStyle w:val="TableParagraph"/>
              <w:spacing w:before="115"/>
              <w:ind w:left="578"/>
              <w:rPr>
                <w:sz w:val="24"/>
              </w:rPr>
            </w:pPr>
            <w:r>
              <w:rPr>
                <w:spacing w:val="-5"/>
                <w:sz w:val="24"/>
              </w:rPr>
              <w:t>≤17</w:t>
            </w:r>
          </w:p>
        </w:tc>
      </w:tr>
      <w:tr>
        <w:trPr>
          <w:trHeight w:val="516" w:hRule="atLeast"/>
        </w:trPr>
        <w:tc>
          <w:tcPr>
            <w:tcW w:w="1385" w:type="dxa"/>
          </w:tcPr>
          <w:p>
            <w:pPr>
              <w:pStyle w:val="TableParagraph"/>
              <w:spacing w:before="115"/>
              <w:ind w:left="122"/>
              <w:rPr>
                <w:i/>
                <w:sz w:val="24"/>
              </w:rPr>
            </w:pPr>
            <w:r>
              <w:rPr>
                <w:i/>
                <w:sz w:val="24"/>
              </w:rPr>
              <w:t>P. </w:t>
            </w:r>
            <w:r>
              <w:rPr>
                <w:i/>
                <w:spacing w:val="-2"/>
                <w:sz w:val="24"/>
              </w:rPr>
              <w:t>mirabilis</w:t>
            </w:r>
          </w:p>
        </w:tc>
        <w:tc>
          <w:tcPr>
            <w:tcW w:w="1903" w:type="dxa"/>
          </w:tcPr>
          <w:p>
            <w:pPr>
              <w:pStyle w:val="TableParagraph"/>
              <w:spacing w:before="115"/>
              <w:ind w:left="127"/>
              <w:rPr>
                <w:sz w:val="24"/>
              </w:rPr>
            </w:pPr>
            <w:r>
              <w:rPr>
                <w:spacing w:val="-2"/>
                <w:sz w:val="24"/>
              </w:rPr>
              <w:t>Ceftazidime</w:t>
            </w:r>
          </w:p>
        </w:tc>
        <w:tc>
          <w:tcPr>
            <w:tcW w:w="912" w:type="dxa"/>
          </w:tcPr>
          <w:p>
            <w:pPr>
              <w:pStyle w:val="TableParagraph"/>
              <w:spacing w:before="115"/>
              <w:ind w:left="108"/>
              <w:rPr>
                <w:sz w:val="24"/>
              </w:rPr>
            </w:pPr>
            <w:r>
              <w:rPr>
                <w:spacing w:val="-5"/>
                <w:sz w:val="24"/>
              </w:rPr>
              <w:t>10</w:t>
            </w:r>
          </w:p>
        </w:tc>
        <w:tc>
          <w:tcPr>
            <w:tcW w:w="1450" w:type="dxa"/>
          </w:tcPr>
          <w:p>
            <w:pPr>
              <w:pStyle w:val="TableParagraph"/>
              <w:spacing w:before="115"/>
              <w:ind w:right="8"/>
              <w:jc w:val="center"/>
              <w:rPr>
                <w:sz w:val="24"/>
              </w:rPr>
            </w:pPr>
            <w:r>
              <w:rPr>
                <w:spacing w:val="-2"/>
                <w:sz w:val="24"/>
              </w:rPr>
              <w:t>19-</w:t>
            </w:r>
            <w:r>
              <w:rPr>
                <w:spacing w:val="-7"/>
                <w:sz w:val="24"/>
              </w:rPr>
              <w:t>21</w:t>
            </w:r>
          </w:p>
        </w:tc>
        <w:tc>
          <w:tcPr>
            <w:tcW w:w="1403" w:type="dxa"/>
          </w:tcPr>
          <w:p>
            <w:pPr>
              <w:pStyle w:val="TableParagraph"/>
              <w:spacing w:before="115"/>
              <w:ind w:right="138"/>
              <w:jc w:val="center"/>
              <w:rPr>
                <w:sz w:val="24"/>
              </w:rPr>
            </w:pPr>
            <w:r>
              <w:rPr>
                <w:spacing w:val="-5"/>
                <w:sz w:val="24"/>
              </w:rPr>
              <w:t>≥22</w:t>
            </w:r>
          </w:p>
        </w:tc>
        <w:tc>
          <w:tcPr>
            <w:tcW w:w="1692" w:type="dxa"/>
          </w:tcPr>
          <w:p>
            <w:pPr>
              <w:pStyle w:val="TableParagraph"/>
              <w:spacing w:before="115"/>
              <w:ind w:left="578"/>
              <w:rPr>
                <w:sz w:val="24"/>
              </w:rPr>
            </w:pPr>
            <w:r>
              <w:rPr>
                <w:spacing w:val="-5"/>
                <w:sz w:val="24"/>
              </w:rPr>
              <w:t>≤19</w:t>
            </w:r>
          </w:p>
        </w:tc>
      </w:tr>
      <w:tr>
        <w:trPr>
          <w:trHeight w:val="519" w:hRule="atLeast"/>
        </w:trPr>
        <w:tc>
          <w:tcPr>
            <w:tcW w:w="1385" w:type="dxa"/>
            <w:tcBorders>
              <w:bottom w:val="single" w:sz="4" w:space="0" w:color="000000"/>
            </w:tcBorders>
          </w:tcPr>
          <w:p>
            <w:pPr>
              <w:pStyle w:val="TableParagraph"/>
              <w:rPr>
                <w:sz w:val="22"/>
              </w:rPr>
            </w:pPr>
          </w:p>
        </w:tc>
        <w:tc>
          <w:tcPr>
            <w:tcW w:w="1903" w:type="dxa"/>
            <w:tcBorders>
              <w:bottom w:val="single" w:sz="4" w:space="0" w:color="000000"/>
            </w:tcBorders>
          </w:tcPr>
          <w:p>
            <w:pPr>
              <w:pStyle w:val="TableParagraph"/>
              <w:spacing w:before="115"/>
              <w:ind w:left="127"/>
              <w:rPr>
                <w:sz w:val="24"/>
              </w:rPr>
            </w:pPr>
            <w:r>
              <w:rPr>
                <w:spacing w:val="-2"/>
                <w:sz w:val="24"/>
              </w:rPr>
              <w:t>Cephalexin</w:t>
            </w:r>
          </w:p>
        </w:tc>
        <w:tc>
          <w:tcPr>
            <w:tcW w:w="912" w:type="dxa"/>
            <w:tcBorders>
              <w:bottom w:val="single" w:sz="4" w:space="0" w:color="000000"/>
            </w:tcBorders>
          </w:tcPr>
          <w:p>
            <w:pPr>
              <w:pStyle w:val="TableParagraph"/>
              <w:spacing w:before="115"/>
              <w:ind w:left="108"/>
              <w:rPr>
                <w:sz w:val="24"/>
              </w:rPr>
            </w:pPr>
            <w:r>
              <w:rPr>
                <w:spacing w:val="-5"/>
                <w:sz w:val="24"/>
              </w:rPr>
              <w:t>30</w:t>
            </w:r>
          </w:p>
        </w:tc>
        <w:tc>
          <w:tcPr>
            <w:tcW w:w="1450" w:type="dxa"/>
            <w:tcBorders>
              <w:bottom w:val="single" w:sz="4" w:space="0" w:color="000000"/>
            </w:tcBorders>
          </w:tcPr>
          <w:p>
            <w:pPr>
              <w:pStyle w:val="TableParagraph"/>
              <w:rPr>
                <w:sz w:val="22"/>
              </w:rPr>
            </w:pPr>
          </w:p>
        </w:tc>
        <w:tc>
          <w:tcPr>
            <w:tcW w:w="1403" w:type="dxa"/>
            <w:tcBorders>
              <w:bottom w:val="single" w:sz="4" w:space="0" w:color="000000"/>
            </w:tcBorders>
          </w:tcPr>
          <w:p>
            <w:pPr>
              <w:pStyle w:val="TableParagraph"/>
              <w:spacing w:before="115"/>
              <w:ind w:right="138"/>
              <w:jc w:val="center"/>
              <w:rPr>
                <w:sz w:val="24"/>
              </w:rPr>
            </w:pPr>
            <w:r>
              <w:rPr>
                <w:spacing w:val="-5"/>
                <w:sz w:val="24"/>
              </w:rPr>
              <w:t>≥12</w:t>
            </w:r>
          </w:p>
        </w:tc>
        <w:tc>
          <w:tcPr>
            <w:tcW w:w="1692" w:type="dxa"/>
            <w:tcBorders>
              <w:bottom w:val="single" w:sz="4" w:space="0" w:color="000000"/>
            </w:tcBorders>
          </w:tcPr>
          <w:p>
            <w:pPr>
              <w:pStyle w:val="TableParagraph"/>
              <w:spacing w:before="115"/>
              <w:ind w:left="578"/>
              <w:rPr>
                <w:sz w:val="24"/>
              </w:rPr>
            </w:pPr>
            <w:r>
              <w:rPr>
                <w:spacing w:val="-5"/>
                <w:sz w:val="24"/>
              </w:rPr>
              <w:t>≤12</w:t>
            </w:r>
          </w:p>
        </w:tc>
      </w:tr>
    </w:tbl>
    <w:sectPr>
      <w:type w:val="continuous"/>
      <w:pgSz w:w="11910" w:h="16840"/>
      <w:pgMar w:header="0" w:footer="981" w:top="1380" w:bottom="1180" w:left="124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10176">
              <wp:simplePos x="0" y="0"/>
              <wp:positionH relativeFrom="page">
                <wp:posOffset>3832225</wp:posOffset>
              </wp:positionH>
              <wp:positionV relativeFrom="page">
                <wp:posOffset>9929876</wp:posOffset>
              </wp:positionV>
              <wp:extent cx="27876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87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1.75pt;margin-top:781.880005pt;width:21.95pt;height:13.05pt;mso-position-horizontal-relative:page;mso-position-vertical-relative:page;z-index:-17506304"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10688">
              <wp:simplePos x="0" y="0"/>
              <wp:positionH relativeFrom="page">
                <wp:posOffset>3855084</wp:posOffset>
              </wp:positionH>
              <wp:positionV relativeFrom="page">
                <wp:posOffset>9929876</wp:posOffset>
              </wp:positionV>
              <wp:extent cx="232410" cy="1657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81.880005pt;width:18.3pt;height:13.05pt;mso-position-horizontal-relative:page;mso-position-vertical-relative:page;z-index:-17505792" type="#_x0000_t202" id="docshape1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6"/>
      <w:numFmt w:val="decimal"/>
      <w:lvlText w:val="%1"/>
      <w:lvlJc w:val="left"/>
      <w:pPr>
        <w:ind w:left="2668" w:hanging="480"/>
        <w:jc w:val="left"/>
      </w:pPr>
      <w:rPr>
        <w:rFonts w:hint="default"/>
        <w:lang w:val="en-US" w:eastAsia="en-US" w:bidi="ar-SA"/>
      </w:rPr>
    </w:lvl>
    <w:lvl w:ilvl="1">
      <w:start w:val="0"/>
      <w:numFmt w:val="decimal"/>
      <w:lvlText w:val="%1.%2"/>
      <w:lvlJc w:val="left"/>
      <w:pPr>
        <w:ind w:left="2668" w:hanging="48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149" w:hanging="480"/>
      </w:pPr>
      <w:rPr>
        <w:rFonts w:hint="default"/>
        <w:lang w:val="en-US" w:eastAsia="en-US" w:bidi="ar-SA"/>
      </w:rPr>
    </w:lvl>
    <w:lvl w:ilvl="3">
      <w:start w:val="0"/>
      <w:numFmt w:val="bullet"/>
      <w:lvlText w:val="•"/>
      <w:lvlJc w:val="left"/>
      <w:pPr>
        <w:ind w:left="4893" w:hanging="480"/>
      </w:pPr>
      <w:rPr>
        <w:rFonts w:hint="default"/>
        <w:lang w:val="en-US" w:eastAsia="en-US" w:bidi="ar-SA"/>
      </w:rPr>
    </w:lvl>
    <w:lvl w:ilvl="4">
      <w:start w:val="0"/>
      <w:numFmt w:val="bullet"/>
      <w:lvlText w:val="•"/>
      <w:lvlJc w:val="left"/>
      <w:pPr>
        <w:ind w:left="5638" w:hanging="480"/>
      </w:pPr>
      <w:rPr>
        <w:rFonts w:hint="default"/>
        <w:lang w:val="en-US" w:eastAsia="en-US" w:bidi="ar-SA"/>
      </w:rPr>
    </w:lvl>
    <w:lvl w:ilvl="5">
      <w:start w:val="0"/>
      <w:numFmt w:val="bullet"/>
      <w:lvlText w:val="•"/>
      <w:lvlJc w:val="left"/>
      <w:pPr>
        <w:ind w:left="6383" w:hanging="480"/>
      </w:pPr>
      <w:rPr>
        <w:rFonts w:hint="default"/>
        <w:lang w:val="en-US" w:eastAsia="en-US" w:bidi="ar-SA"/>
      </w:rPr>
    </w:lvl>
    <w:lvl w:ilvl="6">
      <w:start w:val="0"/>
      <w:numFmt w:val="bullet"/>
      <w:lvlText w:val="•"/>
      <w:lvlJc w:val="left"/>
      <w:pPr>
        <w:ind w:left="7127" w:hanging="480"/>
      </w:pPr>
      <w:rPr>
        <w:rFonts w:hint="default"/>
        <w:lang w:val="en-US" w:eastAsia="en-US" w:bidi="ar-SA"/>
      </w:rPr>
    </w:lvl>
    <w:lvl w:ilvl="7">
      <w:start w:val="0"/>
      <w:numFmt w:val="bullet"/>
      <w:lvlText w:val="•"/>
      <w:lvlJc w:val="left"/>
      <w:pPr>
        <w:ind w:left="7872" w:hanging="480"/>
      </w:pPr>
      <w:rPr>
        <w:rFonts w:hint="default"/>
        <w:lang w:val="en-US" w:eastAsia="en-US" w:bidi="ar-SA"/>
      </w:rPr>
    </w:lvl>
    <w:lvl w:ilvl="8">
      <w:start w:val="0"/>
      <w:numFmt w:val="bullet"/>
      <w:lvlText w:val="•"/>
      <w:lvlJc w:val="left"/>
      <w:pPr>
        <w:ind w:left="8617" w:hanging="480"/>
      </w:pPr>
      <w:rPr>
        <w:rFonts w:hint="default"/>
        <w:lang w:val="en-US" w:eastAsia="en-US" w:bidi="ar-SA"/>
      </w:rPr>
    </w:lvl>
  </w:abstractNum>
  <w:abstractNum w:abstractNumId="21">
    <w:multiLevelType w:val="hybridMultilevel"/>
    <w:lvl w:ilvl="0">
      <w:start w:val="4"/>
      <w:numFmt w:val="decimal"/>
      <w:lvlText w:val="%1"/>
      <w:lvlJc w:val="left"/>
      <w:pPr>
        <w:ind w:left="1407" w:hanging="720"/>
        <w:jc w:val="left"/>
      </w:pPr>
      <w:rPr>
        <w:rFonts w:hint="default"/>
        <w:lang w:val="en-US" w:eastAsia="en-US" w:bidi="ar-SA"/>
      </w:rPr>
    </w:lvl>
    <w:lvl w:ilvl="1">
      <w:start w:val="5"/>
      <w:numFmt w:val="decimal"/>
      <w:lvlText w:val="%1.%2"/>
      <w:lvlJc w:val="left"/>
      <w:pPr>
        <w:ind w:left="140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61" w:hanging="360"/>
      </w:pPr>
      <w:rPr>
        <w:rFonts w:hint="default"/>
        <w:lang w:val="en-US" w:eastAsia="en-US" w:bidi="ar-SA"/>
      </w:rPr>
    </w:lvl>
    <w:lvl w:ilvl="4">
      <w:start w:val="0"/>
      <w:numFmt w:val="bullet"/>
      <w:lvlText w:val="•"/>
      <w:lvlJc w:val="left"/>
      <w:pPr>
        <w:ind w:left="4582" w:hanging="360"/>
      </w:pPr>
      <w:rPr>
        <w:rFonts w:hint="default"/>
        <w:lang w:val="en-US" w:eastAsia="en-US" w:bidi="ar-SA"/>
      </w:rPr>
    </w:lvl>
    <w:lvl w:ilvl="5">
      <w:start w:val="0"/>
      <w:numFmt w:val="bullet"/>
      <w:lvlText w:val="•"/>
      <w:lvlJc w:val="left"/>
      <w:pPr>
        <w:ind w:left="5502" w:hanging="360"/>
      </w:pPr>
      <w:rPr>
        <w:rFonts w:hint="default"/>
        <w:lang w:val="en-US" w:eastAsia="en-US" w:bidi="ar-SA"/>
      </w:rPr>
    </w:lvl>
    <w:lvl w:ilvl="6">
      <w:start w:val="0"/>
      <w:numFmt w:val="bullet"/>
      <w:lvlText w:val="•"/>
      <w:lvlJc w:val="left"/>
      <w:pPr>
        <w:ind w:left="6423" w:hanging="360"/>
      </w:pPr>
      <w:rPr>
        <w:rFonts w:hint="default"/>
        <w:lang w:val="en-US" w:eastAsia="en-US" w:bidi="ar-SA"/>
      </w:rPr>
    </w:lvl>
    <w:lvl w:ilvl="7">
      <w:start w:val="0"/>
      <w:numFmt w:val="bullet"/>
      <w:lvlText w:val="•"/>
      <w:lvlJc w:val="left"/>
      <w:pPr>
        <w:ind w:left="7344" w:hanging="360"/>
      </w:pPr>
      <w:rPr>
        <w:rFonts w:hint="default"/>
        <w:lang w:val="en-US" w:eastAsia="en-US" w:bidi="ar-SA"/>
      </w:rPr>
    </w:lvl>
    <w:lvl w:ilvl="8">
      <w:start w:val="0"/>
      <w:numFmt w:val="bullet"/>
      <w:lvlText w:val="•"/>
      <w:lvlJc w:val="left"/>
      <w:pPr>
        <w:ind w:left="8264" w:hanging="360"/>
      </w:pPr>
      <w:rPr>
        <w:rFonts w:hint="default"/>
        <w:lang w:val="en-US" w:eastAsia="en-US" w:bidi="ar-SA"/>
      </w:rPr>
    </w:lvl>
  </w:abstractNum>
  <w:abstractNum w:abstractNumId="20">
    <w:multiLevelType w:val="hybridMultilevel"/>
    <w:lvl w:ilvl="0">
      <w:start w:val="4"/>
      <w:numFmt w:val="decimal"/>
      <w:lvlText w:val="%1"/>
      <w:lvlJc w:val="left"/>
      <w:pPr>
        <w:ind w:left="3628" w:hanging="1020"/>
        <w:jc w:val="left"/>
      </w:pPr>
      <w:rPr>
        <w:rFonts w:hint="default"/>
        <w:lang w:val="en-US" w:eastAsia="en-US" w:bidi="ar-SA"/>
      </w:rPr>
    </w:lvl>
    <w:lvl w:ilvl="1">
      <w:start w:val="3"/>
      <w:numFmt w:val="decimal"/>
      <w:lvlText w:val="%1.%2"/>
      <w:lvlJc w:val="left"/>
      <w:pPr>
        <w:ind w:left="3628" w:hanging="10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917" w:hanging="1020"/>
      </w:pPr>
      <w:rPr>
        <w:rFonts w:hint="default"/>
        <w:lang w:val="en-US" w:eastAsia="en-US" w:bidi="ar-SA"/>
      </w:rPr>
    </w:lvl>
    <w:lvl w:ilvl="3">
      <w:start w:val="0"/>
      <w:numFmt w:val="bullet"/>
      <w:lvlText w:val="•"/>
      <w:lvlJc w:val="left"/>
      <w:pPr>
        <w:ind w:left="5565" w:hanging="1020"/>
      </w:pPr>
      <w:rPr>
        <w:rFonts w:hint="default"/>
        <w:lang w:val="en-US" w:eastAsia="en-US" w:bidi="ar-SA"/>
      </w:rPr>
    </w:lvl>
    <w:lvl w:ilvl="4">
      <w:start w:val="0"/>
      <w:numFmt w:val="bullet"/>
      <w:lvlText w:val="•"/>
      <w:lvlJc w:val="left"/>
      <w:pPr>
        <w:ind w:left="6214" w:hanging="1020"/>
      </w:pPr>
      <w:rPr>
        <w:rFonts w:hint="default"/>
        <w:lang w:val="en-US" w:eastAsia="en-US" w:bidi="ar-SA"/>
      </w:rPr>
    </w:lvl>
    <w:lvl w:ilvl="5">
      <w:start w:val="0"/>
      <w:numFmt w:val="bullet"/>
      <w:lvlText w:val="•"/>
      <w:lvlJc w:val="left"/>
      <w:pPr>
        <w:ind w:left="6863" w:hanging="1020"/>
      </w:pPr>
      <w:rPr>
        <w:rFonts w:hint="default"/>
        <w:lang w:val="en-US" w:eastAsia="en-US" w:bidi="ar-SA"/>
      </w:rPr>
    </w:lvl>
    <w:lvl w:ilvl="6">
      <w:start w:val="0"/>
      <w:numFmt w:val="bullet"/>
      <w:lvlText w:val="•"/>
      <w:lvlJc w:val="left"/>
      <w:pPr>
        <w:ind w:left="7511" w:hanging="1020"/>
      </w:pPr>
      <w:rPr>
        <w:rFonts w:hint="default"/>
        <w:lang w:val="en-US" w:eastAsia="en-US" w:bidi="ar-SA"/>
      </w:rPr>
    </w:lvl>
    <w:lvl w:ilvl="7">
      <w:start w:val="0"/>
      <w:numFmt w:val="bullet"/>
      <w:lvlText w:val="•"/>
      <w:lvlJc w:val="left"/>
      <w:pPr>
        <w:ind w:left="8160" w:hanging="1020"/>
      </w:pPr>
      <w:rPr>
        <w:rFonts w:hint="default"/>
        <w:lang w:val="en-US" w:eastAsia="en-US" w:bidi="ar-SA"/>
      </w:rPr>
    </w:lvl>
    <w:lvl w:ilvl="8">
      <w:start w:val="0"/>
      <w:numFmt w:val="bullet"/>
      <w:lvlText w:val="•"/>
      <w:lvlJc w:val="left"/>
      <w:pPr>
        <w:ind w:left="8809" w:hanging="1020"/>
      </w:pPr>
      <w:rPr>
        <w:rFonts w:hint="default"/>
        <w:lang w:val="en-US" w:eastAsia="en-US" w:bidi="ar-SA"/>
      </w:rPr>
    </w:lvl>
  </w:abstractNum>
  <w:abstractNum w:abstractNumId="19">
    <w:multiLevelType w:val="hybridMultilevel"/>
    <w:lvl w:ilvl="0">
      <w:start w:val="4"/>
      <w:numFmt w:val="decimal"/>
      <w:lvlText w:val="%1"/>
      <w:lvlJc w:val="left"/>
      <w:pPr>
        <w:ind w:left="4814" w:hanging="721"/>
        <w:jc w:val="left"/>
      </w:pPr>
      <w:rPr>
        <w:rFonts w:hint="default"/>
        <w:lang w:val="en-US" w:eastAsia="en-US" w:bidi="ar-SA"/>
      </w:rPr>
    </w:lvl>
    <w:lvl w:ilvl="1">
      <w:start w:val="0"/>
      <w:numFmt w:val="decimal"/>
      <w:lvlText w:val="%1.%2"/>
      <w:lvlJc w:val="left"/>
      <w:pPr>
        <w:ind w:left="4814"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877" w:hanging="721"/>
      </w:pPr>
      <w:rPr>
        <w:rFonts w:hint="default"/>
        <w:lang w:val="en-US" w:eastAsia="en-US" w:bidi="ar-SA"/>
      </w:rPr>
    </w:lvl>
    <w:lvl w:ilvl="3">
      <w:start w:val="0"/>
      <w:numFmt w:val="bullet"/>
      <w:lvlText w:val="•"/>
      <w:lvlJc w:val="left"/>
      <w:pPr>
        <w:ind w:left="6405" w:hanging="721"/>
      </w:pPr>
      <w:rPr>
        <w:rFonts w:hint="default"/>
        <w:lang w:val="en-US" w:eastAsia="en-US" w:bidi="ar-SA"/>
      </w:rPr>
    </w:lvl>
    <w:lvl w:ilvl="4">
      <w:start w:val="0"/>
      <w:numFmt w:val="bullet"/>
      <w:lvlText w:val="•"/>
      <w:lvlJc w:val="left"/>
      <w:pPr>
        <w:ind w:left="6934" w:hanging="721"/>
      </w:pPr>
      <w:rPr>
        <w:rFonts w:hint="default"/>
        <w:lang w:val="en-US" w:eastAsia="en-US" w:bidi="ar-SA"/>
      </w:rPr>
    </w:lvl>
    <w:lvl w:ilvl="5">
      <w:start w:val="0"/>
      <w:numFmt w:val="bullet"/>
      <w:lvlText w:val="•"/>
      <w:lvlJc w:val="left"/>
      <w:pPr>
        <w:ind w:left="7463" w:hanging="721"/>
      </w:pPr>
      <w:rPr>
        <w:rFonts w:hint="default"/>
        <w:lang w:val="en-US" w:eastAsia="en-US" w:bidi="ar-SA"/>
      </w:rPr>
    </w:lvl>
    <w:lvl w:ilvl="6">
      <w:start w:val="0"/>
      <w:numFmt w:val="bullet"/>
      <w:lvlText w:val="•"/>
      <w:lvlJc w:val="left"/>
      <w:pPr>
        <w:ind w:left="7991" w:hanging="721"/>
      </w:pPr>
      <w:rPr>
        <w:rFonts w:hint="default"/>
        <w:lang w:val="en-US" w:eastAsia="en-US" w:bidi="ar-SA"/>
      </w:rPr>
    </w:lvl>
    <w:lvl w:ilvl="7">
      <w:start w:val="0"/>
      <w:numFmt w:val="bullet"/>
      <w:lvlText w:val="•"/>
      <w:lvlJc w:val="left"/>
      <w:pPr>
        <w:ind w:left="8520" w:hanging="721"/>
      </w:pPr>
      <w:rPr>
        <w:rFonts w:hint="default"/>
        <w:lang w:val="en-US" w:eastAsia="en-US" w:bidi="ar-SA"/>
      </w:rPr>
    </w:lvl>
    <w:lvl w:ilvl="8">
      <w:start w:val="0"/>
      <w:numFmt w:val="bullet"/>
      <w:lvlText w:val="•"/>
      <w:lvlJc w:val="left"/>
      <w:pPr>
        <w:ind w:left="9049" w:hanging="721"/>
      </w:pPr>
      <w:rPr>
        <w:rFonts w:hint="default"/>
        <w:lang w:val="en-US" w:eastAsia="en-US" w:bidi="ar-SA"/>
      </w:rPr>
    </w:lvl>
  </w:abstractNum>
  <w:abstractNum w:abstractNumId="18">
    <w:multiLevelType w:val="hybridMultilevel"/>
    <w:lvl w:ilvl="0">
      <w:start w:val="3"/>
      <w:numFmt w:val="decimal"/>
      <w:lvlText w:val="%1"/>
      <w:lvlJc w:val="left"/>
      <w:pPr>
        <w:ind w:left="1587" w:hanging="840"/>
        <w:jc w:val="left"/>
      </w:pPr>
      <w:rPr>
        <w:rFonts w:hint="default"/>
        <w:lang w:val="en-US" w:eastAsia="en-US" w:bidi="ar-SA"/>
      </w:rPr>
    </w:lvl>
    <w:lvl w:ilvl="1">
      <w:start w:val="2"/>
      <w:numFmt w:val="decimal"/>
      <w:lvlText w:val="%1.%2"/>
      <w:lvlJc w:val="left"/>
      <w:pPr>
        <w:ind w:left="1587" w:hanging="840"/>
        <w:jc w:val="left"/>
      </w:pPr>
      <w:rPr>
        <w:rFonts w:hint="default"/>
        <w:lang w:val="en-US" w:eastAsia="en-US" w:bidi="ar-SA"/>
      </w:rPr>
    </w:lvl>
    <w:lvl w:ilvl="2">
      <w:start w:val="2"/>
      <w:numFmt w:val="decimal"/>
      <w:lvlText w:val="%1.%2.%3"/>
      <w:lvlJc w:val="left"/>
      <w:pPr>
        <w:ind w:left="1587" w:hanging="840"/>
        <w:jc w:val="left"/>
      </w:pPr>
      <w:rPr>
        <w:rFonts w:hint="default"/>
        <w:lang w:val="en-US" w:eastAsia="en-US" w:bidi="ar-SA"/>
      </w:rPr>
    </w:lvl>
    <w:lvl w:ilvl="3">
      <w:start w:val="5"/>
      <w:numFmt w:val="decimal"/>
      <w:lvlText w:val="%1.%2.%3.%4"/>
      <w:lvlJc w:val="left"/>
      <w:pPr>
        <w:ind w:left="1587" w:hanging="84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990" w:hanging="840"/>
      </w:pPr>
      <w:rPr>
        <w:rFonts w:hint="default"/>
        <w:lang w:val="en-US" w:eastAsia="en-US" w:bidi="ar-SA"/>
      </w:rPr>
    </w:lvl>
    <w:lvl w:ilvl="5">
      <w:start w:val="0"/>
      <w:numFmt w:val="bullet"/>
      <w:lvlText w:val="•"/>
      <w:lvlJc w:val="left"/>
      <w:pPr>
        <w:ind w:left="5843" w:hanging="840"/>
      </w:pPr>
      <w:rPr>
        <w:rFonts w:hint="default"/>
        <w:lang w:val="en-US" w:eastAsia="en-US" w:bidi="ar-SA"/>
      </w:rPr>
    </w:lvl>
    <w:lvl w:ilvl="6">
      <w:start w:val="0"/>
      <w:numFmt w:val="bullet"/>
      <w:lvlText w:val="•"/>
      <w:lvlJc w:val="left"/>
      <w:pPr>
        <w:ind w:left="6695" w:hanging="840"/>
      </w:pPr>
      <w:rPr>
        <w:rFonts w:hint="default"/>
        <w:lang w:val="en-US" w:eastAsia="en-US" w:bidi="ar-SA"/>
      </w:rPr>
    </w:lvl>
    <w:lvl w:ilvl="7">
      <w:start w:val="0"/>
      <w:numFmt w:val="bullet"/>
      <w:lvlText w:val="•"/>
      <w:lvlJc w:val="left"/>
      <w:pPr>
        <w:ind w:left="7548" w:hanging="840"/>
      </w:pPr>
      <w:rPr>
        <w:rFonts w:hint="default"/>
        <w:lang w:val="en-US" w:eastAsia="en-US" w:bidi="ar-SA"/>
      </w:rPr>
    </w:lvl>
    <w:lvl w:ilvl="8">
      <w:start w:val="0"/>
      <w:numFmt w:val="bullet"/>
      <w:lvlText w:val="•"/>
      <w:lvlJc w:val="left"/>
      <w:pPr>
        <w:ind w:left="8401" w:hanging="840"/>
      </w:pPr>
      <w:rPr>
        <w:rFonts w:hint="default"/>
        <w:lang w:val="en-US" w:eastAsia="en-US" w:bidi="ar-SA"/>
      </w:rPr>
    </w:lvl>
  </w:abstractNum>
  <w:abstractNum w:abstractNumId="17">
    <w:multiLevelType w:val="hybridMultilevel"/>
    <w:lvl w:ilvl="0">
      <w:start w:val="3"/>
      <w:numFmt w:val="decimal"/>
      <w:lvlText w:val="%1"/>
      <w:lvlJc w:val="left"/>
      <w:pPr>
        <w:ind w:left="4228" w:hanging="480"/>
        <w:jc w:val="left"/>
      </w:pPr>
      <w:rPr>
        <w:rFonts w:hint="default"/>
        <w:lang w:val="en-US" w:eastAsia="en-US" w:bidi="ar-SA"/>
      </w:rPr>
    </w:lvl>
    <w:lvl w:ilvl="1">
      <w:start w:val="1"/>
      <w:numFmt w:val="decimal"/>
      <w:lvlText w:val="%1.%2"/>
      <w:lvlJc w:val="left"/>
      <w:pPr>
        <w:ind w:left="4228"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07"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587" w:hanging="840"/>
        <w:jc w:val="left"/>
      </w:pPr>
      <w:rPr>
        <w:rFonts w:hint="default"/>
        <w:spacing w:val="0"/>
        <w:w w:val="100"/>
        <w:lang w:val="en-US" w:eastAsia="en-US" w:bidi="ar-SA"/>
      </w:rPr>
    </w:lvl>
    <w:lvl w:ilvl="4">
      <w:start w:val="0"/>
      <w:numFmt w:val="bullet"/>
      <w:lvlText w:val="•"/>
      <w:lvlJc w:val="left"/>
      <w:pPr>
        <w:ind w:left="5691" w:hanging="840"/>
      </w:pPr>
      <w:rPr>
        <w:rFonts w:hint="default"/>
        <w:lang w:val="en-US" w:eastAsia="en-US" w:bidi="ar-SA"/>
      </w:rPr>
    </w:lvl>
    <w:lvl w:ilvl="5">
      <w:start w:val="0"/>
      <w:numFmt w:val="bullet"/>
      <w:lvlText w:val="•"/>
      <w:lvlJc w:val="left"/>
      <w:pPr>
        <w:ind w:left="6427" w:hanging="840"/>
      </w:pPr>
      <w:rPr>
        <w:rFonts w:hint="default"/>
        <w:lang w:val="en-US" w:eastAsia="en-US" w:bidi="ar-SA"/>
      </w:rPr>
    </w:lvl>
    <w:lvl w:ilvl="6">
      <w:start w:val="0"/>
      <w:numFmt w:val="bullet"/>
      <w:lvlText w:val="•"/>
      <w:lvlJc w:val="left"/>
      <w:pPr>
        <w:ind w:left="7163" w:hanging="840"/>
      </w:pPr>
      <w:rPr>
        <w:rFonts w:hint="default"/>
        <w:lang w:val="en-US" w:eastAsia="en-US" w:bidi="ar-SA"/>
      </w:rPr>
    </w:lvl>
    <w:lvl w:ilvl="7">
      <w:start w:val="0"/>
      <w:numFmt w:val="bullet"/>
      <w:lvlText w:val="•"/>
      <w:lvlJc w:val="left"/>
      <w:pPr>
        <w:ind w:left="7899" w:hanging="840"/>
      </w:pPr>
      <w:rPr>
        <w:rFonts w:hint="default"/>
        <w:lang w:val="en-US" w:eastAsia="en-US" w:bidi="ar-SA"/>
      </w:rPr>
    </w:lvl>
    <w:lvl w:ilvl="8">
      <w:start w:val="0"/>
      <w:numFmt w:val="bullet"/>
      <w:lvlText w:val="•"/>
      <w:lvlJc w:val="left"/>
      <w:pPr>
        <w:ind w:left="8634" w:hanging="840"/>
      </w:pPr>
      <w:rPr>
        <w:rFonts w:hint="default"/>
        <w:lang w:val="en-US" w:eastAsia="en-US" w:bidi="ar-SA"/>
      </w:rPr>
    </w:lvl>
  </w:abstractNum>
  <w:abstractNum w:abstractNumId="16">
    <w:multiLevelType w:val="hybridMultilevel"/>
    <w:lvl w:ilvl="0">
      <w:start w:val="2"/>
      <w:numFmt w:val="decimal"/>
      <w:lvlText w:val="%1"/>
      <w:lvlJc w:val="left"/>
      <w:pPr>
        <w:ind w:left="1467" w:hanging="720"/>
        <w:jc w:val="left"/>
      </w:pPr>
      <w:rPr>
        <w:rFonts w:hint="default"/>
        <w:lang w:val="en-US" w:eastAsia="en-US" w:bidi="ar-SA"/>
      </w:rPr>
    </w:lvl>
    <w:lvl w:ilvl="1">
      <w:start w:val="3"/>
      <w:numFmt w:val="decimal"/>
      <w:lvlText w:val="%1.%2"/>
      <w:lvlJc w:val="left"/>
      <w:pPr>
        <w:ind w:left="1467" w:hanging="720"/>
        <w:jc w:val="left"/>
      </w:pPr>
      <w:rPr>
        <w:rFonts w:hint="default"/>
        <w:lang w:val="en-US" w:eastAsia="en-US" w:bidi="ar-SA"/>
      </w:rPr>
    </w:lvl>
    <w:lvl w:ilvl="2">
      <w:start w:val="7"/>
      <w:numFmt w:val="decimal"/>
      <w:lvlText w:val="%1.%2.%3."/>
      <w:lvlJc w:val="left"/>
      <w:pPr>
        <w:ind w:left="1467" w:hanging="720"/>
        <w:jc w:val="left"/>
      </w:pPr>
      <w:rPr>
        <w:rFonts w:hint="default"/>
        <w:spacing w:val="-1"/>
        <w:w w:val="100"/>
        <w:lang w:val="en-US" w:eastAsia="en-US" w:bidi="ar-SA"/>
      </w:rPr>
    </w:lvl>
    <w:lvl w:ilvl="3">
      <w:start w:val="1"/>
      <w:numFmt w:val="decimal"/>
      <w:lvlText w:val="%1.%2.%3.%4."/>
      <w:lvlJc w:val="left"/>
      <w:pPr>
        <w:ind w:left="1467" w:hanging="1441"/>
        <w:jc w:val="left"/>
      </w:pPr>
      <w:rPr>
        <w:rFonts w:hint="default"/>
        <w:spacing w:val="0"/>
        <w:w w:val="100"/>
        <w:lang w:val="en-US" w:eastAsia="en-US" w:bidi="ar-SA"/>
      </w:rPr>
    </w:lvl>
    <w:lvl w:ilvl="4">
      <w:start w:val="1"/>
      <w:numFmt w:val="lowerRoman"/>
      <w:lvlText w:val="%5."/>
      <w:lvlJc w:val="left"/>
      <w:pPr>
        <w:ind w:left="14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5783" w:hanging="360"/>
      </w:pPr>
      <w:rPr>
        <w:rFonts w:hint="default"/>
        <w:lang w:val="en-US" w:eastAsia="en-US" w:bidi="ar-SA"/>
      </w:rPr>
    </w:lvl>
    <w:lvl w:ilvl="6">
      <w:start w:val="0"/>
      <w:numFmt w:val="bullet"/>
      <w:lvlText w:val="•"/>
      <w:lvlJc w:val="left"/>
      <w:pPr>
        <w:ind w:left="6647"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377" w:hanging="360"/>
      </w:pPr>
      <w:rPr>
        <w:rFonts w:hint="default"/>
        <w:lang w:val="en-US" w:eastAsia="en-US" w:bidi="ar-SA"/>
      </w:rPr>
    </w:lvl>
  </w:abstractNum>
  <w:abstractNum w:abstractNumId="12">
    <w:multiLevelType w:val="hybridMultilevel"/>
    <w:lvl w:ilvl="0">
      <w:start w:val="1"/>
      <w:numFmt w:val="decimal"/>
      <w:lvlText w:val="%1"/>
      <w:lvlJc w:val="left"/>
      <w:pPr>
        <w:ind w:left="14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4" w:hanging="360"/>
      </w:pPr>
      <w:rPr>
        <w:rFonts w:hint="default"/>
        <w:lang w:val="en-US" w:eastAsia="en-US" w:bidi="ar-SA"/>
      </w:rPr>
    </w:lvl>
    <w:lvl w:ilvl="2">
      <w:start w:val="0"/>
      <w:numFmt w:val="bullet"/>
      <w:lvlText w:val="•"/>
      <w:lvlJc w:val="left"/>
      <w:pPr>
        <w:ind w:left="3189" w:hanging="360"/>
      </w:pPr>
      <w:rPr>
        <w:rFonts w:hint="default"/>
        <w:lang w:val="en-US" w:eastAsia="en-US" w:bidi="ar-SA"/>
      </w:rPr>
    </w:lvl>
    <w:lvl w:ilvl="3">
      <w:start w:val="0"/>
      <w:numFmt w:val="bullet"/>
      <w:lvlText w:val="•"/>
      <w:lvlJc w:val="left"/>
      <w:pPr>
        <w:ind w:left="4053" w:hanging="360"/>
      </w:pPr>
      <w:rPr>
        <w:rFonts w:hint="default"/>
        <w:lang w:val="en-US" w:eastAsia="en-US" w:bidi="ar-SA"/>
      </w:rPr>
    </w:lvl>
    <w:lvl w:ilvl="4">
      <w:start w:val="0"/>
      <w:numFmt w:val="bullet"/>
      <w:lvlText w:val="•"/>
      <w:lvlJc w:val="left"/>
      <w:pPr>
        <w:ind w:left="4918" w:hanging="360"/>
      </w:pPr>
      <w:rPr>
        <w:rFonts w:hint="default"/>
        <w:lang w:val="en-US" w:eastAsia="en-US" w:bidi="ar-SA"/>
      </w:rPr>
    </w:lvl>
    <w:lvl w:ilvl="5">
      <w:start w:val="0"/>
      <w:numFmt w:val="bullet"/>
      <w:lvlText w:val="•"/>
      <w:lvlJc w:val="left"/>
      <w:pPr>
        <w:ind w:left="5783" w:hanging="360"/>
      </w:pPr>
      <w:rPr>
        <w:rFonts w:hint="default"/>
        <w:lang w:val="en-US" w:eastAsia="en-US" w:bidi="ar-SA"/>
      </w:rPr>
    </w:lvl>
    <w:lvl w:ilvl="6">
      <w:start w:val="0"/>
      <w:numFmt w:val="bullet"/>
      <w:lvlText w:val="•"/>
      <w:lvlJc w:val="left"/>
      <w:pPr>
        <w:ind w:left="6647"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377" w:hanging="360"/>
      </w:pPr>
      <w:rPr>
        <w:rFonts w:hint="default"/>
        <w:lang w:val="en-US" w:eastAsia="en-US" w:bidi="ar-SA"/>
      </w:rPr>
    </w:lvl>
  </w:abstractNum>
  <w:abstractNum w:abstractNumId="15">
    <w:multiLevelType w:val="hybridMultilevel"/>
    <w:lvl w:ilvl="0">
      <w:start w:val="1"/>
      <w:numFmt w:val="decimal"/>
      <w:lvlText w:val="%1."/>
      <w:lvlJc w:val="left"/>
      <w:pPr>
        <w:ind w:left="14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40" w:hanging="360"/>
      </w:pPr>
      <w:rPr>
        <w:rFonts w:hint="default"/>
        <w:lang w:val="en-US" w:eastAsia="en-US" w:bidi="ar-SA"/>
      </w:rPr>
    </w:lvl>
    <w:lvl w:ilvl="3">
      <w:start w:val="0"/>
      <w:numFmt w:val="bullet"/>
      <w:lvlText w:val="•"/>
      <w:lvlJc w:val="left"/>
      <w:pPr>
        <w:ind w:left="3661" w:hanging="360"/>
      </w:pPr>
      <w:rPr>
        <w:rFonts w:hint="default"/>
        <w:lang w:val="en-US" w:eastAsia="en-US" w:bidi="ar-SA"/>
      </w:rPr>
    </w:lvl>
    <w:lvl w:ilvl="4">
      <w:start w:val="0"/>
      <w:numFmt w:val="bullet"/>
      <w:lvlText w:val="•"/>
      <w:lvlJc w:val="left"/>
      <w:pPr>
        <w:ind w:left="4582" w:hanging="360"/>
      </w:pPr>
      <w:rPr>
        <w:rFonts w:hint="default"/>
        <w:lang w:val="en-US" w:eastAsia="en-US" w:bidi="ar-SA"/>
      </w:rPr>
    </w:lvl>
    <w:lvl w:ilvl="5">
      <w:start w:val="0"/>
      <w:numFmt w:val="bullet"/>
      <w:lvlText w:val="•"/>
      <w:lvlJc w:val="left"/>
      <w:pPr>
        <w:ind w:left="5502" w:hanging="360"/>
      </w:pPr>
      <w:rPr>
        <w:rFonts w:hint="default"/>
        <w:lang w:val="en-US" w:eastAsia="en-US" w:bidi="ar-SA"/>
      </w:rPr>
    </w:lvl>
    <w:lvl w:ilvl="6">
      <w:start w:val="0"/>
      <w:numFmt w:val="bullet"/>
      <w:lvlText w:val="•"/>
      <w:lvlJc w:val="left"/>
      <w:pPr>
        <w:ind w:left="6423" w:hanging="360"/>
      </w:pPr>
      <w:rPr>
        <w:rFonts w:hint="default"/>
        <w:lang w:val="en-US" w:eastAsia="en-US" w:bidi="ar-SA"/>
      </w:rPr>
    </w:lvl>
    <w:lvl w:ilvl="7">
      <w:start w:val="0"/>
      <w:numFmt w:val="bullet"/>
      <w:lvlText w:val="•"/>
      <w:lvlJc w:val="left"/>
      <w:pPr>
        <w:ind w:left="7344" w:hanging="360"/>
      </w:pPr>
      <w:rPr>
        <w:rFonts w:hint="default"/>
        <w:lang w:val="en-US" w:eastAsia="en-US" w:bidi="ar-SA"/>
      </w:rPr>
    </w:lvl>
    <w:lvl w:ilvl="8">
      <w:start w:val="0"/>
      <w:numFmt w:val="bullet"/>
      <w:lvlText w:val="•"/>
      <w:lvlJc w:val="left"/>
      <w:pPr>
        <w:ind w:left="8264" w:hanging="360"/>
      </w:pPr>
      <w:rPr>
        <w:rFonts w:hint="default"/>
        <w:lang w:val="en-US" w:eastAsia="en-US" w:bidi="ar-SA"/>
      </w:rPr>
    </w:lvl>
  </w:abstractNum>
  <w:abstractNum w:abstractNumId="14">
    <w:multiLevelType w:val="hybridMultilevel"/>
    <w:lvl w:ilvl="0">
      <w:start w:val="1"/>
      <w:numFmt w:val="lowerRoman"/>
      <w:lvlText w:val="%1."/>
      <w:lvlJc w:val="left"/>
      <w:pPr>
        <w:ind w:left="14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4" w:hanging="360"/>
      </w:pPr>
      <w:rPr>
        <w:rFonts w:hint="default"/>
        <w:lang w:val="en-US" w:eastAsia="en-US" w:bidi="ar-SA"/>
      </w:rPr>
    </w:lvl>
    <w:lvl w:ilvl="2">
      <w:start w:val="0"/>
      <w:numFmt w:val="bullet"/>
      <w:lvlText w:val="•"/>
      <w:lvlJc w:val="left"/>
      <w:pPr>
        <w:ind w:left="3189" w:hanging="360"/>
      </w:pPr>
      <w:rPr>
        <w:rFonts w:hint="default"/>
        <w:lang w:val="en-US" w:eastAsia="en-US" w:bidi="ar-SA"/>
      </w:rPr>
    </w:lvl>
    <w:lvl w:ilvl="3">
      <w:start w:val="0"/>
      <w:numFmt w:val="bullet"/>
      <w:lvlText w:val="•"/>
      <w:lvlJc w:val="left"/>
      <w:pPr>
        <w:ind w:left="4053" w:hanging="360"/>
      </w:pPr>
      <w:rPr>
        <w:rFonts w:hint="default"/>
        <w:lang w:val="en-US" w:eastAsia="en-US" w:bidi="ar-SA"/>
      </w:rPr>
    </w:lvl>
    <w:lvl w:ilvl="4">
      <w:start w:val="0"/>
      <w:numFmt w:val="bullet"/>
      <w:lvlText w:val="•"/>
      <w:lvlJc w:val="left"/>
      <w:pPr>
        <w:ind w:left="4918" w:hanging="360"/>
      </w:pPr>
      <w:rPr>
        <w:rFonts w:hint="default"/>
        <w:lang w:val="en-US" w:eastAsia="en-US" w:bidi="ar-SA"/>
      </w:rPr>
    </w:lvl>
    <w:lvl w:ilvl="5">
      <w:start w:val="0"/>
      <w:numFmt w:val="bullet"/>
      <w:lvlText w:val="•"/>
      <w:lvlJc w:val="left"/>
      <w:pPr>
        <w:ind w:left="5783" w:hanging="360"/>
      </w:pPr>
      <w:rPr>
        <w:rFonts w:hint="default"/>
        <w:lang w:val="en-US" w:eastAsia="en-US" w:bidi="ar-SA"/>
      </w:rPr>
    </w:lvl>
    <w:lvl w:ilvl="6">
      <w:start w:val="0"/>
      <w:numFmt w:val="bullet"/>
      <w:lvlText w:val="•"/>
      <w:lvlJc w:val="left"/>
      <w:pPr>
        <w:ind w:left="6647"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377" w:hanging="360"/>
      </w:pPr>
      <w:rPr>
        <w:rFonts w:hint="default"/>
        <w:lang w:val="en-US" w:eastAsia="en-US" w:bidi="ar-SA"/>
      </w:rPr>
    </w:lvl>
  </w:abstractNum>
  <w:abstractNum w:abstractNumId="13">
    <w:multiLevelType w:val="hybridMultilevel"/>
    <w:lvl w:ilvl="0">
      <w:start w:val="1"/>
      <w:numFmt w:val="lowerRoman"/>
      <w:lvlText w:val="%1."/>
      <w:lvlJc w:val="left"/>
      <w:pPr>
        <w:ind w:left="1827" w:hanging="4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48" w:hanging="483"/>
      </w:pPr>
      <w:rPr>
        <w:rFonts w:hint="default"/>
        <w:lang w:val="en-US" w:eastAsia="en-US" w:bidi="ar-SA"/>
      </w:rPr>
    </w:lvl>
    <w:lvl w:ilvl="2">
      <w:start w:val="0"/>
      <w:numFmt w:val="bullet"/>
      <w:lvlText w:val="•"/>
      <w:lvlJc w:val="left"/>
      <w:pPr>
        <w:ind w:left="3477" w:hanging="483"/>
      </w:pPr>
      <w:rPr>
        <w:rFonts w:hint="default"/>
        <w:lang w:val="en-US" w:eastAsia="en-US" w:bidi="ar-SA"/>
      </w:rPr>
    </w:lvl>
    <w:lvl w:ilvl="3">
      <w:start w:val="0"/>
      <w:numFmt w:val="bullet"/>
      <w:lvlText w:val="•"/>
      <w:lvlJc w:val="left"/>
      <w:pPr>
        <w:ind w:left="4305" w:hanging="483"/>
      </w:pPr>
      <w:rPr>
        <w:rFonts w:hint="default"/>
        <w:lang w:val="en-US" w:eastAsia="en-US" w:bidi="ar-SA"/>
      </w:rPr>
    </w:lvl>
    <w:lvl w:ilvl="4">
      <w:start w:val="0"/>
      <w:numFmt w:val="bullet"/>
      <w:lvlText w:val="•"/>
      <w:lvlJc w:val="left"/>
      <w:pPr>
        <w:ind w:left="5134" w:hanging="483"/>
      </w:pPr>
      <w:rPr>
        <w:rFonts w:hint="default"/>
        <w:lang w:val="en-US" w:eastAsia="en-US" w:bidi="ar-SA"/>
      </w:rPr>
    </w:lvl>
    <w:lvl w:ilvl="5">
      <w:start w:val="0"/>
      <w:numFmt w:val="bullet"/>
      <w:lvlText w:val="•"/>
      <w:lvlJc w:val="left"/>
      <w:pPr>
        <w:ind w:left="5963" w:hanging="483"/>
      </w:pPr>
      <w:rPr>
        <w:rFonts w:hint="default"/>
        <w:lang w:val="en-US" w:eastAsia="en-US" w:bidi="ar-SA"/>
      </w:rPr>
    </w:lvl>
    <w:lvl w:ilvl="6">
      <w:start w:val="0"/>
      <w:numFmt w:val="bullet"/>
      <w:lvlText w:val="•"/>
      <w:lvlJc w:val="left"/>
      <w:pPr>
        <w:ind w:left="6791" w:hanging="483"/>
      </w:pPr>
      <w:rPr>
        <w:rFonts w:hint="default"/>
        <w:lang w:val="en-US" w:eastAsia="en-US" w:bidi="ar-SA"/>
      </w:rPr>
    </w:lvl>
    <w:lvl w:ilvl="7">
      <w:start w:val="0"/>
      <w:numFmt w:val="bullet"/>
      <w:lvlText w:val="•"/>
      <w:lvlJc w:val="left"/>
      <w:pPr>
        <w:ind w:left="7620" w:hanging="483"/>
      </w:pPr>
      <w:rPr>
        <w:rFonts w:hint="default"/>
        <w:lang w:val="en-US" w:eastAsia="en-US" w:bidi="ar-SA"/>
      </w:rPr>
    </w:lvl>
    <w:lvl w:ilvl="8">
      <w:start w:val="0"/>
      <w:numFmt w:val="bullet"/>
      <w:lvlText w:val="•"/>
      <w:lvlJc w:val="left"/>
      <w:pPr>
        <w:ind w:left="8449" w:hanging="483"/>
      </w:pPr>
      <w:rPr>
        <w:rFonts w:hint="default"/>
        <w:lang w:val="en-US" w:eastAsia="en-US" w:bidi="ar-SA"/>
      </w:rPr>
    </w:lvl>
  </w:abstractNum>
  <w:abstractNum w:abstractNumId="11">
    <w:multiLevelType w:val="hybridMultilevel"/>
    <w:lvl w:ilvl="0">
      <w:start w:val="2"/>
      <w:numFmt w:val="decimal"/>
      <w:lvlText w:val="%1"/>
      <w:lvlJc w:val="left"/>
      <w:pPr>
        <w:ind w:left="1467" w:hanging="720"/>
        <w:jc w:val="left"/>
      </w:pPr>
      <w:rPr>
        <w:rFonts w:hint="default"/>
        <w:lang w:val="en-US" w:eastAsia="en-US" w:bidi="ar-SA"/>
      </w:rPr>
    </w:lvl>
    <w:lvl w:ilvl="1">
      <w:start w:val="1"/>
      <w:numFmt w:val="decimal"/>
      <w:lvlText w:val="%1.%2"/>
      <w:lvlJc w:val="left"/>
      <w:pPr>
        <w:ind w:left="1467" w:hanging="720"/>
        <w:jc w:val="left"/>
      </w:pPr>
      <w:rPr>
        <w:rFonts w:hint="default"/>
        <w:lang w:val="en-US" w:eastAsia="en-US" w:bidi="ar-SA"/>
      </w:rPr>
    </w:lvl>
    <w:lvl w:ilvl="2">
      <w:start w:val="2"/>
      <w:numFmt w:val="decimal"/>
      <w:lvlText w:val="%1.%2.%3"/>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abstractNum w:abstractNumId="10">
    <w:multiLevelType w:val="hybridMultilevel"/>
    <w:lvl w:ilvl="0">
      <w:start w:val="2"/>
      <w:numFmt w:val="decimal"/>
      <w:lvlText w:val="%1"/>
      <w:lvlJc w:val="left"/>
      <w:pPr>
        <w:ind w:left="4038" w:hanging="720"/>
        <w:jc w:val="left"/>
      </w:pPr>
      <w:rPr>
        <w:rFonts w:hint="default"/>
        <w:lang w:val="en-US" w:eastAsia="en-US" w:bidi="ar-SA"/>
      </w:rPr>
    </w:lvl>
    <w:lvl w:ilvl="1">
      <w:start w:val="0"/>
      <w:numFmt w:val="decimal"/>
      <w:lvlText w:val="%1.%2"/>
      <w:lvlJc w:val="left"/>
      <w:pPr>
        <w:ind w:left="4038"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647" w:hanging="900"/>
        <w:jc w:val="left"/>
      </w:pPr>
      <w:rPr>
        <w:rFonts w:hint="default"/>
        <w:spacing w:val="0"/>
        <w:w w:val="100"/>
        <w:lang w:val="en-US" w:eastAsia="en-US" w:bidi="ar-SA"/>
      </w:rPr>
    </w:lvl>
    <w:lvl w:ilvl="4">
      <w:start w:val="0"/>
      <w:numFmt w:val="bullet"/>
      <w:lvlText w:val="•"/>
      <w:lvlJc w:val="left"/>
      <w:pPr>
        <w:ind w:left="5556" w:hanging="900"/>
      </w:pPr>
      <w:rPr>
        <w:rFonts w:hint="default"/>
        <w:lang w:val="en-US" w:eastAsia="en-US" w:bidi="ar-SA"/>
      </w:rPr>
    </w:lvl>
    <w:lvl w:ilvl="5">
      <w:start w:val="0"/>
      <w:numFmt w:val="bullet"/>
      <w:lvlText w:val="•"/>
      <w:lvlJc w:val="left"/>
      <w:pPr>
        <w:ind w:left="6314" w:hanging="900"/>
      </w:pPr>
      <w:rPr>
        <w:rFonts w:hint="default"/>
        <w:lang w:val="en-US" w:eastAsia="en-US" w:bidi="ar-SA"/>
      </w:rPr>
    </w:lvl>
    <w:lvl w:ilvl="6">
      <w:start w:val="0"/>
      <w:numFmt w:val="bullet"/>
      <w:lvlText w:val="•"/>
      <w:lvlJc w:val="left"/>
      <w:pPr>
        <w:ind w:left="7073" w:hanging="900"/>
      </w:pPr>
      <w:rPr>
        <w:rFonts w:hint="default"/>
        <w:lang w:val="en-US" w:eastAsia="en-US" w:bidi="ar-SA"/>
      </w:rPr>
    </w:lvl>
    <w:lvl w:ilvl="7">
      <w:start w:val="0"/>
      <w:numFmt w:val="bullet"/>
      <w:lvlText w:val="•"/>
      <w:lvlJc w:val="left"/>
      <w:pPr>
        <w:ind w:left="7831" w:hanging="900"/>
      </w:pPr>
      <w:rPr>
        <w:rFonts w:hint="default"/>
        <w:lang w:val="en-US" w:eastAsia="en-US" w:bidi="ar-SA"/>
      </w:rPr>
    </w:lvl>
    <w:lvl w:ilvl="8">
      <w:start w:val="0"/>
      <w:numFmt w:val="bullet"/>
      <w:lvlText w:val="•"/>
      <w:lvlJc w:val="left"/>
      <w:pPr>
        <w:ind w:left="8589" w:hanging="900"/>
      </w:pPr>
      <w:rPr>
        <w:rFonts w:hint="default"/>
        <w:lang w:val="en-US" w:eastAsia="en-US" w:bidi="ar-SA"/>
      </w:rPr>
    </w:lvl>
  </w:abstractNum>
  <w:abstractNum w:abstractNumId="9">
    <w:multiLevelType w:val="hybridMultilevel"/>
    <w:lvl w:ilvl="0">
      <w:start w:val="1"/>
      <w:numFmt w:val="upperRoman"/>
      <w:lvlText w:val="%1."/>
      <w:lvlJc w:val="left"/>
      <w:pPr>
        <w:ind w:left="1527" w:hanging="4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378" w:hanging="420"/>
      </w:pPr>
      <w:rPr>
        <w:rFonts w:hint="default"/>
        <w:lang w:val="en-US" w:eastAsia="en-US" w:bidi="ar-SA"/>
      </w:rPr>
    </w:lvl>
    <w:lvl w:ilvl="2">
      <w:start w:val="0"/>
      <w:numFmt w:val="bullet"/>
      <w:lvlText w:val="•"/>
      <w:lvlJc w:val="left"/>
      <w:pPr>
        <w:ind w:left="3237" w:hanging="420"/>
      </w:pPr>
      <w:rPr>
        <w:rFonts w:hint="default"/>
        <w:lang w:val="en-US" w:eastAsia="en-US" w:bidi="ar-SA"/>
      </w:rPr>
    </w:lvl>
    <w:lvl w:ilvl="3">
      <w:start w:val="0"/>
      <w:numFmt w:val="bullet"/>
      <w:lvlText w:val="•"/>
      <w:lvlJc w:val="left"/>
      <w:pPr>
        <w:ind w:left="4095" w:hanging="420"/>
      </w:pPr>
      <w:rPr>
        <w:rFonts w:hint="default"/>
        <w:lang w:val="en-US" w:eastAsia="en-US" w:bidi="ar-SA"/>
      </w:rPr>
    </w:lvl>
    <w:lvl w:ilvl="4">
      <w:start w:val="0"/>
      <w:numFmt w:val="bullet"/>
      <w:lvlText w:val="•"/>
      <w:lvlJc w:val="left"/>
      <w:pPr>
        <w:ind w:left="4954" w:hanging="420"/>
      </w:pPr>
      <w:rPr>
        <w:rFonts w:hint="default"/>
        <w:lang w:val="en-US" w:eastAsia="en-US" w:bidi="ar-SA"/>
      </w:rPr>
    </w:lvl>
    <w:lvl w:ilvl="5">
      <w:start w:val="0"/>
      <w:numFmt w:val="bullet"/>
      <w:lvlText w:val="•"/>
      <w:lvlJc w:val="left"/>
      <w:pPr>
        <w:ind w:left="5813" w:hanging="420"/>
      </w:pPr>
      <w:rPr>
        <w:rFonts w:hint="default"/>
        <w:lang w:val="en-US" w:eastAsia="en-US" w:bidi="ar-SA"/>
      </w:rPr>
    </w:lvl>
    <w:lvl w:ilvl="6">
      <w:start w:val="0"/>
      <w:numFmt w:val="bullet"/>
      <w:lvlText w:val="•"/>
      <w:lvlJc w:val="left"/>
      <w:pPr>
        <w:ind w:left="6671" w:hanging="420"/>
      </w:pPr>
      <w:rPr>
        <w:rFonts w:hint="default"/>
        <w:lang w:val="en-US" w:eastAsia="en-US" w:bidi="ar-SA"/>
      </w:rPr>
    </w:lvl>
    <w:lvl w:ilvl="7">
      <w:start w:val="0"/>
      <w:numFmt w:val="bullet"/>
      <w:lvlText w:val="•"/>
      <w:lvlJc w:val="left"/>
      <w:pPr>
        <w:ind w:left="7530" w:hanging="420"/>
      </w:pPr>
      <w:rPr>
        <w:rFonts w:hint="default"/>
        <w:lang w:val="en-US" w:eastAsia="en-US" w:bidi="ar-SA"/>
      </w:rPr>
    </w:lvl>
    <w:lvl w:ilvl="8">
      <w:start w:val="0"/>
      <w:numFmt w:val="bullet"/>
      <w:lvlText w:val="•"/>
      <w:lvlJc w:val="left"/>
      <w:pPr>
        <w:ind w:left="8389" w:hanging="420"/>
      </w:pPr>
      <w:rPr>
        <w:rFonts w:hint="default"/>
        <w:lang w:val="en-US" w:eastAsia="en-US" w:bidi="ar-SA"/>
      </w:rPr>
    </w:lvl>
  </w:abstractNum>
  <w:abstractNum w:abstractNumId="8">
    <w:multiLevelType w:val="hybridMultilevel"/>
    <w:lvl w:ilvl="0">
      <w:start w:val="1"/>
      <w:numFmt w:val="decimal"/>
      <w:lvlText w:val="%1"/>
      <w:lvlJc w:val="left"/>
      <w:pPr>
        <w:ind w:left="14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4" w:hanging="360"/>
      </w:pPr>
      <w:rPr>
        <w:rFonts w:hint="default"/>
        <w:lang w:val="en-US" w:eastAsia="en-US" w:bidi="ar-SA"/>
      </w:rPr>
    </w:lvl>
    <w:lvl w:ilvl="2">
      <w:start w:val="0"/>
      <w:numFmt w:val="bullet"/>
      <w:lvlText w:val="•"/>
      <w:lvlJc w:val="left"/>
      <w:pPr>
        <w:ind w:left="3189" w:hanging="360"/>
      </w:pPr>
      <w:rPr>
        <w:rFonts w:hint="default"/>
        <w:lang w:val="en-US" w:eastAsia="en-US" w:bidi="ar-SA"/>
      </w:rPr>
    </w:lvl>
    <w:lvl w:ilvl="3">
      <w:start w:val="0"/>
      <w:numFmt w:val="bullet"/>
      <w:lvlText w:val="•"/>
      <w:lvlJc w:val="left"/>
      <w:pPr>
        <w:ind w:left="4053" w:hanging="360"/>
      </w:pPr>
      <w:rPr>
        <w:rFonts w:hint="default"/>
        <w:lang w:val="en-US" w:eastAsia="en-US" w:bidi="ar-SA"/>
      </w:rPr>
    </w:lvl>
    <w:lvl w:ilvl="4">
      <w:start w:val="0"/>
      <w:numFmt w:val="bullet"/>
      <w:lvlText w:val="•"/>
      <w:lvlJc w:val="left"/>
      <w:pPr>
        <w:ind w:left="4918" w:hanging="360"/>
      </w:pPr>
      <w:rPr>
        <w:rFonts w:hint="default"/>
        <w:lang w:val="en-US" w:eastAsia="en-US" w:bidi="ar-SA"/>
      </w:rPr>
    </w:lvl>
    <w:lvl w:ilvl="5">
      <w:start w:val="0"/>
      <w:numFmt w:val="bullet"/>
      <w:lvlText w:val="•"/>
      <w:lvlJc w:val="left"/>
      <w:pPr>
        <w:ind w:left="5783" w:hanging="360"/>
      </w:pPr>
      <w:rPr>
        <w:rFonts w:hint="default"/>
        <w:lang w:val="en-US" w:eastAsia="en-US" w:bidi="ar-SA"/>
      </w:rPr>
    </w:lvl>
    <w:lvl w:ilvl="6">
      <w:start w:val="0"/>
      <w:numFmt w:val="bullet"/>
      <w:lvlText w:val="•"/>
      <w:lvlJc w:val="left"/>
      <w:pPr>
        <w:ind w:left="6647"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377" w:hanging="360"/>
      </w:pPr>
      <w:rPr>
        <w:rFonts w:hint="default"/>
        <w:lang w:val="en-US" w:eastAsia="en-US" w:bidi="ar-SA"/>
      </w:rPr>
    </w:lvl>
  </w:abstractNum>
  <w:abstractNum w:abstractNumId="7">
    <w:multiLevelType w:val="hybridMultilevel"/>
    <w:lvl w:ilvl="0">
      <w:start w:val="1"/>
      <w:numFmt w:val="decimal"/>
      <w:lvlText w:val="%1"/>
      <w:lvlJc w:val="left"/>
      <w:pPr>
        <w:ind w:left="3952" w:hanging="540"/>
        <w:jc w:val="left"/>
      </w:pPr>
      <w:rPr>
        <w:rFonts w:hint="default"/>
        <w:lang w:val="en-US" w:eastAsia="en-US" w:bidi="ar-SA"/>
      </w:rPr>
    </w:lvl>
    <w:lvl w:ilvl="1">
      <w:start w:val="0"/>
      <w:numFmt w:val="decimal"/>
      <w:lvlText w:val="%1.%2"/>
      <w:lvlJc w:val="left"/>
      <w:pPr>
        <w:ind w:left="3952" w:hanging="54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189" w:hanging="540"/>
      </w:pPr>
      <w:rPr>
        <w:rFonts w:hint="default"/>
        <w:lang w:val="en-US" w:eastAsia="en-US" w:bidi="ar-SA"/>
      </w:rPr>
    </w:lvl>
    <w:lvl w:ilvl="3">
      <w:start w:val="0"/>
      <w:numFmt w:val="bullet"/>
      <w:lvlText w:val="•"/>
      <w:lvlJc w:val="left"/>
      <w:pPr>
        <w:ind w:left="5803" w:hanging="540"/>
      </w:pPr>
      <w:rPr>
        <w:rFonts w:hint="default"/>
        <w:lang w:val="en-US" w:eastAsia="en-US" w:bidi="ar-SA"/>
      </w:rPr>
    </w:lvl>
    <w:lvl w:ilvl="4">
      <w:start w:val="0"/>
      <w:numFmt w:val="bullet"/>
      <w:lvlText w:val="•"/>
      <w:lvlJc w:val="left"/>
      <w:pPr>
        <w:ind w:left="6418" w:hanging="540"/>
      </w:pPr>
      <w:rPr>
        <w:rFonts w:hint="default"/>
        <w:lang w:val="en-US" w:eastAsia="en-US" w:bidi="ar-SA"/>
      </w:rPr>
    </w:lvl>
    <w:lvl w:ilvl="5">
      <w:start w:val="0"/>
      <w:numFmt w:val="bullet"/>
      <w:lvlText w:val="•"/>
      <w:lvlJc w:val="left"/>
      <w:pPr>
        <w:ind w:left="7033" w:hanging="540"/>
      </w:pPr>
      <w:rPr>
        <w:rFonts w:hint="default"/>
        <w:lang w:val="en-US" w:eastAsia="en-US" w:bidi="ar-SA"/>
      </w:rPr>
    </w:lvl>
    <w:lvl w:ilvl="6">
      <w:start w:val="0"/>
      <w:numFmt w:val="bullet"/>
      <w:lvlText w:val="•"/>
      <w:lvlJc w:val="left"/>
      <w:pPr>
        <w:ind w:left="7647" w:hanging="540"/>
      </w:pPr>
      <w:rPr>
        <w:rFonts w:hint="default"/>
        <w:lang w:val="en-US" w:eastAsia="en-US" w:bidi="ar-SA"/>
      </w:rPr>
    </w:lvl>
    <w:lvl w:ilvl="7">
      <w:start w:val="0"/>
      <w:numFmt w:val="bullet"/>
      <w:lvlText w:val="•"/>
      <w:lvlJc w:val="left"/>
      <w:pPr>
        <w:ind w:left="8262" w:hanging="540"/>
      </w:pPr>
      <w:rPr>
        <w:rFonts w:hint="default"/>
        <w:lang w:val="en-US" w:eastAsia="en-US" w:bidi="ar-SA"/>
      </w:rPr>
    </w:lvl>
    <w:lvl w:ilvl="8">
      <w:start w:val="0"/>
      <w:numFmt w:val="bullet"/>
      <w:lvlText w:val="•"/>
      <w:lvlJc w:val="left"/>
      <w:pPr>
        <w:ind w:left="8877" w:hanging="540"/>
      </w:pPr>
      <w:rPr>
        <w:rFonts w:hint="default"/>
        <w:lang w:val="en-US" w:eastAsia="en-US" w:bidi="ar-SA"/>
      </w:rPr>
    </w:lvl>
  </w:abstractNum>
  <w:abstractNum w:abstractNumId="6">
    <w:multiLevelType w:val="hybridMultilevel"/>
    <w:lvl w:ilvl="0">
      <w:start w:val="5"/>
      <w:numFmt w:val="decimal"/>
      <w:lvlText w:val="%1.0"/>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1.%2"/>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upperRoman"/>
      <w:lvlText w:val="%3."/>
      <w:lvlJc w:val="left"/>
      <w:pPr>
        <w:ind w:left="1767" w:hanging="660"/>
        <w:jc w:val="left"/>
      </w:pPr>
      <w:rPr>
        <w:rFonts w:hint="default"/>
        <w:spacing w:val="0"/>
        <w:w w:val="100"/>
        <w:lang w:val="en-US" w:eastAsia="en-US" w:bidi="ar-SA"/>
      </w:rPr>
    </w:lvl>
    <w:lvl w:ilvl="3">
      <w:start w:val="0"/>
      <w:numFmt w:val="bullet"/>
      <w:lvlText w:val="•"/>
      <w:lvlJc w:val="left"/>
      <w:pPr>
        <w:ind w:left="3614" w:hanging="660"/>
      </w:pPr>
      <w:rPr>
        <w:rFonts w:hint="default"/>
        <w:lang w:val="en-US" w:eastAsia="en-US" w:bidi="ar-SA"/>
      </w:rPr>
    </w:lvl>
    <w:lvl w:ilvl="4">
      <w:start w:val="0"/>
      <w:numFmt w:val="bullet"/>
      <w:lvlText w:val="•"/>
      <w:lvlJc w:val="left"/>
      <w:pPr>
        <w:ind w:left="4542" w:hanging="660"/>
      </w:pPr>
      <w:rPr>
        <w:rFonts w:hint="default"/>
        <w:lang w:val="en-US" w:eastAsia="en-US" w:bidi="ar-SA"/>
      </w:rPr>
    </w:lvl>
    <w:lvl w:ilvl="5">
      <w:start w:val="0"/>
      <w:numFmt w:val="bullet"/>
      <w:lvlText w:val="•"/>
      <w:lvlJc w:val="left"/>
      <w:pPr>
        <w:ind w:left="5469" w:hanging="660"/>
      </w:pPr>
      <w:rPr>
        <w:rFonts w:hint="default"/>
        <w:lang w:val="en-US" w:eastAsia="en-US" w:bidi="ar-SA"/>
      </w:rPr>
    </w:lvl>
    <w:lvl w:ilvl="6">
      <w:start w:val="0"/>
      <w:numFmt w:val="bullet"/>
      <w:lvlText w:val="•"/>
      <w:lvlJc w:val="left"/>
      <w:pPr>
        <w:ind w:left="6396" w:hanging="660"/>
      </w:pPr>
      <w:rPr>
        <w:rFonts w:hint="default"/>
        <w:lang w:val="en-US" w:eastAsia="en-US" w:bidi="ar-SA"/>
      </w:rPr>
    </w:lvl>
    <w:lvl w:ilvl="7">
      <w:start w:val="0"/>
      <w:numFmt w:val="bullet"/>
      <w:lvlText w:val="•"/>
      <w:lvlJc w:val="left"/>
      <w:pPr>
        <w:ind w:left="7324" w:hanging="660"/>
      </w:pPr>
      <w:rPr>
        <w:rFonts w:hint="default"/>
        <w:lang w:val="en-US" w:eastAsia="en-US" w:bidi="ar-SA"/>
      </w:rPr>
    </w:lvl>
    <w:lvl w:ilvl="8">
      <w:start w:val="0"/>
      <w:numFmt w:val="bullet"/>
      <w:lvlText w:val="•"/>
      <w:lvlJc w:val="left"/>
      <w:pPr>
        <w:ind w:left="8251" w:hanging="660"/>
      </w:pPr>
      <w:rPr>
        <w:rFonts w:hint="default"/>
        <w:lang w:val="en-US" w:eastAsia="en-US" w:bidi="ar-SA"/>
      </w:rPr>
    </w:lvl>
  </w:abstractNum>
  <w:abstractNum w:abstractNumId="5">
    <w:multiLevelType w:val="hybridMultilevel"/>
    <w:lvl w:ilvl="0">
      <w:start w:val="4"/>
      <w:numFmt w:val="decimal"/>
      <w:lvlText w:val="%1"/>
      <w:lvlJc w:val="left"/>
      <w:pPr>
        <w:ind w:left="1467" w:hanging="720"/>
        <w:jc w:val="left"/>
      </w:pPr>
      <w:rPr>
        <w:rFonts w:hint="default"/>
        <w:lang w:val="en-US" w:eastAsia="en-US" w:bidi="ar-SA"/>
      </w:rPr>
    </w:lvl>
    <w:lvl w:ilvl="1">
      <w:start w:val="0"/>
      <w:numFmt w:val="decimal"/>
      <w:lvlText w:val="%1.%2"/>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89" w:hanging="720"/>
      </w:pPr>
      <w:rPr>
        <w:rFonts w:hint="default"/>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abstractNum w:abstractNumId="4">
    <w:multiLevelType w:val="hybridMultilevel"/>
    <w:lvl w:ilvl="0">
      <w:start w:val="3"/>
      <w:numFmt w:val="decimal"/>
      <w:lvlText w:val="%1"/>
      <w:lvlJc w:val="left"/>
      <w:pPr>
        <w:ind w:left="1467" w:hanging="720"/>
        <w:jc w:val="left"/>
      </w:pPr>
      <w:rPr>
        <w:rFonts w:hint="default"/>
        <w:lang w:val="en-US" w:eastAsia="en-US" w:bidi="ar-SA"/>
      </w:rPr>
    </w:lvl>
    <w:lvl w:ilvl="1">
      <w:start w:val="2"/>
      <w:numFmt w:val="decimal"/>
      <w:lvlText w:val="%1.%2"/>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67"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abstractNum w:abstractNumId="3">
    <w:multiLevelType w:val="hybridMultilevel"/>
    <w:lvl w:ilvl="0">
      <w:start w:val="2"/>
      <w:numFmt w:val="decimal"/>
      <w:lvlText w:val="%1"/>
      <w:lvlJc w:val="left"/>
      <w:pPr>
        <w:ind w:left="1467" w:hanging="720"/>
        <w:jc w:val="left"/>
      </w:pPr>
      <w:rPr>
        <w:rFonts w:hint="default"/>
        <w:lang w:val="en-US" w:eastAsia="en-US" w:bidi="ar-SA"/>
      </w:rPr>
    </w:lvl>
    <w:lvl w:ilvl="1">
      <w:start w:val="3"/>
      <w:numFmt w:val="decimal"/>
      <w:lvlText w:val="%1.%2"/>
      <w:lvlJc w:val="left"/>
      <w:pPr>
        <w:ind w:left="1467" w:hanging="720"/>
        <w:jc w:val="left"/>
      </w:pPr>
      <w:rPr>
        <w:rFonts w:hint="default"/>
        <w:lang w:val="en-US" w:eastAsia="en-US" w:bidi="ar-SA"/>
      </w:rPr>
    </w:lvl>
    <w:lvl w:ilvl="2">
      <w:start w:val="1"/>
      <w:numFmt w:val="decimal"/>
      <w:lvlText w:val="%1.%2.%3"/>
      <w:lvlJc w:val="left"/>
      <w:pPr>
        <w:ind w:left="1467"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abstractNum w:abstractNumId="2">
    <w:multiLevelType w:val="hybridMultilevel"/>
    <w:lvl w:ilvl="0">
      <w:start w:val="2"/>
      <w:numFmt w:val="decimal"/>
      <w:lvlText w:val="%1"/>
      <w:lvlJc w:val="left"/>
      <w:pPr>
        <w:ind w:left="1467" w:hanging="720"/>
        <w:jc w:val="left"/>
      </w:pPr>
      <w:rPr>
        <w:rFonts w:hint="default"/>
        <w:lang w:val="en-US" w:eastAsia="en-US" w:bidi="ar-SA"/>
      </w:rPr>
    </w:lvl>
    <w:lvl w:ilvl="1">
      <w:start w:val="2"/>
      <w:numFmt w:val="decimal"/>
      <w:lvlText w:val="%1.%2"/>
      <w:lvlJc w:val="left"/>
      <w:pPr>
        <w:ind w:left="1467" w:hanging="720"/>
        <w:jc w:val="left"/>
      </w:pPr>
      <w:rPr>
        <w:rFonts w:hint="default"/>
        <w:lang w:val="en-US" w:eastAsia="en-US" w:bidi="ar-SA"/>
      </w:rPr>
    </w:lvl>
    <w:lvl w:ilvl="2">
      <w:start w:val="1"/>
      <w:numFmt w:val="decimal"/>
      <w:lvlText w:val="%1.%2.%3"/>
      <w:lvlJc w:val="left"/>
      <w:pPr>
        <w:ind w:left="1467"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abstractNum w:abstractNumId="1">
    <w:multiLevelType w:val="hybridMultilevel"/>
    <w:lvl w:ilvl="0">
      <w:start w:val="2"/>
      <w:numFmt w:val="decimal"/>
      <w:lvlText w:val="%1"/>
      <w:lvlJc w:val="left"/>
      <w:pPr>
        <w:ind w:left="1467" w:hanging="720"/>
        <w:jc w:val="left"/>
      </w:pPr>
      <w:rPr>
        <w:rFonts w:hint="default"/>
        <w:lang w:val="en-US" w:eastAsia="en-US" w:bidi="ar-SA"/>
      </w:rPr>
    </w:lvl>
    <w:lvl w:ilvl="1">
      <w:start w:val="0"/>
      <w:numFmt w:val="decimal"/>
      <w:lvlText w:val="%1.%2"/>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2"/>
      <w:numFmt w:val="decimal"/>
      <w:lvlText w:val="%1.%2.%3"/>
      <w:lvlJc w:val="left"/>
      <w:pPr>
        <w:ind w:left="146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abstractNum w:abstractNumId="0">
    <w:multiLevelType w:val="hybridMultilevel"/>
    <w:lvl w:ilvl="0">
      <w:start w:val="1"/>
      <w:numFmt w:val="decimal"/>
      <w:lvlText w:val="%1"/>
      <w:lvlJc w:val="left"/>
      <w:pPr>
        <w:ind w:left="1467" w:hanging="720"/>
        <w:jc w:val="left"/>
      </w:pPr>
      <w:rPr>
        <w:rFonts w:hint="default"/>
        <w:lang w:val="en-US" w:eastAsia="en-US" w:bidi="ar-SA"/>
      </w:rPr>
    </w:lvl>
    <w:lvl w:ilvl="1">
      <w:start w:val="0"/>
      <w:numFmt w:val="decimal"/>
      <w:lvlText w:val="%1.%2"/>
      <w:lvlJc w:val="left"/>
      <w:pPr>
        <w:ind w:left="14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89" w:hanging="720"/>
      </w:pPr>
      <w:rPr>
        <w:rFonts w:hint="default"/>
        <w:lang w:val="en-US" w:eastAsia="en-US" w:bidi="ar-SA"/>
      </w:rPr>
    </w:lvl>
    <w:lvl w:ilvl="3">
      <w:start w:val="0"/>
      <w:numFmt w:val="bullet"/>
      <w:lvlText w:val="•"/>
      <w:lvlJc w:val="left"/>
      <w:pPr>
        <w:ind w:left="4053" w:hanging="720"/>
      </w:pPr>
      <w:rPr>
        <w:rFonts w:hint="default"/>
        <w:lang w:val="en-US" w:eastAsia="en-US" w:bidi="ar-SA"/>
      </w:rPr>
    </w:lvl>
    <w:lvl w:ilvl="4">
      <w:start w:val="0"/>
      <w:numFmt w:val="bullet"/>
      <w:lvlText w:val="•"/>
      <w:lvlJc w:val="left"/>
      <w:pPr>
        <w:ind w:left="4918" w:hanging="720"/>
      </w:pPr>
      <w:rPr>
        <w:rFonts w:hint="default"/>
        <w:lang w:val="en-US" w:eastAsia="en-US" w:bidi="ar-SA"/>
      </w:rPr>
    </w:lvl>
    <w:lvl w:ilvl="5">
      <w:start w:val="0"/>
      <w:numFmt w:val="bullet"/>
      <w:lvlText w:val="•"/>
      <w:lvlJc w:val="left"/>
      <w:pPr>
        <w:ind w:left="5783" w:hanging="720"/>
      </w:pPr>
      <w:rPr>
        <w:rFonts w:hint="default"/>
        <w:lang w:val="en-US" w:eastAsia="en-US" w:bidi="ar-SA"/>
      </w:rPr>
    </w:lvl>
    <w:lvl w:ilvl="6">
      <w:start w:val="0"/>
      <w:numFmt w:val="bullet"/>
      <w:lvlText w:val="•"/>
      <w:lvlJc w:val="left"/>
      <w:pPr>
        <w:ind w:left="6647" w:hanging="720"/>
      </w:pPr>
      <w:rPr>
        <w:rFonts w:hint="default"/>
        <w:lang w:val="en-US" w:eastAsia="en-US" w:bidi="ar-SA"/>
      </w:rPr>
    </w:lvl>
    <w:lvl w:ilvl="7">
      <w:start w:val="0"/>
      <w:numFmt w:val="bullet"/>
      <w:lvlText w:val="•"/>
      <w:lvlJc w:val="left"/>
      <w:pPr>
        <w:ind w:left="7512" w:hanging="720"/>
      </w:pPr>
      <w:rPr>
        <w:rFonts w:hint="default"/>
        <w:lang w:val="en-US" w:eastAsia="en-US" w:bidi="ar-SA"/>
      </w:rPr>
    </w:lvl>
    <w:lvl w:ilvl="8">
      <w:start w:val="0"/>
      <w:numFmt w:val="bullet"/>
      <w:lvlText w:val="•"/>
      <w:lvlJc w:val="left"/>
      <w:pPr>
        <w:ind w:left="8377" w:hanging="72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3">
    <w:abstractNumId w:val="12"/>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72"/>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75"/>
      <w:ind w:left="1467" w:hanging="72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475"/>
      <w:ind w:left="1467" w:hanging="7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475"/>
      <w:ind w:left="1467" w:hanging="720"/>
    </w:pPr>
    <w:rPr>
      <w:rFonts w:ascii="Times New Roman" w:hAnsi="Times New Roman" w:eastAsia="Times New Roman" w:cs="Times New Roman"/>
      <w:b/>
      <w:bCs/>
      <w:i/>
      <w:iCs/>
      <w:lang w:val="en-US" w:eastAsia="en-US" w:bidi="ar-SA"/>
    </w:rPr>
  </w:style>
  <w:style w:styleId="TOC5" w:type="paragraph">
    <w:name w:val="TOC 5"/>
    <w:basedOn w:val="Normal"/>
    <w:uiPriority w:val="1"/>
    <w:qFormat/>
    <w:pPr>
      <w:ind w:left="1467"/>
    </w:pPr>
    <w:rPr>
      <w:rFonts w:ascii="Times New Roman" w:hAnsi="Times New Roman" w:eastAsia="Times New Roman" w:cs="Times New Roman"/>
      <w:b/>
      <w:bCs/>
      <w:sz w:val="24"/>
      <w:szCs w:val="24"/>
      <w:lang w:val="en-US" w:eastAsia="en-US" w:bidi="ar-SA"/>
    </w:rPr>
  </w:style>
  <w:style w:styleId="TOC6" w:type="paragraph">
    <w:name w:val="TOC 6"/>
    <w:basedOn w:val="Normal"/>
    <w:uiPriority w:val="1"/>
    <w:qFormat/>
    <w:pPr>
      <w:ind w:left="1467"/>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466" w:hanging="72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466" w:hanging="719"/>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46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quickiwiki.com/en/Immune_cells" TargetMode="External"/><Relationship Id="rId14" Type="http://schemas.openxmlformats.org/officeDocument/2006/relationships/hyperlink" Target="http://www.feedipedia.org/node/16330" TargetMode="External"/><Relationship Id="rId15" Type="http://schemas.openxmlformats.org/officeDocument/2006/relationships/hyperlink" Target="http://www.chapters.indigo.ca/usedbooks/essentials-of-pathophysiology-" TargetMode="External"/><Relationship Id="rId16" Type="http://schemas.openxmlformats.org/officeDocument/2006/relationships/hyperlink" Target="http://www.tpgold.com/inflammation/" TargetMode="External"/><Relationship Id="rId17" Type="http://schemas.openxmlformats.org/officeDocument/2006/relationships/hyperlink" Target="http://www.who.int/healthinfo/bodestimates/en" TargetMode="External"/><Relationship Id="rId18" Type="http://schemas.openxmlformats.org/officeDocument/2006/relationships/hyperlink" Target="http://data.unaids.org/pub/EPISlides/2007/2007_epiupdate_en.pdf"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2023-11-07T17:27:04Z</dcterms:created>
  <dcterms:modified xsi:type="dcterms:W3CDTF">2023-11-07T17:27:04Z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2015-03-02T00:00:00Z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