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7" w:lineRule="auto"/>
        <w:ind w:right="1140"/>
        <w:rPr>
          <w:color w:val="auto"/>
          <w:sz w:val="20"/>
          <w:szCs w:val="20"/>
        </w:rPr>
      </w:pPr>
      <w:r>
        <w:rPr>
          <w:rFonts w:ascii="Cambria" w:hAnsi="Cambria" w:eastAsia="Cambria" w:cs="Cambria"/>
          <w:b/>
          <w:bCs/>
          <w:color w:val="auto"/>
          <w:sz w:val="40"/>
          <w:szCs w:val="40"/>
        </w:rPr>
        <w:t>Design and Implementation of Research Incentive Mechanisms in Private Universities based on Performance Assessment</w:t>
      </w:r>
    </w:p>
    <w:p>
      <w:pPr>
        <w:spacing w:after="0" w:line="196" w:lineRule="exact"/>
        <w:rPr>
          <w:color w:val="auto"/>
          <w:sz w:val="24"/>
          <w:szCs w:val="24"/>
        </w:rPr>
      </w:pPr>
    </w:p>
    <w:p>
      <w:pPr>
        <w:spacing w:after="0" w:line="20" w:lineRule="exact"/>
        <w:rPr>
          <w:color w:val="auto"/>
          <w:sz w:val="24"/>
          <w:szCs w:val="24"/>
        </w:rPr>
      </w:pPr>
      <w:bookmarkStart w:id="3" w:name="_GoBack"/>
      <w:bookmarkEnd w:id="3"/>
      <w:r>
        <w:rPr>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149225</wp:posOffset>
                </wp:positionV>
                <wp:extent cx="6478905" cy="0"/>
                <wp:effectExtent l="0" t="0" r="0" b="0"/>
                <wp:wrapNone/>
                <wp:docPr id="2" name="Shape 2"/>
                <wp:cNvGraphicFramePr/>
                <a:graphic xmlns:a="http://schemas.openxmlformats.org/drawingml/2006/main">
                  <a:graphicData uri="http://schemas.microsoft.com/office/word/2010/wordprocessingShape">
                    <wps:wsp>
                      <wps:cNvCnPr/>
                      <wps:spPr>
                        <a:xfrm>
                          <a:off x="0" y="0"/>
                          <a:ext cx="6478905" cy="4763"/>
                        </a:xfrm>
                        <a:prstGeom prst="line">
                          <a:avLst/>
                        </a:prstGeom>
                        <a:solidFill>
                          <a:srgbClr val="FFFFFF"/>
                        </a:solidFill>
                        <a:ln w="15240">
                          <a:solidFill>
                            <a:srgbClr val="000000"/>
                          </a:solidFill>
                          <a:miter lim="800000"/>
                        </a:ln>
                      </wps:spPr>
                      <wps:bodyPr/>
                    </wps:wsp>
                  </a:graphicData>
                </a:graphic>
              </wp:anchor>
            </w:drawing>
          </mc:Choice>
          <mc:Fallback>
            <w:pict>
              <v:line id="Shape 2" o:spid="_x0000_s1026" o:spt="20" style="position:absolute;left:0pt;margin-left:-0.45pt;margin-top:11.75pt;height:0pt;width:510.15pt;z-index:-251657216;mso-width-relative:page;mso-height-relative:page;" fillcolor="#FFFFFF" filled="t" stroked="t" coordsize="21600,21600" o:allowincell="f" o:gfxdata="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Qb9m2AAAAAgBAAAPAAAAAAAAAAEAIAAAACIAAABkcnMvZG93bnJldi54bWxQSwECFAAUAAAACACH&#10;TuJAxs569bIBAACaAwAADgAAAAAAAAABACAAAAAnAQAAZHJzL2Uyb0RvYy54bWxQSwUGAAAAAAYA&#10;BgBZAQAASwUAAAAA&#10;">
                <v:fill on="t" focussize="0,0"/>
                <v:stroke weight="1.2pt" color="#000000" miterlimit="8" joinstyle="miter"/>
                <v:imagedata o:title=""/>
                <o:lock v:ext="edit" aspectratio="f"/>
              </v:line>
            </w:pict>
          </mc:Fallback>
        </mc:AlternateContent>
      </w:r>
    </w:p>
    <w:p>
      <w:pPr>
        <w:spacing w:after="0" w:line="350" w:lineRule="exact"/>
        <w:rPr>
          <w:color w:val="auto"/>
          <w:sz w:val="24"/>
          <w:szCs w:val="24"/>
        </w:rPr>
      </w:pPr>
    </w:p>
    <w:p>
      <w:pPr>
        <w:spacing w:after="0" w:line="246" w:lineRule="auto"/>
        <w:ind w:right="40"/>
        <w:jc w:val="both"/>
        <w:rPr>
          <w:color w:val="auto"/>
          <w:sz w:val="20"/>
          <w:szCs w:val="20"/>
        </w:rPr>
      </w:pPr>
      <w:r>
        <w:rPr>
          <w:rFonts w:ascii="Times New Roman" w:hAnsi="Times New Roman" w:eastAsia="Times New Roman" w:cs="Times New Roman"/>
          <w:b/>
          <w:bCs/>
          <w:color w:val="auto"/>
          <w:sz w:val="24"/>
          <w:szCs w:val="24"/>
        </w:rPr>
        <w:t>Abstract:</w:t>
      </w:r>
      <w:r>
        <w:rPr>
          <w:rFonts w:ascii="Times New Roman" w:hAnsi="Times New Roman" w:eastAsia="Times New Roman" w:cs="Times New Roman"/>
          <w:color w:val="auto"/>
          <w:sz w:val="20"/>
          <w:szCs w:val="20"/>
        </w:rPr>
        <w:t xml:space="preserve"> This study explores the design, implementation, and evaluation of a research incentive mechanism in private universities. Private higher education institutions often face unique challenges in promoting research and innovation due to resource constraints and competition with public counterparts. The research incentive mechanism is designed to enhance research productivity, motivate faculty members, and cultivate a vibrant research culture. The implementation phase includes a pilot program, continuous monitoring, and feedback mechanisms, while assessment methods encompass quantitative and qualitative measures. Challenges are addressed through flexibility and fairness, and lessons learned inform future recommendations. A well-structured incentive mechanism has the potential to transform private universities into centers of research excellence, contributing to academic advancement and innovation.</w:t>
      </w:r>
    </w:p>
    <w:p>
      <w:pPr>
        <w:spacing w:after="0" w:line="72"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0"/>
          <w:szCs w:val="20"/>
        </w:rPr>
        <w:t xml:space="preserve"> Research Incentive Mechanism; Private Universities; Research Productivity; Higher Education.</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118110</wp:posOffset>
                </wp:positionV>
                <wp:extent cx="6478905" cy="0"/>
                <wp:effectExtent l="0" t="0" r="0" b="0"/>
                <wp:wrapNone/>
                <wp:docPr id="3" name="Shape 3"/>
                <wp:cNvGraphicFramePr/>
                <a:graphic xmlns:a="http://schemas.openxmlformats.org/drawingml/2006/main">
                  <a:graphicData uri="http://schemas.microsoft.com/office/word/2010/wordprocessingShape">
                    <wps:wsp>
                      <wps:cNvCnPr/>
                      <wps:spPr>
                        <a:xfrm>
                          <a:off x="0" y="0"/>
                          <a:ext cx="6478905" cy="4763"/>
                        </a:xfrm>
                        <a:prstGeom prst="line">
                          <a:avLst/>
                        </a:prstGeom>
                        <a:solidFill>
                          <a:srgbClr val="FFFFFF"/>
                        </a:solidFill>
                        <a:ln w="15240">
                          <a:solidFill>
                            <a:srgbClr val="000000"/>
                          </a:solidFill>
                          <a:miter lim="800000"/>
                        </a:ln>
                      </wps:spPr>
                      <wps:bodyPr/>
                    </wps:wsp>
                  </a:graphicData>
                </a:graphic>
              </wp:anchor>
            </w:drawing>
          </mc:Choice>
          <mc:Fallback>
            <w:pict>
              <v:line id="Shape 3" o:spid="_x0000_s1026" o:spt="20" style="position:absolute;left:0pt;margin-left:-0.45pt;margin-top:9.3pt;height:0pt;width:510.15pt;z-index:-251657216;mso-width-relative:page;mso-height-relative:page;" fillcolor="#FFFFFF" filled="t" stroked="t" coordsize="21600,21600" o:allowincell="f" o:gfxdata="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f2/9cAAAAIAQAADwAAAAAAAAABACAAAAAiAAAAZHJzL2Rvd25yZXYueG1sUEsBAhQAFAAAAAgA&#10;h07iQKMyimm0AQAAmgMAAA4AAAAAAAAAAQAgAAAAJgEAAGRycy9lMm9Eb2MueG1sUEsFBgAAAAAG&#10;AAYAWQEAAEwFAAAAAA==&#10;">
                <v:fill on="t" focussize="0,0"/>
                <v:stroke weight="1.2pt" color="#000000" miterlimit="8" joinstyle="miter"/>
                <v:imagedata o:title=""/>
                <o:lock v:ext="edit" aspectratio="f"/>
              </v:line>
            </w:pict>
          </mc:Fallback>
        </mc:AlternateContent>
      </w:r>
    </w:p>
    <w:p>
      <w:pPr>
        <w:sectPr>
          <w:pgSz w:w="11900" w:h="16840"/>
          <w:pgMar w:top="743" w:right="804" w:bottom="0" w:left="860" w:header="0" w:footer="0" w:gutter="0"/>
          <w:cols w:equalWidth="0" w:num="1">
            <w:col w:w="10240"/>
          </w:cols>
        </w:sectPr>
      </w:pPr>
    </w:p>
    <w:p>
      <w:pPr>
        <w:spacing w:after="0" w:line="200" w:lineRule="exact"/>
        <w:rPr>
          <w:color w:val="auto"/>
          <w:sz w:val="24"/>
          <w:szCs w:val="24"/>
        </w:rPr>
      </w:pPr>
    </w:p>
    <w:p>
      <w:pPr>
        <w:spacing w:after="0" w:line="256" w:lineRule="exact"/>
        <w:rPr>
          <w:color w:val="auto"/>
          <w:sz w:val="24"/>
          <w:szCs w:val="24"/>
        </w:rPr>
      </w:pPr>
    </w:p>
    <w:p>
      <w:pPr>
        <w:tabs>
          <w:tab w:val="left" w:pos="420"/>
        </w:tabs>
        <w:spacing w:after="0"/>
        <w:rPr>
          <w:color w:val="auto"/>
          <w:sz w:val="20"/>
          <w:szCs w:val="20"/>
        </w:rPr>
      </w:pPr>
      <w:r>
        <w:rPr>
          <w:rFonts w:ascii="Times New Roman" w:hAnsi="Times New Roman" w:eastAsia="Times New Roman" w:cs="Times New Roman"/>
          <w:b/>
          <w:bCs/>
          <w:color w:val="auto"/>
          <w:sz w:val="28"/>
          <w:szCs w:val="28"/>
        </w:rPr>
        <w:t>1.</w:t>
      </w:r>
      <w:r>
        <w:rPr>
          <w:color w:val="auto"/>
          <w:sz w:val="20"/>
          <w:szCs w:val="20"/>
        </w:rPr>
        <w:tab/>
      </w:r>
      <w:r>
        <w:rPr>
          <w:rFonts w:ascii="Times New Roman" w:hAnsi="Times New Roman" w:eastAsia="Times New Roman" w:cs="Times New Roman"/>
          <w:b/>
          <w:bCs/>
          <w:color w:val="auto"/>
          <w:sz w:val="27"/>
          <w:szCs w:val="27"/>
        </w:rPr>
        <w:t>Introduction</w:t>
      </w:r>
    </w:p>
    <w:p>
      <w:pPr>
        <w:spacing w:after="0" w:line="126" w:lineRule="exact"/>
        <w:rPr>
          <w:color w:val="auto"/>
          <w:sz w:val="24"/>
          <w:szCs w:val="24"/>
        </w:rPr>
      </w:pPr>
    </w:p>
    <w:p>
      <w:pPr>
        <w:spacing w:after="0" w:line="261" w:lineRule="auto"/>
        <w:ind w:firstLine="200"/>
        <w:jc w:val="both"/>
        <w:rPr>
          <w:color w:val="auto"/>
          <w:sz w:val="20"/>
          <w:szCs w:val="20"/>
        </w:rPr>
      </w:pPr>
      <w:r>
        <w:rPr>
          <w:rFonts w:ascii="Times New Roman" w:hAnsi="Times New Roman" w:eastAsia="Times New Roman" w:cs="Times New Roman"/>
          <w:color w:val="auto"/>
          <w:sz w:val="19"/>
          <w:szCs w:val="19"/>
        </w:rPr>
        <w:t>In the realm of higher education, private universities have emerged as significant players, contributing substantially to the academic landscape. However, ensuring a robust research culture in these institutions has been a recurring challenge. To address this issue, this study delves into the design and implementation of research incentive mechanisms in private universities, with a primary focus on performance assessment.</w:t>
      </w:r>
    </w:p>
    <w:p>
      <w:pPr>
        <w:spacing w:after="0" w:line="61"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1.1. Background and Significance</w:t>
      </w:r>
    </w:p>
    <w:p>
      <w:pPr>
        <w:spacing w:after="0" w:line="66" w:lineRule="exact"/>
        <w:rPr>
          <w:color w:val="auto"/>
          <w:sz w:val="24"/>
          <w:szCs w:val="24"/>
        </w:rPr>
      </w:pPr>
    </w:p>
    <w:p>
      <w:pPr>
        <w:spacing w:after="0" w:line="244" w:lineRule="auto"/>
        <w:ind w:right="60" w:firstLine="200"/>
        <w:jc w:val="both"/>
        <w:rPr>
          <w:color w:val="auto"/>
          <w:sz w:val="20"/>
          <w:szCs w:val="20"/>
        </w:rPr>
      </w:pPr>
      <w:r>
        <w:rPr>
          <w:rFonts w:ascii="Times New Roman" w:hAnsi="Times New Roman" w:eastAsia="Times New Roman" w:cs="Times New Roman"/>
          <w:color w:val="auto"/>
          <w:sz w:val="20"/>
          <w:szCs w:val="20"/>
        </w:rPr>
        <w:t>Private universities have witnessed substantial growth in recent years, attracting diverse faculty members and students. Despite their growth, they often face unique challenges in promoting research and innovation. Unlike their public counterparts, private universities must rely heavily on tuition fees and donations, which can lead to resource constraints that affect their research capabilities. Additionally, they often compete with public institutions for funding and recognition [1].</w:t>
      </w:r>
    </w:p>
    <w:p>
      <w:pPr>
        <w:spacing w:after="0" w:line="79"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1.2. Problem Statement</w:t>
      </w:r>
    </w:p>
    <w:p>
      <w:pPr>
        <w:spacing w:after="0" w:line="66" w:lineRule="exact"/>
        <w:rPr>
          <w:color w:val="auto"/>
          <w:sz w:val="24"/>
          <w:szCs w:val="24"/>
        </w:rPr>
      </w:pPr>
    </w:p>
    <w:p>
      <w:pPr>
        <w:spacing w:after="0" w:line="244" w:lineRule="auto"/>
        <w:ind w:right="60" w:firstLine="200"/>
        <w:jc w:val="both"/>
        <w:rPr>
          <w:color w:val="auto"/>
          <w:sz w:val="20"/>
          <w:szCs w:val="20"/>
        </w:rPr>
      </w:pPr>
      <w:r>
        <w:rPr>
          <w:rFonts w:ascii="Times New Roman" w:hAnsi="Times New Roman" w:eastAsia="Times New Roman" w:cs="Times New Roman"/>
          <w:color w:val="auto"/>
          <w:sz w:val="20"/>
          <w:szCs w:val="20"/>
        </w:rPr>
        <w:t>The core problem at hand is the need to establish effective research incentive mechanisms tailored to the context of private universities. While these institutions aspire to excel in research, they must navigate the intricacies of limited resources, faculty workload, and competition for research funding. Traditional incentive structures may not adequately motivate and reward faculty members for their research efforts, hindering the development of a vibrant research culture.</w:t>
      </w:r>
    </w:p>
    <w:p>
      <w:pPr>
        <w:spacing w:after="0" w:line="79"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1.3. Purpose of the Study</w:t>
      </w:r>
    </w:p>
    <w:p>
      <w:pPr>
        <w:spacing w:after="0" w:line="66" w:lineRule="exact"/>
        <w:rPr>
          <w:color w:val="auto"/>
          <w:sz w:val="24"/>
          <w:szCs w:val="24"/>
        </w:rPr>
      </w:pPr>
    </w:p>
    <w:p>
      <w:pPr>
        <w:spacing w:after="0" w:line="263" w:lineRule="auto"/>
        <w:ind w:right="60" w:firstLine="200"/>
        <w:jc w:val="both"/>
        <w:rPr>
          <w:color w:val="auto"/>
          <w:sz w:val="20"/>
          <w:szCs w:val="20"/>
        </w:rPr>
      </w:pPr>
      <w:r>
        <w:rPr>
          <w:rFonts w:ascii="Times New Roman" w:hAnsi="Times New Roman" w:eastAsia="Times New Roman" w:cs="Times New Roman"/>
          <w:color w:val="auto"/>
          <w:sz w:val="19"/>
          <w:szCs w:val="19"/>
        </w:rPr>
        <w:t>The primary purpose of this study is to design and implement a research incentive mechanism that addresses the specific challenges faced by private universities. By doing so, it aims to foster a conducive environment for research, encourage faculty engagement in scholarly activities, and enhance the overall research output of these institutions. This</w:t>
      </w:r>
    </w:p>
    <w:p>
      <w:pPr>
        <w:spacing w:after="0" w:line="20" w:lineRule="exact"/>
        <w:rPr>
          <w:color w:val="auto"/>
          <w:sz w:val="24"/>
          <w:szCs w:val="24"/>
        </w:rPr>
      </w:pPr>
      <w:r>
        <w:rPr>
          <w:color w:val="auto"/>
          <w:sz w:val="24"/>
          <w:szCs w:val="24"/>
        </w:rPr>
        <w:br w:type="column"/>
      </w:r>
    </w:p>
    <w:p>
      <w:pPr>
        <w:spacing w:after="0" w:line="367" w:lineRule="exact"/>
        <w:rPr>
          <w:color w:val="auto"/>
          <w:sz w:val="24"/>
          <w:szCs w:val="24"/>
        </w:rPr>
      </w:pPr>
    </w:p>
    <w:p>
      <w:pPr>
        <w:spacing w:after="0" w:line="259" w:lineRule="auto"/>
        <w:ind w:right="40"/>
        <w:jc w:val="both"/>
        <w:rPr>
          <w:color w:val="auto"/>
          <w:sz w:val="20"/>
          <w:szCs w:val="20"/>
        </w:rPr>
      </w:pPr>
      <w:r>
        <w:rPr>
          <w:rFonts w:ascii="Times New Roman" w:hAnsi="Times New Roman" w:eastAsia="Times New Roman" w:cs="Times New Roman"/>
          <w:color w:val="auto"/>
          <w:sz w:val="20"/>
          <w:szCs w:val="20"/>
        </w:rPr>
        <w:t>study seeks to contribute valuable insights and strategies that can empower private universities to excel in research endeavors.</w:t>
      </w:r>
    </w:p>
    <w:p>
      <w:pPr>
        <w:spacing w:after="0" w:line="77" w:lineRule="exact"/>
        <w:rPr>
          <w:color w:val="auto"/>
          <w:sz w:val="24"/>
          <w:szCs w:val="24"/>
        </w:rPr>
      </w:pPr>
    </w:p>
    <w:p>
      <w:pPr>
        <w:tabs>
          <w:tab w:val="left" w:pos="440"/>
        </w:tabs>
        <w:spacing w:after="0"/>
        <w:rPr>
          <w:color w:val="auto"/>
          <w:sz w:val="20"/>
          <w:szCs w:val="20"/>
        </w:rPr>
      </w:pPr>
      <w:r>
        <w:rPr>
          <w:rFonts w:ascii="Times New Roman" w:hAnsi="Times New Roman" w:eastAsia="Times New Roman" w:cs="Times New Roman"/>
          <w:b/>
          <w:bCs/>
          <w:color w:val="auto"/>
          <w:sz w:val="28"/>
          <w:szCs w:val="28"/>
        </w:rPr>
        <w:t>2.</w:t>
      </w:r>
      <w:r>
        <w:rPr>
          <w:color w:val="auto"/>
          <w:sz w:val="20"/>
          <w:szCs w:val="20"/>
        </w:rPr>
        <w:tab/>
      </w:r>
      <w:r>
        <w:rPr>
          <w:rFonts w:ascii="Times New Roman" w:hAnsi="Times New Roman" w:eastAsia="Times New Roman" w:cs="Times New Roman"/>
          <w:b/>
          <w:bCs/>
          <w:color w:val="auto"/>
          <w:sz w:val="27"/>
          <w:szCs w:val="27"/>
        </w:rPr>
        <w:t>Research Methodology</w:t>
      </w:r>
    </w:p>
    <w:p>
      <w:pPr>
        <w:spacing w:after="0" w:line="119"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2.1. Research Design</w:t>
      </w:r>
    </w:p>
    <w:p>
      <w:pPr>
        <w:spacing w:after="0" w:line="66" w:lineRule="exact"/>
        <w:rPr>
          <w:color w:val="auto"/>
          <w:sz w:val="24"/>
          <w:szCs w:val="24"/>
        </w:rPr>
      </w:pPr>
    </w:p>
    <w:p>
      <w:pPr>
        <w:spacing w:after="0" w:line="241" w:lineRule="auto"/>
        <w:ind w:right="40" w:firstLine="200"/>
        <w:jc w:val="both"/>
        <w:rPr>
          <w:color w:val="auto"/>
          <w:sz w:val="20"/>
          <w:szCs w:val="20"/>
        </w:rPr>
      </w:pPr>
      <w:r>
        <w:rPr>
          <w:rFonts w:ascii="Times New Roman" w:hAnsi="Times New Roman" w:eastAsia="Times New Roman" w:cs="Times New Roman"/>
          <w:color w:val="auto"/>
          <w:sz w:val="20"/>
          <w:szCs w:val="20"/>
        </w:rPr>
        <w:t>The chosen research design for this study is a mixed-methods approach, which combines both quantitative and qualitative research methods. This approach is particularly suited to comprehensively investigate the design and implementation of research incentive mechanisms in private universities.</w:t>
      </w:r>
    </w:p>
    <w:p>
      <w:pPr>
        <w:spacing w:after="0" w:line="2" w:lineRule="exact"/>
        <w:rPr>
          <w:color w:val="auto"/>
          <w:sz w:val="24"/>
          <w:szCs w:val="24"/>
        </w:rPr>
      </w:pPr>
    </w:p>
    <w:p>
      <w:pPr>
        <w:spacing w:after="0" w:line="239" w:lineRule="auto"/>
        <w:ind w:firstLine="200"/>
        <w:jc w:val="both"/>
        <w:rPr>
          <w:color w:val="auto"/>
          <w:sz w:val="20"/>
          <w:szCs w:val="20"/>
        </w:rPr>
      </w:pPr>
      <w:r>
        <w:rPr>
          <w:rFonts w:ascii="Times New Roman" w:hAnsi="Times New Roman" w:eastAsia="Times New Roman" w:cs="Times New Roman"/>
          <w:color w:val="auto"/>
          <w:sz w:val="20"/>
          <w:szCs w:val="20"/>
        </w:rPr>
        <w:t>Quantitative data will be collected to measure and assess the effectiveness of the incentive mechanisms. This will involve the collection of data related to research productivity metrics, such as the number of research publications, citations, grant funding, and research collaborations. Surveys and questionnaires will also be administered to faculty members to gauge their perceptions of the incentives and their impact on their research activities.</w:t>
      </w:r>
    </w:p>
    <w:p>
      <w:pPr>
        <w:spacing w:after="0" w:line="7" w:lineRule="exact"/>
        <w:rPr>
          <w:color w:val="auto"/>
          <w:sz w:val="24"/>
          <w:szCs w:val="24"/>
        </w:rPr>
      </w:pPr>
    </w:p>
    <w:p>
      <w:pPr>
        <w:spacing w:after="0" w:line="246" w:lineRule="auto"/>
        <w:ind w:right="40" w:firstLine="200"/>
        <w:jc w:val="both"/>
        <w:rPr>
          <w:color w:val="auto"/>
          <w:sz w:val="20"/>
          <w:szCs w:val="20"/>
        </w:rPr>
      </w:pPr>
      <w:r>
        <w:rPr>
          <w:rFonts w:ascii="Times New Roman" w:hAnsi="Times New Roman" w:eastAsia="Times New Roman" w:cs="Times New Roman"/>
          <w:color w:val="auto"/>
          <w:sz w:val="20"/>
          <w:szCs w:val="20"/>
        </w:rPr>
        <w:t>Qualitative data will be gathered through interviews and focus group discussions with key stakeholders, including faculty members, university administrators, and academic leaders. These qualitative methods will provide deeper insights into the subjective experiences and perspectives of individuals involved in the incentive program.</w:t>
      </w:r>
    </w:p>
    <w:p>
      <w:pPr>
        <w:spacing w:after="0" w:line="71" w:lineRule="exact"/>
        <w:rPr>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2.2. Data Collection Methods</w:t>
      </w:r>
    </w:p>
    <w:p>
      <w:pPr>
        <w:spacing w:after="0" w:line="66" w:lineRule="exact"/>
        <w:rPr>
          <w:color w:val="auto"/>
          <w:sz w:val="24"/>
          <w:szCs w:val="24"/>
        </w:rPr>
      </w:pPr>
    </w:p>
    <w:p>
      <w:pPr>
        <w:spacing w:after="0" w:line="241" w:lineRule="auto"/>
        <w:ind w:right="40" w:firstLine="200"/>
        <w:jc w:val="both"/>
        <w:rPr>
          <w:color w:val="auto"/>
          <w:sz w:val="20"/>
          <w:szCs w:val="20"/>
        </w:rPr>
      </w:pPr>
      <w:r>
        <w:rPr>
          <w:rFonts w:ascii="Times New Roman" w:hAnsi="Times New Roman" w:eastAsia="Times New Roman" w:cs="Times New Roman"/>
          <w:color w:val="auto"/>
          <w:sz w:val="20"/>
          <w:szCs w:val="20"/>
        </w:rPr>
        <w:t>The data collection process will involve multiple strategies. Firstly, academic records and databases of the participating private universities will be examined to obtain quantitative data on research performance indicators. This will include access to publication records, grant applications, and related institutional documents.</w:t>
      </w:r>
    </w:p>
    <w:p>
      <w:pPr>
        <w:spacing w:after="0" w:line="2" w:lineRule="exact"/>
        <w:rPr>
          <w:color w:val="auto"/>
          <w:sz w:val="24"/>
          <w:szCs w:val="24"/>
        </w:rPr>
      </w:pPr>
    </w:p>
    <w:p>
      <w:pPr>
        <w:spacing w:after="0" w:line="268" w:lineRule="auto"/>
        <w:ind w:right="40" w:firstLine="200"/>
        <w:jc w:val="both"/>
        <w:rPr>
          <w:color w:val="auto"/>
          <w:sz w:val="20"/>
          <w:szCs w:val="20"/>
        </w:rPr>
      </w:pPr>
      <w:r>
        <w:rPr>
          <w:rFonts w:ascii="Times New Roman" w:hAnsi="Times New Roman" w:eastAsia="Times New Roman" w:cs="Times New Roman"/>
          <w:color w:val="auto"/>
          <w:sz w:val="19"/>
          <w:szCs w:val="19"/>
        </w:rPr>
        <w:t>Surveys and questionnaires will be distributed to faculty members at the participating universities to collect their opinions and feedback on the research incentive mechanisms. The surveys will be designed to capture faculty perceptions</w:t>
      </w:r>
    </w:p>
    <w:p>
      <w:pPr>
        <w:spacing w:after="0" w:line="247" w:lineRule="exact"/>
        <w:rPr>
          <w:color w:val="auto"/>
          <w:sz w:val="24"/>
          <w:szCs w:val="24"/>
        </w:rPr>
      </w:pPr>
    </w:p>
    <w:p>
      <w:pPr>
        <w:sectPr>
          <w:type w:val="continuous"/>
          <w:pgSz w:w="11900" w:h="16840"/>
          <w:pgMar w:top="743" w:right="804" w:bottom="0" w:left="860" w:header="0" w:footer="0" w:gutter="0"/>
          <w:cols w:equalWidth="0" w:num="2">
            <w:col w:w="4940" w:space="360"/>
            <w:col w:w="4940"/>
          </w:cols>
        </w:sectPr>
      </w:pPr>
    </w:p>
    <w:p>
      <w:pPr>
        <w:spacing w:after="0" w:line="114" w:lineRule="exact"/>
        <w:rPr>
          <w:color w:val="auto"/>
          <w:sz w:val="24"/>
          <w:szCs w:val="24"/>
        </w:rPr>
      </w:pPr>
    </w:p>
    <w:p>
      <w:pPr>
        <w:spacing w:after="0"/>
        <w:ind w:right="60"/>
        <w:jc w:val="center"/>
        <w:rPr>
          <w:color w:val="auto"/>
          <w:sz w:val="20"/>
          <w:szCs w:val="20"/>
        </w:rPr>
      </w:pPr>
      <w:r>
        <w:rPr>
          <w:rFonts w:ascii="Times New Roman" w:hAnsi="Times New Roman" w:eastAsia="Times New Roman" w:cs="Times New Roman"/>
          <w:color w:val="auto"/>
          <w:sz w:val="18"/>
          <w:szCs w:val="18"/>
        </w:rPr>
        <w:t>14</w:t>
      </w:r>
    </w:p>
    <w:p>
      <w:pPr>
        <w:sectPr>
          <w:type w:val="continuous"/>
          <w:pgSz w:w="11900" w:h="16840"/>
          <w:pgMar w:top="743" w:right="804" w:bottom="0" w:left="860" w:header="0" w:footer="0" w:gutter="0"/>
          <w:cols w:equalWidth="0" w:num="1">
            <w:col w:w="10240"/>
          </w:cols>
        </w:sectPr>
      </w:pPr>
    </w:p>
    <w:p>
      <w:pPr>
        <w:spacing w:after="0" w:line="243" w:lineRule="auto"/>
        <w:ind w:left="9"/>
        <w:jc w:val="both"/>
        <w:rPr>
          <w:color w:val="auto"/>
          <w:sz w:val="20"/>
          <w:szCs w:val="20"/>
        </w:rPr>
      </w:pPr>
      <w:bookmarkStart w:id="0" w:name="page2"/>
      <w:bookmarkEnd w:id="0"/>
      <w:r>
        <w:rPr>
          <w:rFonts w:ascii="Times New Roman" w:hAnsi="Times New Roman" w:eastAsia="Times New Roman" w:cs="Times New Roman"/>
          <w:color w:val="auto"/>
          <w:sz w:val="20"/>
          <w:szCs w:val="20"/>
        </w:rPr>
        <w:t>regarding the clarity of the incentive structure, its fairness, and its influence on their research activities.</w:t>
      </w:r>
    </w:p>
    <w:p>
      <w:pPr>
        <w:spacing w:after="0" w:line="2" w:lineRule="exact"/>
        <w:rPr>
          <w:color w:val="auto"/>
          <w:sz w:val="20"/>
          <w:szCs w:val="20"/>
        </w:rPr>
      </w:pPr>
    </w:p>
    <w:p>
      <w:pPr>
        <w:spacing w:after="0" w:line="244" w:lineRule="auto"/>
        <w:ind w:left="9" w:firstLine="200"/>
        <w:jc w:val="both"/>
        <w:rPr>
          <w:color w:val="auto"/>
          <w:sz w:val="20"/>
          <w:szCs w:val="20"/>
        </w:rPr>
      </w:pPr>
      <w:r>
        <w:rPr>
          <w:rFonts w:ascii="Times New Roman" w:hAnsi="Times New Roman" w:eastAsia="Times New Roman" w:cs="Times New Roman"/>
          <w:color w:val="auto"/>
          <w:sz w:val="20"/>
          <w:szCs w:val="20"/>
        </w:rPr>
        <w:t>In addition to surveys, semi-structured interviews and focus group discussions will be conducted with faculty members, university administrators, and academic leaders. These qualitative methods will provide a deeper understanding of the motivations, challenges, and outcomes associated with the incentive program. They will also allow for the exploration of any unintended consequences or issues arising from the implementation of the mechanism.</w:t>
      </w:r>
    </w:p>
    <w:p>
      <w:pPr>
        <w:spacing w:after="0" w:line="76" w:lineRule="exact"/>
        <w:rPr>
          <w:color w:val="auto"/>
          <w:sz w:val="20"/>
          <w:szCs w:val="20"/>
        </w:rPr>
      </w:pPr>
    </w:p>
    <w:p>
      <w:pPr>
        <w:spacing w:after="0"/>
        <w:ind w:left="9"/>
        <w:rPr>
          <w:color w:val="auto"/>
          <w:sz w:val="20"/>
          <w:szCs w:val="20"/>
        </w:rPr>
      </w:pPr>
      <w:r>
        <w:rPr>
          <w:rFonts w:ascii="Times New Roman" w:hAnsi="Times New Roman" w:eastAsia="Times New Roman" w:cs="Times New Roman"/>
          <w:b/>
          <w:bCs/>
          <w:color w:val="auto"/>
          <w:sz w:val="24"/>
          <w:szCs w:val="24"/>
        </w:rPr>
        <w:t>2.3. Data Analysis Techniques</w:t>
      </w:r>
    </w:p>
    <w:p>
      <w:pPr>
        <w:spacing w:after="0" w:line="65" w:lineRule="exact"/>
        <w:rPr>
          <w:color w:val="auto"/>
          <w:sz w:val="20"/>
          <w:szCs w:val="20"/>
        </w:rPr>
      </w:pPr>
    </w:p>
    <w:p>
      <w:pPr>
        <w:spacing w:after="0" w:line="241" w:lineRule="auto"/>
        <w:ind w:left="9" w:firstLine="200"/>
        <w:jc w:val="both"/>
        <w:rPr>
          <w:color w:val="auto"/>
          <w:sz w:val="20"/>
          <w:szCs w:val="20"/>
        </w:rPr>
      </w:pPr>
      <w:r>
        <w:rPr>
          <w:rFonts w:ascii="Times New Roman" w:hAnsi="Times New Roman" w:eastAsia="Times New Roman" w:cs="Times New Roman"/>
          <w:color w:val="auto"/>
          <w:sz w:val="20"/>
          <w:szCs w:val="20"/>
        </w:rPr>
        <w:t>The quantitative data collected from academic records and surveys will be analyzed using statistical methods. Descriptive statistics, such as mean values, frequencies, and percentages, will be employed to summarize and present the quantitative findings. Comparative analyses may be used to assess the impact of the incentive mechanisms on research performance before and after their implementation.</w:t>
      </w:r>
    </w:p>
    <w:p>
      <w:pPr>
        <w:spacing w:after="0" w:line="2" w:lineRule="exact"/>
        <w:rPr>
          <w:color w:val="auto"/>
          <w:sz w:val="20"/>
          <w:szCs w:val="20"/>
        </w:rPr>
      </w:pPr>
    </w:p>
    <w:p>
      <w:pPr>
        <w:spacing w:after="0" w:line="244" w:lineRule="auto"/>
        <w:ind w:left="9" w:firstLine="200"/>
        <w:jc w:val="both"/>
        <w:rPr>
          <w:color w:val="auto"/>
          <w:sz w:val="20"/>
          <w:szCs w:val="20"/>
        </w:rPr>
      </w:pPr>
      <w:r>
        <w:rPr>
          <w:rFonts w:ascii="Times New Roman" w:hAnsi="Times New Roman" w:eastAsia="Times New Roman" w:cs="Times New Roman"/>
          <w:color w:val="auto"/>
          <w:sz w:val="20"/>
          <w:szCs w:val="20"/>
        </w:rPr>
        <w:t>The qualitative data gathered through interviews and focus group discussions will be subjected to thematic analysis. This involves identifying recurring themes and patterns in the qualitative data, allowing for the extraction of meaningful insights and narratives. Coding and categorization of qualitative data will be carried out to develop a comprehensive understanding of the perspectives and experiences of participants.</w:t>
      </w:r>
    </w:p>
    <w:p>
      <w:pPr>
        <w:spacing w:after="0" w:line="75" w:lineRule="exact"/>
        <w:rPr>
          <w:color w:val="auto"/>
          <w:sz w:val="20"/>
          <w:szCs w:val="20"/>
        </w:rPr>
      </w:pPr>
    </w:p>
    <w:p>
      <w:pPr>
        <w:spacing w:after="0"/>
        <w:ind w:left="9"/>
        <w:rPr>
          <w:color w:val="auto"/>
          <w:sz w:val="20"/>
          <w:szCs w:val="20"/>
        </w:rPr>
      </w:pPr>
      <w:r>
        <w:rPr>
          <w:rFonts w:ascii="Times New Roman" w:hAnsi="Times New Roman" w:eastAsia="Times New Roman" w:cs="Times New Roman"/>
          <w:b/>
          <w:bCs/>
          <w:color w:val="auto"/>
          <w:sz w:val="24"/>
          <w:szCs w:val="24"/>
        </w:rPr>
        <w:t>2.4. Ethical Considerations</w:t>
      </w:r>
    </w:p>
    <w:p>
      <w:pPr>
        <w:spacing w:after="0" w:line="66" w:lineRule="exact"/>
        <w:rPr>
          <w:color w:val="auto"/>
          <w:sz w:val="20"/>
          <w:szCs w:val="20"/>
        </w:rPr>
      </w:pPr>
    </w:p>
    <w:p>
      <w:pPr>
        <w:spacing w:after="0" w:line="241" w:lineRule="auto"/>
        <w:ind w:left="9" w:firstLine="200"/>
        <w:jc w:val="both"/>
        <w:rPr>
          <w:color w:val="auto"/>
          <w:sz w:val="20"/>
          <w:szCs w:val="20"/>
        </w:rPr>
      </w:pPr>
      <w:r>
        <w:rPr>
          <w:rFonts w:ascii="Times New Roman" w:hAnsi="Times New Roman" w:eastAsia="Times New Roman" w:cs="Times New Roman"/>
          <w:color w:val="auto"/>
          <w:sz w:val="20"/>
          <w:szCs w:val="20"/>
        </w:rPr>
        <w:t>This research will adhere to ethical principles and guidelines. Informed consent will be obtained from all participants before data collection, ensuring that they are aware of the study's purpose, their rights, and the confidentiality of their responses. Any sensitive or personally identifiable information will be anonymized and kept confidential.</w:t>
      </w:r>
    </w:p>
    <w:p>
      <w:pPr>
        <w:spacing w:after="0" w:line="1" w:lineRule="exact"/>
        <w:rPr>
          <w:color w:val="auto"/>
          <w:sz w:val="20"/>
          <w:szCs w:val="20"/>
        </w:rPr>
      </w:pPr>
    </w:p>
    <w:p>
      <w:pPr>
        <w:spacing w:after="0"/>
        <w:ind w:left="9" w:firstLine="200"/>
        <w:jc w:val="both"/>
        <w:rPr>
          <w:color w:val="auto"/>
          <w:sz w:val="20"/>
          <w:szCs w:val="20"/>
        </w:rPr>
      </w:pPr>
      <w:r>
        <w:rPr>
          <w:rFonts w:ascii="Times New Roman" w:hAnsi="Times New Roman" w:eastAsia="Times New Roman" w:cs="Times New Roman"/>
          <w:color w:val="auto"/>
          <w:sz w:val="20"/>
          <w:szCs w:val="20"/>
        </w:rPr>
        <w:t>The research will also take into account any potential conflicts of interest and biases in the design and implementation of the incentive mechanisms. Steps will be taken to minimize bias in data collection and analysis, and the results will be presented transparently, acknowledging any limitations or potential sources of bias.</w:t>
      </w:r>
    </w:p>
    <w:p>
      <w:pPr>
        <w:spacing w:after="0" w:line="246" w:lineRule="auto"/>
        <w:ind w:left="9" w:firstLine="200"/>
        <w:jc w:val="both"/>
        <w:rPr>
          <w:color w:val="auto"/>
          <w:sz w:val="20"/>
          <w:szCs w:val="20"/>
        </w:rPr>
      </w:pPr>
      <w:r>
        <w:rPr>
          <w:rFonts w:ascii="Times New Roman" w:hAnsi="Times New Roman" w:eastAsia="Times New Roman" w:cs="Times New Roman"/>
          <w:color w:val="auto"/>
          <w:sz w:val="20"/>
          <w:szCs w:val="20"/>
        </w:rPr>
        <w:t>Overall, the methodology chosen for this study aims to provide a rigorous and comprehensive investigation into the design and implementation of research incentive mechanisms in private universities, combining quantitative and qualitative approaches to gather a rich and multifaceted understanding of the subject matter.</w:t>
      </w:r>
    </w:p>
    <w:p>
      <w:pPr>
        <w:spacing w:after="0" w:line="90" w:lineRule="exact"/>
        <w:rPr>
          <w:color w:val="auto"/>
          <w:sz w:val="20"/>
          <w:szCs w:val="20"/>
        </w:rPr>
      </w:pPr>
    </w:p>
    <w:p>
      <w:pPr>
        <w:numPr>
          <w:ilvl w:val="0"/>
          <w:numId w:val="1"/>
        </w:numPr>
        <w:tabs>
          <w:tab w:val="left" w:pos="449"/>
        </w:tabs>
        <w:spacing w:after="0" w:line="255" w:lineRule="auto"/>
        <w:ind w:left="449" w:right="700" w:hanging="449"/>
        <w:rPr>
          <w:rFonts w:ascii="Times New Roman" w:hAnsi="Times New Roman" w:eastAsia="Times New Roman" w:cs="Times New Roman"/>
          <w:b/>
          <w:bCs/>
          <w:color w:val="auto"/>
          <w:sz w:val="28"/>
          <w:szCs w:val="28"/>
        </w:rPr>
      </w:pPr>
      <w:r>
        <w:rPr>
          <w:rFonts w:ascii="Times New Roman" w:hAnsi="Times New Roman" w:eastAsia="Times New Roman" w:cs="Times New Roman"/>
          <w:b/>
          <w:bCs/>
          <w:color w:val="auto"/>
          <w:sz w:val="28"/>
          <w:szCs w:val="28"/>
        </w:rPr>
        <w:t>Designing a Research Incentive Mechanism</w:t>
      </w:r>
    </w:p>
    <w:p>
      <w:pPr>
        <w:spacing w:after="0" w:line="44" w:lineRule="exact"/>
        <w:rPr>
          <w:color w:val="auto"/>
          <w:sz w:val="20"/>
          <w:szCs w:val="20"/>
        </w:rPr>
      </w:pPr>
    </w:p>
    <w:p>
      <w:pPr>
        <w:spacing w:after="0" w:line="266" w:lineRule="auto"/>
        <w:ind w:left="9" w:firstLine="200"/>
        <w:jc w:val="both"/>
        <w:rPr>
          <w:color w:val="auto"/>
          <w:sz w:val="20"/>
          <w:szCs w:val="20"/>
        </w:rPr>
      </w:pPr>
      <w:r>
        <w:rPr>
          <w:rFonts w:ascii="Times New Roman" w:hAnsi="Times New Roman" w:eastAsia="Times New Roman" w:cs="Times New Roman"/>
          <w:color w:val="auto"/>
          <w:sz w:val="19"/>
          <w:szCs w:val="19"/>
        </w:rPr>
        <w:t>The design of a research incentive mechanism in private universities is a critical aspect of promoting research excellence and cultivating a research culture within these institutions. This section discusses the key components and considerations in the process of designing such a mechanism.</w:t>
      </w:r>
    </w:p>
    <w:p>
      <w:pPr>
        <w:spacing w:after="0" w:line="52" w:lineRule="exact"/>
        <w:rPr>
          <w:color w:val="auto"/>
          <w:sz w:val="20"/>
          <w:szCs w:val="20"/>
        </w:rPr>
      </w:pPr>
    </w:p>
    <w:p>
      <w:pPr>
        <w:spacing w:after="0" w:line="268" w:lineRule="auto"/>
        <w:ind w:left="489" w:right="300" w:hanging="481"/>
        <w:rPr>
          <w:color w:val="auto"/>
          <w:sz w:val="20"/>
          <w:szCs w:val="20"/>
        </w:rPr>
      </w:pPr>
      <w:r>
        <w:rPr>
          <w:rFonts w:ascii="Times New Roman" w:hAnsi="Times New Roman" w:eastAsia="Times New Roman" w:cs="Times New Roman"/>
          <w:b/>
          <w:bCs/>
          <w:color w:val="auto"/>
          <w:sz w:val="24"/>
          <w:szCs w:val="24"/>
        </w:rPr>
        <w:t>3.1. Identifying Key Performance Indicators (KPIs)</w:t>
      </w:r>
    </w:p>
    <w:p>
      <w:pPr>
        <w:spacing w:after="0" w:line="2" w:lineRule="exact"/>
        <w:rPr>
          <w:color w:val="auto"/>
          <w:sz w:val="20"/>
          <w:szCs w:val="20"/>
        </w:rPr>
      </w:pPr>
    </w:p>
    <w:p>
      <w:pPr>
        <w:spacing w:after="0" w:line="270" w:lineRule="auto"/>
        <w:ind w:left="9" w:firstLine="200"/>
        <w:jc w:val="both"/>
        <w:rPr>
          <w:color w:val="auto"/>
          <w:sz w:val="20"/>
          <w:szCs w:val="20"/>
        </w:rPr>
      </w:pPr>
      <w:r>
        <w:rPr>
          <w:rFonts w:ascii="Times New Roman" w:hAnsi="Times New Roman" w:eastAsia="Times New Roman" w:cs="Times New Roman"/>
          <w:color w:val="auto"/>
          <w:sz w:val="19"/>
          <w:szCs w:val="19"/>
        </w:rPr>
        <w:t>The first step in designing a research incentive mechanism is to identify the key performance indicators (KPIs) that will be used to assess research performance. These indicators should be carefully chosen to align with the specific goals and</w:t>
      </w:r>
    </w:p>
    <w:p>
      <w:pPr>
        <w:spacing w:after="0" w:line="20" w:lineRule="exact"/>
        <w:rPr>
          <w:color w:val="auto"/>
          <w:sz w:val="20"/>
          <w:szCs w:val="20"/>
        </w:rPr>
      </w:pPr>
      <w:r>
        <w:rPr>
          <w:color w:val="auto"/>
          <w:sz w:val="20"/>
          <w:szCs w:val="20"/>
        </w:rPr>
        <w:br w:type="column"/>
      </w:r>
    </w:p>
    <w:p>
      <w:pPr>
        <w:spacing w:after="0" w:line="247" w:lineRule="auto"/>
        <w:ind w:right="40"/>
        <w:jc w:val="both"/>
        <w:rPr>
          <w:color w:val="auto"/>
          <w:sz w:val="20"/>
          <w:szCs w:val="20"/>
        </w:rPr>
      </w:pPr>
      <w:r>
        <w:rPr>
          <w:rFonts w:ascii="Times New Roman" w:hAnsi="Times New Roman" w:eastAsia="Times New Roman" w:cs="Times New Roman"/>
          <w:color w:val="auto"/>
          <w:sz w:val="20"/>
          <w:szCs w:val="20"/>
        </w:rPr>
        <w:t>priorities of the institution. Common KPIs in academia include the number of research publications, citation impact, research funding obtained, and collaborations with other researchers and institutions. However, the selection of KPIs should take into account the unique context and mission of private universities.</w:t>
      </w:r>
    </w:p>
    <w:p>
      <w:pPr>
        <w:spacing w:after="0" w:line="7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 Setting Performance Benchmarks</w:t>
      </w:r>
    </w:p>
    <w:p>
      <w:pPr>
        <w:spacing w:after="0" w:line="66" w:lineRule="exact"/>
        <w:rPr>
          <w:color w:val="auto"/>
          <w:sz w:val="20"/>
          <w:szCs w:val="20"/>
        </w:rPr>
      </w:pPr>
    </w:p>
    <w:p>
      <w:pPr>
        <w:spacing w:after="0" w:line="244" w:lineRule="auto"/>
        <w:ind w:right="40" w:firstLine="200"/>
        <w:jc w:val="both"/>
        <w:rPr>
          <w:color w:val="auto"/>
          <w:sz w:val="20"/>
          <w:szCs w:val="20"/>
        </w:rPr>
      </w:pPr>
      <w:r>
        <w:rPr>
          <w:rFonts w:ascii="Times New Roman" w:hAnsi="Times New Roman" w:eastAsia="Times New Roman" w:cs="Times New Roman"/>
          <w:color w:val="auto"/>
          <w:sz w:val="20"/>
          <w:szCs w:val="20"/>
        </w:rPr>
        <w:t>Once the KPIs are identified, the next step is to establish performance benchmarks or targets. These benchmarks serve as the yardstick against which faculty members' research performance will be evaluated. Benchmarks should be realistic and achievable, considering the resources and constraints of private universities. They should also be dynamic, allowing for adjustments over time as the research environment evolves. Additionally, benchmarks should be designed to encourage continuous improvement and innovation in research activities [2].</w:t>
      </w:r>
    </w:p>
    <w:p>
      <w:pPr>
        <w:spacing w:after="0" w:line="7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3.3. Tailoring Incentives to KPIs</w:t>
      </w:r>
    </w:p>
    <w:p>
      <w:pPr>
        <w:spacing w:after="0" w:line="66" w:lineRule="exact"/>
        <w:rPr>
          <w:color w:val="auto"/>
          <w:sz w:val="20"/>
          <w:szCs w:val="20"/>
        </w:rPr>
      </w:pPr>
    </w:p>
    <w:p>
      <w:pPr>
        <w:spacing w:after="0" w:line="244" w:lineRule="auto"/>
        <w:ind w:right="40" w:firstLine="200"/>
        <w:jc w:val="both"/>
        <w:rPr>
          <w:color w:val="auto"/>
          <w:sz w:val="20"/>
          <w:szCs w:val="20"/>
        </w:rPr>
      </w:pPr>
      <w:r>
        <w:rPr>
          <w:rFonts w:ascii="Times New Roman" w:hAnsi="Times New Roman" w:eastAsia="Times New Roman" w:cs="Times New Roman"/>
          <w:color w:val="auto"/>
          <w:sz w:val="20"/>
          <w:szCs w:val="20"/>
        </w:rPr>
        <w:t>Incentives must be tailored to the specific KPIs and benchmarks. Different KPIs may require different types of incentives. For example, faculty members who excel in publishing high-impact research papers may be rewarded with research grants, while those who secure significant external funding may receive additional resources or reduced teaching loads. It is essential that incentives are attractive and meaningful to faculty members, motivating them to actively engage in research activities.</w:t>
      </w:r>
    </w:p>
    <w:p>
      <w:pPr>
        <w:spacing w:after="0" w:line="7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3.4. Ensuring Transparency and Fairness</w:t>
      </w:r>
    </w:p>
    <w:p>
      <w:pPr>
        <w:spacing w:after="0" w:line="66" w:lineRule="exact"/>
        <w:rPr>
          <w:color w:val="auto"/>
          <w:sz w:val="20"/>
          <w:szCs w:val="20"/>
        </w:rPr>
      </w:pPr>
    </w:p>
    <w:p>
      <w:pPr>
        <w:spacing w:after="0" w:line="243" w:lineRule="auto"/>
        <w:ind w:right="40" w:firstLine="200"/>
        <w:jc w:val="both"/>
        <w:rPr>
          <w:color w:val="auto"/>
          <w:sz w:val="20"/>
          <w:szCs w:val="20"/>
        </w:rPr>
      </w:pPr>
      <w:r>
        <w:rPr>
          <w:rFonts w:ascii="Times New Roman" w:hAnsi="Times New Roman" w:eastAsia="Times New Roman" w:cs="Times New Roman"/>
          <w:color w:val="auto"/>
          <w:sz w:val="20"/>
          <w:szCs w:val="20"/>
        </w:rPr>
        <w:t>Transparency and fairness are crucial elements of any research incentive mechanism. Faculty members should have a clear understanding of how their performance will be evaluated and how incentives will be distributed. Transparency promotes trust in the system and encourages faculty members to invest in their research efforts. Fairness involves equitable treatment of all faculty members and should take into account factors such as career stage, disciplinary differences, and individual circumstances. An equitable distribution of incentives helps maintain a positive and collaborative research environment.</w:t>
      </w:r>
    </w:p>
    <w:p>
      <w:pPr>
        <w:spacing w:after="0" w:line="82" w:lineRule="exact"/>
        <w:rPr>
          <w:color w:val="auto"/>
          <w:sz w:val="20"/>
          <w:szCs w:val="20"/>
        </w:rPr>
      </w:pPr>
    </w:p>
    <w:p>
      <w:pPr>
        <w:spacing w:after="0" w:line="268" w:lineRule="auto"/>
        <w:ind w:left="480" w:right="640" w:hanging="481"/>
        <w:rPr>
          <w:color w:val="auto"/>
          <w:sz w:val="20"/>
          <w:szCs w:val="20"/>
        </w:rPr>
      </w:pPr>
      <w:r>
        <w:rPr>
          <w:rFonts w:ascii="Times New Roman" w:hAnsi="Times New Roman" w:eastAsia="Times New Roman" w:cs="Times New Roman"/>
          <w:b/>
          <w:bCs/>
          <w:color w:val="auto"/>
          <w:sz w:val="24"/>
          <w:szCs w:val="24"/>
        </w:rPr>
        <w:t>3.5. Aligning Incentives with Institutional Goals:</w:t>
      </w:r>
    </w:p>
    <w:p>
      <w:pPr>
        <w:spacing w:after="0" w:line="2" w:lineRule="exact"/>
        <w:rPr>
          <w:color w:val="auto"/>
          <w:sz w:val="20"/>
          <w:szCs w:val="20"/>
        </w:rPr>
      </w:pPr>
    </w:p>
    <w:p>
      <w:pPr>
        <w:spacing w:after="0" w:line="253" w:lineRule="auto"/>
        <w:ind w:right="40" w:firstLine="200"/>
        <w:jc w:val="both"/>
        <w:rPr>
          <w:color w:val="auto"/>
          <w:sz w:val="20"/>
          <w:szCs w:val="20"/>
        </w:rPr>
      </w:pPr>
      <w:r>
        <w:rPr>
          <w:rFonts w:ascii="Times New Roman" w:hAnsi="Times New Roman" w:eastAsia="Times New Roman" w:cs="Times New Roman"/>
          <w:color w:val="auto"/>
          <w:sz w:val="19"/>
          <w:szCs w:val="19"/>
        </w:rPr>
        <w:t>The design of the research incentive mechanism should align with the overarching goals and mission of the private university. While research excellence is a common objective, other institutional priorities, such as teaching quality, community engagement, or interdisciplinary collaboration, should also be considered. The incentive system should be designed to ensure that faculty members contribute to the broader institutional mission while excelling in research[3].</w:t>
      </w:r>
    </w:p>
    <w:p>
      <w:pPr>
        <w:spacing w:after="0" w:line="5" w:lineRule="exact"/>
        <w:rPr>
          <w:color w:val="auto"/>
          <w:sz w:val="20"/>
          <w:szCs w:val="20"/>
        </w:rPr>
      </w:pPr>
    </w:p>
    <w:p>
      <w:pPr>
        <w:spacing w:after="0" w:line="258" w:lineRule="auto"/>
        <w:ind w:firstLine="200"/>
        <w:jc w:val="both"/>
        <w:rPr>
          <w:color w:val="auto"/>
          <w:sz w:val="20"/>
          <w:szCs w:val="20"/>
        </w:rPr>
      </w:pPr>
      <w:r>
        <w:rPr>
          <w:rFonts w:ascii="Times New Roman" w:hAnsi="Times New Roman" w:eastAsia="Times New Roman" w:cs="Times New Roman"/>
          <w:color w:val="auto"/>
          <w:sz w:val="19"/>
          <w:szCs w:val="19"/>
        </w:rPr>
        <w:t>In conclusion, designing a research incentive mechanism in private universities is a complex and multifaceted process that requires careful consideration of various factors. It involves selecting relevant KPIs, setting realistic benchmarks, tailoring incentives, ensuring transparency and fairness, and aligning incentives with institutional goals. A well-designed research incentive mechanism can play a pivotal role in fostering a thriving research culture and promoting research excellence in private higher education institutions.</w:t>
      </w:r>
    </w:p>
    <w:p>
      <w:pPr>
        <w:spacing w:after="0" w:line="615" w:lineRule="exact"/>
        <w:rPr>
          <w:color w:val="auto"/>
          <w:sz w:val="20"/>
          <w:szCs w:val="20"/>
        </w:rPr>
      </w:pPr>
    </w:p>
    <w:p>
      <w:pPr>
        <w:sectPr>
          <w:pgSz w:w="11900" w:h="16840"/>
          <w:pgMar w:top="1112" w:right="804" w:bottom="0" w:left="851" w:header="0" w:footer="0" w:gutter="0"/>
          <w:cols w:equalWidth="0" w:num="2">
            <w:col w:w="4889" w:space="420"/>
            <w:col w:w="4940"/>
          </w:cols>
        </w:sectPr>
      </w:pPr>
    </w:p>
    <w:p>
      <w:pPr>
        <w:spacing w:after="0" w:line="99" w:lineRule="exact"/>
        <w:rPr>
          <w:color w:val="auto"/>
          <w:sz w:val="20"/>
          <w:szCs w:val="20"/>
        </w:rPr>
      </w:pPr>
    </w:p>
    <w:p>
      <w:pPr>
        <w:spacing w:after="0"/>
        <w:ind w:right="51"/>
        <w:jc w:val="center"/>
        <w:rPr>
          <w:color w:val="auto"/>
          <w:sz w:val="20"/>
          <w:szCs w:val="20"/>
        </w:rPr>
      </w:pPr>
      <w:r>
        <w:rPr>
          <w:rFonts w:ascii="Times New Roman" w:hAnsi="Times New Roman" w:eastAsia="Times New Roman" w:cs="Times New Roman"/>
          <w:color w:val="auto"/>
          <w:sz w:val="18"/>
          <w:szCs w:val="18"/>
        </w:rPr>
        <w:t>15</w:t>
      </w:r>
    </w:p>
    <w:p>
      <w:pPr>
        <w:sectPr>
          <w:type w:val="continuous"/>
          <w:pgSz w:w="11900" w:h="16840"/>
          <w:pgMar w:top="1112" w:right="804" w:bottom="0" w:left="851" w:header="0" w:footer="0" w:gutter="0"/>
          <w:cols w:equalWidth="0" w:num="1">
            <w:col w:w="10249"/>
          </w:cols>
        </w:sectPr>
      </w:pPr>
    </w:p>
    <w:p>
      <w:pPr>
        <w:tabs>
          <w:tab w:val="left" w:pos="420"/>
        </w:tabs>
        <w:spacing w:after="0"/>
        <w:rPr>
          <w:color w:val="auto"/>
          <w:sz w:val="20"/>
          <w:szCs w:val="20"/>
        </w:rPr>
      </w:pPr>
      <w:bookmarkStart w:id="1" w:name="page3"/>
      <w:bookmarkEnd w:id="1"/>
      <w:r>
        <w:rPr>
          <w:rFonts w:ascii="Times New Roman" w:hAnsi="Times New Roman" w:eastAsia="Times New Roman" w:cs="Times New Roman"/>
          <w:b/>
          <w:bCs/>
          <w:color w:val="auto"/>
          <w:sz w:val="28"/>
          <w:szCs w:val="28"/>
        </w:rPr>
        <w:t>4.</w:t>
      </w:r>
      <w:r>
        <w:rPr>
          <w:rFonts w:ascii="Times New Roman" w:hAnsi="Times New Roman" w:eastAsia="Times New Roman" w:cs="Times New Roman"/>
          <w:b/>
          <w:bCs/>
          <w:color w:val="auto"/>
          <w:sz w:val="28"/>
          <w:szCs w:val="28"/>
        </w:rPr>
        <w:tab/>
      </w:r>
      <w:r>
        <w:rPr>
          <w:rFonts w:ascii="Times New Roman" w:hAnsi="Times New Roman" w:eastAsia="Times New Roman" w:cs="Times New Roman"/>
          <w:b/>
          <w:bCs/>
          <w:color w:val="auto"/>
          <w:sz w:val="28"/>
          <w:szCs w:val="28"/>
        </w:rPr>
        <w:t>Implementation and Evaluation</w:t>
      </w:r>
    </w:p>
    <w:p>
      <w:pPr>
        <w:spacing w:after="0" w:line="126" w:lineRule="exact"/>
        <w:rPr>
          <w:color w:val="auto"/>
          <w:sz w:val="20"/>
          <w:szCs w:val="20"/>
        </w:rPr>
      </w:pPr>
    </w:p>
    <w:p>
      <w:pPr>
        <w:spacing w:after="0" w:line="247" w:lineRule="auto"/>
        <w:ind w:firstLine="200"/>
        <w:jc w:val="both"/>
        <w:rPr>
          <w:color w:val="auto"/>
          <w:sz w:val="20"/>
          <w:szCs w:val="20"/>
        </w:rPr>
      </w:pPr>
      <w:r>
        <w:rPr>
          <w:rFonts w:ascii="Times New Roman" w:hAnsi="Times New Roman" w:eastAsia="Times New Roman" w:cs="Times New Roman"/>
          <w:color w:val="auto"/>
          <w:sz w:val="20"/>
          <w:szCs w:val="20"/>
        </w:rPr>
        <w:t>Once a research incentive mechanism has been designed for private universities, the next crucial phase involves its implementation and ongoing evaluation. This phase is instrumental in determining the effectiveness of the mechanism in achieving its intended objectives and making necessary adjustments for improvement [4].</w:t>
      </w:r>
    </w:p>
    <w:p>
      <w:pPr>
        <w:spacing w:after="0" w:line="7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4.1. Pilot Implementation</w:t>
      </w:r>
    </w:p>
    <w:p>
      <w:pPr>
        <w:spacing w:after="0" w:line="66" w:lineRule="exact"/>
        <w:rPr>
          <w:color w:val="auto"/>
          <w:sz w:val="20"/>
          <w:szCs w:val="20"/>
        </w:rPr>
      </w:pPr>
    </w:p>
    <w:p>
      <w:pPr>
        <w:spacing w:after="0" w:line="260" w:lineRule="auto"/>
        <w:ind w:firstLine="200"/>
        <w:jc w:val="both"/>
        <w:rPr>
          <w:color w:val="auto"/>
          <w:sz w:val="20"/>
          <w:szCs w:val="20"/>
        </w:rPr>
      </w:pPr>
      <w:r>
        <w:rPr>
          <w:rFonts w:ascii="Times New Roman" w:hAnsi="Times New Roman" w:eastAsia="Times New Roman" w:cs="Times New Roman"/>
          <w:color w:val="auto"/>
          <w:sz w:val="19"/>
          <w:szCs w:val="19"/>
        </w:rPr>
        <w:t>Before rolling out the research incentive mechanism on a university-wide scale, it is advisable to conduct a pilot implementation. This allows for a trial period in which a smaller group of faculty members can participate and provide feedback. The pilot phase helps identify any practical challenges, unanticipated issues, or areas for improvement in the incentive program. Adjustments can be made based on the feedback and lessons learned during this initial stage.</w:t>
      </w:r>
    </w:p>
    <w:p>
      <w:pPr>
        <w:spacing w:after="0" w:line="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 Monitoring and Feedback Mechanisms:</w:t>
      </w:r>
    </w:p>
    <w:p>
      <w:pPr>
        <w:spacing w:after="0" w:line="66" w:lineRule="exact"/>
        <w:rPr>
          <w:color w:val="auto"/>
          <w:sz w:val="20"/>
          <w:szCs w:val="20"/>
        </w:rPr>
      </w:pPr>
    </w:p>
    <w:p>
      <w:pPr>
        <w:spacing w:after="0" w:line="244" w:lineRule="auto"/>
        <w:ind w:firstLine="200"/>
        <w:jc w:val="both"/>
        <w:rPr>
          <w:color w:val="auto"/>
          <w:sz w:val="20"/>
          <w:szCs w:val="20"/>
        </w:rPr>
      </w:pPr>
      <w:r>
        <w:rPr>
          <w:rFonts w:ascii="Times New Roman" w:hAnsi="Times New Roman" w:eastAsia="Times New Roman" w:cs="Times New Roman"/>
          <w:color w:val="auto"/>
          <w:sz w:val="20"/>
          <w:szCs w:val="20"/>
        </w:rPr>
        <w:t>Continuous monitoring of the incentive mechanism is essential to ensure its smooth functioning and to gather data on its impact. Regular data collection on research performance indicators, faculty participation, and incentive distribution should be carried out. Feedback mechanisms, such as surveys or focus group discussions, should be established to gather input from faculty members and administrators. This feedback is invaluable in making real-time adjustments to address concerns and improve the incentive program's effectiveness[5].</w:t>
      </w:r>
    </w:p>
    <w:p>
      <w:pPr>
        <w:spacing w:after="0" w:line="20" w:lineRule="exact"/>
        <w:rPr>
          <w:color w:val="auto"/>
          <w:sz w:val="20"/>
          <w:szCs w:val="20"/>
        </w:rPr>
      </w:pPr>
      <w:r>
        <w:rPr>
          <w:color w:val="auto"/>
          <w:sz w:val="20"/>
          <w:szCs w:val="20"/>
        </w:rPr>
        <w:br w:type="column"/>
      </w:r>
    </w:p>
    <w:p>
      <w:pPr>
        <w:spacing w:after="0" w:line="28" w:lineRule="exact"/>
        <w:rPr>
          <w:color w:val="auto"/>
          <w:sz w:val="20"/>
          <w:szCs w:val="20"/>
        </w:rPr>
      </w:pPr>
    </w:p>
    <w:p>
      <w:pPr>
        <w:spacing w:after="0" w:line="241" w:lineRule="auto"/>
        <w:jc w:val="both"/>
        <w:rPr>
          <w:color w:val="auto"/>
          <w:sz w:val="20"/>
          <w:szCs w:val="20"/>
        </w:rPr>
      </w:pPr>
      <w:r>
        <w:rPr>
          <w:rFonts w:ascii="Times New Roman" w:hAnsi="Times New Roman" w:eastAsia="Times New Roman" w:cs="Times New Roman"/>
          <w:color w:val="auto"/>
          <w:sz w:val="20"/>
          <w:szCs w:val="20"/>
        </w:rPr>
        <w:t>program to align it with evolving institutional goals and the changing research landscape. Additionally, sharing successful practices and lessons learned with other private universities can contribute to the broader improvement of research culture in the sector.</w:t>
      </w:r>
    </w:p>
    <w:p>
      <w:pPr>
        <w:spacing w:after="0" w:line="3" w:lineRule="exact"/>
        <w:rPr>
          <w:color w:val="auto"/>
          <w:sz w:val="20"/>
          <w:szCs w:val="20"/>
        </w:rPr>
      </w:pPr>
    </w:p>
    <w:p>
      <w:pPr>
        <w:spacing w:after="0" w:line="243" w:lineRule="auto"/>
        <w:ind w:firstLine="200"/>
        <w:jc w:val="both"/>
        <w:rPr>
          <w:color w:val="auto"/>
          <w:sz w:val="20"/>
          <w:szCs w:val="20"/>
        </w:rPr>
      </w:pPr>
      <w:r>
        <w:rPr>
          <w:rFonts w:ascii="Times New Roman" w:hAnsi="Times New Roman" w:eastAsia="Times New Roman" w:cs="Times New Roman"/>
          <w:color w:val="auto"/>
          <w:sz w:val="20"/>
          <w:szCs w:val="20"/>
        </w:rPr>
        <w:t>In conclusion, the implementation and evaluation phase of a research incentive mechanism in private universities is a dynamic and iterative process. It involves piloting the program, monitoring its performance, assessing its impact, addressing challenges, and continuously learning and improving. By carefully managing this phase, private universities can refine their incentive mechanisms to effectively promote research excellence, motivate faculty members, and cultivate a vibrant research culture that aligns with their institutional mission and goals[7].</w:t>
      </w:r>
    </w:p>
    <w:p>
      <w:pPr>
        <w:spacing w:after="0" w:line="96"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auto"/>
          <w:sz w:val="28"/>
          <w:szCs w:val="28"/>
        </w:rPr>
        <w:t>5.</w:t>
      </w:r>
      <w:r>
        <w:rPr>
          <w:color w:val="auto"/>
          <w:sz w:val="20"/>
          <w:szCs w:val="20"/>
        </w:rPr>
        <w:tab/>
      </w:r>
      <w:r>
        <w:rPr>
          <w:rFonts w:ascii="Times New Roman" w:hAnsi="Times New Roman" w:eastAsia="Times New Roman" w:cs="Times New Roman"/>
          <w:b/>
          <w:bCs/>
          <w:color w:val="auto"/>
          <w:sz w:val="27"/>
          <w:szCs w:val="27"/>
        </w:rPr>
        <w:t>Implementation and Evaluation</w:t>
      </w:r>
    </w:p>
    <w:p>
      <w:pPr>
        <w:spacing w:after="0" w:line="11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5.1. Pilot Implementation:</w:t>
      </w:r>
    </w:p>
    <w:p>
      <w:pPr>
        <w:spacing w:after="0" w:line="66" w:lineRule="exact"/>
        <w:rPr>
          <w:color w:val="auto"/>
          <w:sz w:val="20"/>
          <w:szCs w:val="20"/>
        </w:rPr>
      </w:pPr>
    </w:p>
    <w:p>
      <w:pPr>
        <w:spacing w:after="0" w:line="243" w:lineRule="auto"/>
        <w:ind w:firstLine="200"/>
        <w:jc w:val="both"/>
        <w:rPr>
          <w:color w:val="auto"/>
          <w:sz w:val="20"/>
          <w:szCs w:val="20"/>
        </w:rPr>
      </w:pPr>
      <w:r>
        <w:rPr>
          <w:rFonts w:ascii="Times New Roman" w:hAnsi="Times New Roman" w:eastAsia="Times New Roman" w:cs="Times New Roman"/>
          <w:color w:val="auto"/>
          <w:sz w:val="20"/>
          <w:szCs w:val="20"/>
        </w:rPr>
        <w:t>The successful implementation of a research incentive mechanism in private universities often begins with a pilot phase. During this phase, a select group of faculty members participates in the program on a smaller scale before it is rolled out university-wide. The pilot implementation serves several important purposes. It allows for the testing of the incentive structure and processes, the identification of potential challenges, and the collection of initial feedback from participants. The insights gained from the pilot phase are invaluable in refining and optimizing the mechanism before full-scale implementation.</w:t>
      </w:r>
    </w:p>
    <w:p>
      <w:pPr>
        <w:spacing w:after="0" w:line="18" w:lineRule="exact"/>
        <w:rPr>
          <w:color w:val="auto"/>
          <w:sz w:val="20"/>
          <w:szCs w:val="20"/>
        </w:rPr>
      </w:pPr>
    </w:p>
    <w:p>
      <w:pPr>
        <w:sectPr>
          <w:pgSz w:w="11900" w:h="16840"/>
          <w:pgMar w:top="1064" w:right="844" w:bottom="0" w:left="860" w:header="0" w:footer="0" w:gutter="0"/>
          <w:cols w:equalWidth="0" w:num="2">
            <w:col w:w="4880" w:space="420"/>
            <w:col w:w="4900"/>
          </w:cols>
        </w:sectPr>
      </w:pPr>
    </w:p>
    <w:p>
      <w:pPr>
        <w:spacing w:after="0" w:line="268" w:lineRule="auto"/>
        <w:ind w:left="480" w:right="940" w:hanging="481"/>
        <w:rPr>
          <w:color w:val="auto"/>
          <w:sz w:val="20"/>
          <w:szCs w:val="20"/>
        </w:rPr>
      </w:pPr>
      <w:r>
        <w:rPr>
          <w:rFonts w:ascii="Times New Roman" w:hAnsi="Times New Roman" w:eastAsia="Times New Roman" w:cs="Times New Roman"/>
          <w:b/>
          <w:bCs/>
          <w:color w:val="auto"/>
          <w:sz w:val="24"/>
          <w:szCs w:val="24"/>
        </w:rPr>
        <w:t>4.3. Assessing the Impact on Research Productivity:</w:t>
      </w:r>
    </w:p>
    <w:p>
      <w:pPr>
        <w:spacing w:after="0" w:line="2" w:lineRule="exact"/>
        <w:rPr>
          <w:color w:val="auto"/>
          <w:sz w:val="20"/>
          <w:szCs w:val="20"/>
        </w:rPr>
      </w:pPr>
    </w:p>
    <w:p>
      <w:pPr>
        <w:spacing w:after="0" w:line="244" w:lineRule="auto"/>
        <w:ind w:firstLine="200"/>
        <w:jc w:val="both"/>
        <w:rPr>
          <w:color w:val="auto"/>
          <w:sz w:val="20"/>
          <w:szCs w:val="20"/>
        </w:rPr>
      </w:pPr>
      <w:r>
        <w:rPr>
          <w:rFonts w:ascii="Times New Roman" w:hAnsi="Times New Roman" w:eastAsia="Times New Roman" w:cs="Times New Roman"/>
          <w:color w:val="auto"/>
          <w:sz w:val="20"/>
          <w:szCs w:val="20"/>
        </w:rPr>
        <w:t>The primary goal of the research incentive mechanism is to enhance research productivity within private universities. To assess its impact, quantitative and qualitative measures should be employed. Quantitative measures may include tracking changes in research output, such as an increase in the number of publications, research funding obtained, or citations. Qualitative measures involve gathering faculty members' perceptions and experiences related to the incentive program, gauging whether it has positively influenced their research activities and motivation.</w:t>
      </w:r>
    </w:p>
    <w:p>
      <w:pPr>
        <w:spacing w:after="0" w:line="75" w:lineRule="exact"/>
        <w:rPr>
          <w:color w:val="auto"/>
          <w:sz w:val="20"/>
          <w:szCs w:val="20"/>
        </w:rPr>
      </w:pPr>
    </w:p>
    <w:p>
      <w:pPr>
        <w:spacing w:after="0" w:line="268" w:lineRule="auto"/>
        <w:ind w:left="480" w:right="760" w:hanging="481"/>
        <w:rPr>
          <w:color w:val="auto"/>
          <w:sz w:val="20"/>
          <w:szCs w:val="20"/>
        </w:rPr>
      </w:pPr>
      <w:r>
        <w:rPr>
          <w:rFonts w:ascii="Times New Roman" w:hAnsi="Times New Roman" w:eastAsia="Times New Roman" w:cs="Times New Roman"/>
          <w:b/>
          <w:bCs/>
          <w:color w:val="auto"/>
          <w:sz w:val="24"/>
          <w:szCs w:val="24"/>
        </w:rPr>
        <w:t>4.4. Addressing Challenges and Making Adjustments:</w:t>
      </w:r>
    </w:p>
    <w:p>
      <w:pPr>
        <w:spacing w:after="0" w:line="2" w:lineRule="exact"/>
        <w:rPr>
          <w:color w:val="auto"/>
          <w:sz w:val="20"/>
          <w:szCs w:val="20"/>
        </w:rPr>
      </w:pPr>
    </w:p>
    <w:p>
      <w:pPr>
        <w:spacing w:after="0" w:line="244" w:lineRule="auto"/>
        <w:ind w:firstLine="200"/>
        <w:jc w:val="both"/>
        <w:rPr>
          <w:color w:val="auto"/>
          <w:sz w:val="20"/>
          <w:szCs w:val="20"/>
        </w:rPr>
      </w:pPr>
      <w:r>
        <w:rPr>
          <w:rFonts w:ascii="Times New Roman" w:hAnsi="Times New Roman" w:eastAsia="Times New Roman" w:cs="Times New Roman"/>
          <w:color w:val="auto"/>
          <w:sz w:val="20"/>
          <w:szCs w:val="20"/>
        </w:rPr>
        <w:t>Challenges are likely to arise during the implementation phase, and it is essential to address them promptly. Common challenges may include resistance to change, concerns about fairness, or unintended consequences, such as a narrow focus on quantity over research quality. Strategies should be developed to address these challenges, which may involve refining incentive structures, providing additional support, or enhancing communication about the program's goals and benefits. Flexibility and adaptability are key in responding to unforeseen issues [6].</w:t>
      </w:r>
    </w:p>
    <w:p>
      <w:pPr>
        <w:spacing w:after="0" w:line="76" w:lineRule="exact"/>
        <w:rPr>
          <w:color w:val="auto"/>
          <w:sz w:val="20"/>
          <w:szCs w:val="20"/>
        </w:rPr>
      </w:pPr>
    </w:p>
    <w:p>
      <w:pPr>
        <w:spacing w:after="0" w:line="268" w:lineRule="auto"/>
        <w:ind w:left="480" w:right="1480" w:hanging="481"/>
        <w:rPr>
          <w:color w:val="auto"/>
          <w:sz w:val="20"/>
          <w:szCs w:val="20"/>
        </w:rPr>
      </w:pPr>
      <w:r>
        <w:rPr>
          <w:rFonts w:ascii="Times New Roman" w:hAnsi="Times New Roman" w:eastAsia="Times New Roman" w:cs="Times New Roman"/>
          <w:b/>
          <w:bCs/>
          <w:color w:val="auto"/>
          <w:sz w:val="24"/>
          <w:szCs w:val="24"/>
        </w:rPr>
        <w:t>4.5. Lessons Learned and Future Recommendations:</w:t>
      </w:r>
    </w:p>
    <w:p>
      <w:pPr>
        <w:spacing w:after="0" w:line="1" w:lineRule="exact"/>
        <w:rPr>
          <w:color w:val="auto"/>
          <w:sz w:val="20"/>
          <w:szCs w:val="20"/>
        </w:rPr>
      </w:pPr>
    </w:p>
    <w:p>
      <w:pPr>
        <w:spacing w:after="0" w:line="250" w:lineRule="auto"/>
        <w:ind w:firstLine="200"/>
        <w:jc w:val="both"/>
        <w:rPr>
          <w:color w:val="auto"/>
          <w:sz w:val="20"/>
          <w:szCs w:val="20"/>
        </w:rPr>
      </w:pPr>
      <w:r>
        <w:rPr>
          <w:rFonts w:ascii="Times New Roman" w:hAnsi="Times New Roman" w:eastAsia="Times New Roman" w:cs="Times New Roman"/>
          <w:color w:val="auto"/>
          <w:sz w:val="20"/>
          <w:szCs w:val="20"/>
        </w:rPr>
        <w:t>As the research incentive mechanism operates over time, valuable lessons will be learned about its strengths and weaknesses. These insights should be documented and analyzed to inform future recommendations. It may be necessary to periodically review and update the incentive</w:t>
      </w:r>
    </w:p>
    <w:p>
      <w:pPr>
        <w:spacing w:after="0" w:line="20" w:lineRule="exact"/>
        <w:rPr>
          <w:color w:val="auto"/>
          <w:sz w:val="20"/>
          <w:szCs w:val="20"/>
        </w:rPr>
      </w:pPr>
      <w:r>
        <w:rPr>
          <w:color w:val="auto"/>
          <w:sz w:val="20"/>
          <w:szCs w:val="20"/>
        </w:rPr>
        <w:br w:type="column"/>
      </w:r>
    </w:p>
    <w:p>
      <w:pPr>
        <w:spacing w:after="0" w:line="44" w:lineRule="exact"/>
        <w:rPr>
          <w:color w:val="auto"/>
          <w:sz w:val="20"/>
          <w:szCs w:val="20"/>
        </w:rPr>
      </w:pPr>
    </w:p>
    <w:p>
      <w:pPr>
        <w:spacing w:after="0"/>
        <w:ind w:right="400"/>
        <w:jc w:val="center"/>
        <w:rPr>
          <w:color w:val="auto"/>
          <w:sz w:val="20"/>
          <w:szCs w:val="20"/>
        </w:rPr>
      </w:pPr>
      <w:r>
        <w:rPr>
          <w:rFonts w:ascii="Times New Roman" w:hAnsi="Times New Roman" w:eastAsia="Times New Roman" w:cs="Times New Roman"/>
          <w:b/>
          <w:bCs/>
          <w:color w:val="auto"/>
          <w:sz w:val="24"/>
          <w:szCs w:val="24"/>
        </w:rPr>
        <w:t>5.2. Monitoring and Feedback Mechanisms</w:t>
      </w:r>
    </w:p>
    <w:p>
      <w:pPr>
        <w:spacing w:after="0" w:line="66" w:lineRule="exact"/>
        <w:rPr>
          <w:color w:val="auto"/>
          <w:sz w:val="20"/>
          <w:szCs w:val="20"/>
        </w:rPr>
      </w:pPr>
    </w:p>
    <w:p>
      <w:pPr>
        <w:spacing w:after="0" w:line="257" w:lineRule="auto"/>
        <w:ind w:firstLine="200"/>
        <w:jc w:val="both"/>
        <w:rPr>
          <w:color w:val="auto"/>
          <w:sz w:val="20"/>
          <w:szCs w:val="20"/>
        </w:rPr>
      </w:pPr>
      <w:r>
        <w:rPr>
          <w:rFonts w:ascii="Times New Roman" w:hAnsi="Times New Roman" w:eastAsia="Times New Roman" w:cs="Times New Roman"/>
          <w:color w:val="auto"/>
          <w:sz w:val="19"/>
          <w:szCs w:val="19"/>
        </w:rPr>
        <w:t>Continuous monitoring and feedback mechanisms are vital for the ongoing assessment and improvement of the research incentive program. Monitoring involves the systematic collection of data related to research performance indicators, faculty participation, and incentive distribution. This data provides quantitative insights into the program's impact. Concurrently, feedback mechanisms, such as surveys, focus group discussions, or one-on- one interviews, allow faculty members and administrators to share their experiences, concerns, and suggestions regarding the program. Regular feedback cycles help in identifying issues, gauging faculty satisfaction, and making informed adjustments as needed[8].</w:t>
      </w:r>
    </w:p>
    <w:p>
      <w:pPr>
        <w:spacing w:after="0" w:line="66" w:lineRule="exact"/>
        <w:rPr>
          <w:color w:val="auto"/>
          <w:sz w:val="20"/>
          <w:szCs w:val="20"/>
        </w:rPr>
      </w:pPr>
    </w:p>
    <w:p>
      <w:pPr>
        <w:spacing w:after="0" w:line="268" w:lineRule="auto"/>
        <w:ind w:left="480" w:right="960" w:hanging="481"/>
        <w:rPr>
          <w:color w:val="auto"/>
          <w:sz w:val="20"/>
          <w:szCs w:val="20"/>
        </w:rPr>
      </w:pPr>
      <w:r>
        <w:rPr>
          <w:rFonts w:ascii="Times New Roman" w:hAnsi="Times New Roman" w:eastAsia="Times New Roman" w:cs="Times New Roman"/>
          <w:b/>
          <w:bCs/>
          <w:color w:val="auto"/>
          <w:sz w:val="24"/>
          <w:szCs w:val="24"/>
        </w:rPr>
        <w:t>5.3. Assessing the Impact on Research Productivity</w:t>
      </w:r>
    </w:p>
    <w:p>
      <w:pPr>
        <w:spacing w:after="0" w:line="2" w:lineRule="exact"/>
        <w:rPr>
          <w:color w:val="auto"/>
          <w:sz w:val="20"/>
          <w:szCs w:val="20"/>
        </w:rPr>
      </w:pPr>
    </w:p>
    <w:p>
      <w:pPr>
        <w:spacing w:after="0" w:line="243" w:lineRule="auto"/>
        <w:ind w:firstLine="200"/>
        <w:jc w:val="both"/>
        <w:rPr>
          <w:color w:val="auto"/>
          <w:sz w:val="20"/>
          <w:szCs w:val="20"/>
        </w:rPr>
      </w:pPr>
      <w:r>
        <w:rPr>
          <w:rFonts w:ascii="Times New Roman" w:hAnsi="Times New Roman" w:eastAsia="Times New Roman" w:cs="Times New Roman"/>
          <w:color w:val="auto"/>
          <w:sz w:val="20"/>
          <w:szCs w:val="20"/>
        </w:rPr>
        <w:t>One of the primary objectives of the research incentive mechanism is to enhance research productivity within private universities. To assess the impact, both quantitative and qualitative measures are employed. Quantitative measures include tracking changes in research output, such as the number of research publications, citations, research funding obtained, and collaborations initiated. These indicators provide tangible evidence of the program's influence on research productivity. Qualitative assessments involve gathering faculty members' perceptions and experiences related to the incentive program. This qualitative data helps in understanding whether the program has positively influenced motivation, research culture, and the overall research environment.</w:t>
      </w:r>
    </w:p>
    <w:p>
      <w:pPr>
        <w:spacing w:after="0" w:line="920" w:lineRule="exact"/>
        <w:rPr>
          <w:color w:val="auto"/>
          <w:sz w:val="20"/>
          <w:szCs w:val="20"/>
        </w:rPr>
      </w:pPr>
    </w:p>
    <w:p>
      <w:pPr>
        <w:sectPr>
          <w:type w:val="continuous"/>
          <w:pgSz w:w="11900" w:h="16840"/>
          <w:pgMar w:top="1064" w:right="844" w:bottom="0" w:left="860" w:header="0" w:footer="0" w:gutter="0"/>
          <w:cols w:equalWidth="0" w:num="2">
            <w:col w:w="4880" w:space="420"/>
            <w:col w:w="4900"/>
          </w:cols>
        </w:sectPr>
      </w:pPr>
    </w:p>
    <w:p>
      <w:pPr>
        <w:spacing w:after="0" w:line="3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16</w:t>
      </w:r>
    </w:p>
    <w:p>
      <w:pPr>
        <w:sectPr>
          <w:type w:val="continuous"/>
          <w:pgSz w:w="11900" w:h="16840"/>
          <w:pgMar w:top="1064" w:right="844" w:bottom="0" w:left="860" w:header="0" w:footer="0" w:gutter="0"/>
          <w:cols w:equalWidth="0" w:num="1">
            <w:col w:w="10200"/>
          </w:cols>
        </w:sectPr>
      </w:pPr>
    </w:p>
    <w:p>
      <w:pPr>
        <w:spacing w:after="0" w:line="268" w:lineRule="auto"/>
        <w:ind w:left="480" w:right="760" w:hanging="481"/>
        <w:rPr>
          <w:color w:val="auto"/>
          <w:sz w:val="20"/>
          <w:szCs w:val="20"/>
        </w:rPr>
      </w:pPr>
      <w:bookmarkStart w:id="2" w:name="page4"/>
      <w:bookmarkEnd w:id="2"/>
      <w:r>
        <w:rPr>
          <w:rFonts w:ascii="Times New Roman" w:hAnsi="Times New Roman" w:eastAsia="Times New Roman" w:cs="Times New Roman"/>
          <w:b/>
          <w:bCs/>
          <w:color w:val="auto"/>
          <w:sz w:val="24"/>
          <w:szCs w:val="24"/>
        </w:rPr>
        <w:t>5.4. Addressing Challenges and Making Adjustments</w:t>
      </w:r>
    </w:p>
    <w:p>
      <w:pPr>
        <w:spacing w:after="0" w:line="2" w:lineRule="exact"/>
        <w:rPr>
          <w:color w:val="auto"/>
          <w:sz w:val="20"/>
          <w:szCs w:val="20"/>
        </w:rPr>
      </w:pPr>
    </w:p>
    <w:p>
      <w:pPr>
        <w:spacing w:after="0" w:line="243" w:lineRule="auto"/>
        <w:ind w:firstLine="200"/>
        <w:jc w:val="both"/>
        <w:rPr>
          <w:color w:val="auto"/>
          <w:sz w:val="20"/>
          <w:szCs w:val="20"/>
        </w:rPr>
      </w:pPr>
      <w:r>
        <w:rPr>
          <w:rFonts w:ascii="Times New Roman" w:hAnsi="Times New Roman" w:eastAsia="Times New Roman" w:cs="Times New Roman"/>
          <w:color w:val="auto"/>
          <w:sz w:val="20"/>
          <w:szCs w:val="20"/>
        </w:rPr>
        <w:t>Challenges are an inherent part of implementing any incentive program. They may include faculty resistance to change, concerns about fairness, unintended consequences, or operational difficulties. Addressing these challenges is crucial to ensure the program's effectiveness. Strategies should be developed to mitigate issues as they arise. For instance, if faculty members express concerns about the fairness of the incentive structure, adjustments may be made to improve its equity. Flexibility is key in making timely adjustments to address unforeseen challenges and to maintain faculty engagement [9].</w:t>
      </w:r>
    </w:p>
    <w:p>
      <w:pPr>
        <w:spacing w:after="0" w:line="82" w:lineRule="exact"/>
        <w:rPr>
          <w:color w:val="auto"/>
          <w:sz w:val="20"/>
          <w:szCs w:val="20"/>
        </w:rPr>
      </w:pPr>
    </w:p>
    <w:p>
      <w:pPr>
        <w:spacing w:after="0" w:line="268" w:lineRule="auto"/>
        <w:ind w:left="480" w:right="1480" w:hanging="481"/>
        <w:rPr>
          <w:color w:val="auto"/>
          <w:sz w:val="20"/>
          <w:szCs w:val="20"/>
        </w:rPr>
      </w:pPr>
      <w:r>
        <w:rPr>
          <w:rFonts w:ascii="Times New Roman" w:hAnsi="Times New Roman" w:eastAsia="Times New Roman" w:cs="Times New Roman"/>
          <w:b/>
          <w:bCs/>
          <w:color w:val="auto"/>
          <w:sz w:val="24"/>
          <w:szCs w:val="24"/>
        </w:rPr>
        <w:t>5.5. Lessons Learned and Future Recommendations</w:t>
      </w:r>
    </w:p>
    <w:p>
      <w:pPr>
        <w:spacing w:after="0" w:line="2" w:lineRule="exact"/>
        <w:rPr>
          <w:color w:val="auto"/>
          <w:sz w:val="20"/>
          <w:szCs w:val="20"/>
        </w:rPr>
      </w:pPr>
    </w:p>
    <w:p>
      <w:pPr>
        <w:spacing w:after="0"/>
        <w:ind w:firstLine="200"/>
        <w:jc w:val="both"/>
        <w:rPr>
          <w:color w:val="auto"/>
          <w:sz w:val="20"/>
          <w:szCs w:val="20"/>
        </w:rPr>
      </w:pPr>
      <w:r>
        <w:rPr>
          <w:rFonts w:ascii="Times New Roman" w:hAnsi="Times New Roman" w:eastAsia="Times New Roman" w:cs="Times New Roman"/>
          <w:color w:val="auto"/>
          <w:sz w:val="20"/>
          <w:szCs w:val="20"/>
        </w:rPr>
        <w:t>As the research incentive mechanism operates over time, valuable lessons will be learned about its strengths and weaknesses. These insights should be documented and analyzed to inform future recommendations. Such documentation can take the form of reports, case studies, or academic papers. It may be necessary to periodically review and update the incentive program to align it with evolving institutional goals and adapt to changing research dynamics. Furthermore, sharing successful practices, lessons learned, and research-based recommendations with other private universities can contribute to the continuous improvement of research culture in the sector, fostering collaboration and knowledge sharing within the academic community.</w:t>
      </w:r>
    </w:p>
    <w:p>
      <w:pPr>
        <w:spacing w:after="0" w:line="7" w:lineRule="exact"/>
        <w:rPr>
          <w:color w:val="auto"/>
          <w:sz w:val="20"/>
          <w:szCs w:val="20"/>
        </w:rPr>
      </w:pPr>
    </w:p>
    <w:p>
      <w:pPr>
        <w:spacing w:after="0" w:line="243" w:lineRule="auto"/>
        <w:ind w:firstLine="200"/>
        <w:jc w:val="both"/>
        <w:rPr>
          <w:color w:val="auto"/>
          <w:sz w:val="20"/>
          <w:szCs w:val="20"/>
        </w:rPr>
      </w:pPr>
      <w:r>
        <w:rPr>
          <w:rFonts w:ascii="Times New Roman" w:hAnsi="Times New Roman" w:eastAsia="Times New Roman" w:cs="Times New Roman"/>
          <w:color w:val="auto"/>
          <w:sz w:val="20"/>
          <w:szCs w:val="20"/>
        </w:rPr>
        <w:t>In summary, the implementation and evaluation of a research incentive mechanism in private universities is a dynamic and iterative process. The pilot phase allows for initial testing and adjustments, while continuous monitoring and feedback mechanisms ensure ongoing assessment. Assessing the program's impact, addressing challenges, and documenting lessons learned are integral parts of refining the mechanism and promoting research excellence in the private university setting[10].</w:t>
      </w:r>
    </w:p>
    <w:p>
      <w:pPr>
        <w:spacing w:after="0" w:line="98" w:lineRule="exact"/>
        <w:rPr>
          <w:color w:val="auto"/>
          <w:sz w:val="20"/>
          <w:szCs w:val="20"/>
        </w:rPr>
      </w:pPr>
    </w:p>
    <w:p>
      <w:pPr>
        <w:tabs>
          <w:tab w:val="left" w:pos="420"/>
        </w:tabs>
        <w:spacing w:after="0"/>
        <w:rPr>
          <w:color w:val="auto"/>
          <w:sz w:val="20"/>
          <w:szCs w:val="20"/>
        </w:rPr>
      </w:pPr>
      <w:r>
        <w:rPr>
          <w:rFonts w:ascii="Times New Roman" w:hAnsi="Times New Roman" w:eastAsia="Times New Roman" w:cs="Times New Roman"/>
          <w:b/>
          <w:bCs/>
          <w:color w:val="auto"/>
          <w:sz w:val="28"/>
          <w:szCs w:val="28"/>
        </w:rPr>
        <w:t>6.</w:t>
      </w:r>
      <w:r>
        <w:rPr>
          <w:rFonts w:ascii="Times New Roman" w:hAnsi="Times New Roman" w:eastAsia="Times New Roman" w:cs="Times New Roman"/>
          <w:b/>
          <w:bCs/>
          <w:color w:val="auto"/>
          <w:sz w:val="28"/>
          <w:szCs w:val="28"/>
        </w:rPr>
        <w:tab/>
      </w:r>
      <w:r>
        <w:rPr>
          <w:rFonts w:ascii="Times New Roman" w:hAnsi="Times New Roman" w:eastAsia="Times New Roman" w:cs="Times New Roman"/>
          <w:b/>
          <w:bCs/>
          <w:color w:val="auto"/>
          <w:sz w:val="28"/>
          <w:szCs w:val="28"/>
        </w:rPr>
        <w:t>Conclusion</w:t>
      </w:r>
    </w:p>
    <w:p>
      <w:pPr>
        <w:spacing w:after="0" w:line="126" w:lineRule="exact"/>
        <w:rPr>
          <w:color w:val="auto"/>
          <w:sz w:val="20"/>
          <w:szCs w:val="20"/>
        </w:rPr>
      </w:pPr>
    </w:p>
    <w:p>
      <w:pPr>
        <w:spacing w:after="0" w:line="241" w:lineRule="auto"/>
        <w:ind w:firstLine="200"/>
        <w:jc w:val="both"/>
        <w:rPr>
          <w:color w:val="auto"/>
          <w:sz w:val="20"/>
          <w:szCs w:val="20"/>
        </w:rPr>
      </w:pPr>
      <w:r>
        <w:rPr>
          <w:rFonts w:ascii="Times New Roman" w:hAnsi="Times New Roman" w:eastAsia="Times New Roman" w:cs="Times New Roman"/>
          <w:color w:val="auto"/>
          <w:sz w:val="20"/>
          <w:szCs w:val="20"/>
        </w:rPr>
        <w:t>In conclusion, the design and implementation of a research incentive mechanism in private universities is a multifaceted process that requires careful consideration, adaptability, and continuous evaluation. Through this mechanism, these institutions can foster a vibrant research culture, motivate faculty members, and ultimately enhance their research productivity.</w:t>
      </w:r>
    </w:p>
    <w:p>
      <w:pPr>
        <w:spacing w:after="0" w:line="2" w:lineRule="exact"/>
        <w:rPr>
          <w:color w:val="auto"/>
          <w:sz w:val="20"/>
          <w:szCs w:val="20"/>
        </w:rPr>
      </w:pPr>
    </w:p>
    <w:p>
      <w:pPr>
        <w:spacing w:after="0" w:line="239" w:lineRule="auto"/>
        <w:ind w:firstLine="200"/>
        <w:jc w:val="both"/>
        <w:rPr>
          <w:color w:val="auto"/>
          <w:sz w:val="20"/>
          <w:szCs w:val="20"/>
        </w:rPr>
      </w:pPr>
      <w:r>
        <w:rPr>
          <w:rFonts w:ascii="Times New Roman" w:hAnsi="Times New Roman" w:eastAsia="Times New Roman" w:cs="Times New Roman"/>
          <w:color w:val="auto"/>
          <w:sz w:val="20"/>
          <w:szCs w:val="20"/>
        </w:rPr>
        <w:t>The pilot implementation phase provides an invaluable opportunity to refine the incentive program, addressing any challenges and concerns before full-scale implementation. Continuous monitoring and feedback mechanisms allow for real-time adjustments, ensuring that the program remains responsive to the evolving needs of faculty members and the institution.</w:t>
      </w:r>
    </w:p>
    <w:p>
      <w:pPr>
        <w:spacing w:after="0" w:line="6" w:lineRule="exact"/>
        <w:rPr>
          <w:color w:val="auto"/>
          <w:sz w:val="20"/>
          <w:szCs w:val="20"/>
        </w:rPr>
      </w:pPr>
    </w:p>
    <w:p>
      <w:pPr>
        <w:spacing w:after="0" w:line="250" w:lineRule="auto"/>
        <w:ind w:firstLine="200"/>
        <w:jc w:val="both"/>
        <w:rPr>
          <w:color w:val="auto"/>
          <w:sz w:val="20"/>
          <w:szCs w:val="20"/>
        </w:rPr>
      </w:pPr>
      <w:r>
        <w:rPr>
          <w:rFonts w:ascii="Times New Roman" w:hAnsi="Times New Roman" w:eastAsia="Times New Roman" w:cs="Times New Roman"/>
          <w:color w:val="auto"/>
          <w:sz w:val="20"/>
          <w:szCs w:val="20"/>
        </w:rPr>
        <w:t>Assessing the impact of the incentive mechanism on research productivity, both quantitatively and qualitatively, helps gauge its effectiveness. It provides evidence of the program's influence on research output, collaborations, and</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0"/>
          <w:szCs w:val="20"/>
        </w:rPr>
        <w:t>the overall research environment.</w:t>
      </w:r>
    </w:p>
    <w:p>
      <w:pPr>
        <w:spacing w:after="0" w:line="7" w:lineRule="exact"/>
        <w:rPr>
          <w:color w:val="auto"/>
          <w:sz w:val="20"/>
          <w:szCs w:val="20"/>
        </w:rPr>
      </w:pPr>
    </w:p>
    <w:p>
      <w:pPr>
        <w:spacing w:after="0"/>
        <w:ind w:firstLine="200"/>
        <w:jc w:val="both"/>
        <w:rPr>
          <w:color w:val="auto"/>
          <w:sz w:val="20"/>
          <w:szCs w:val="20"/>
        </w:rPr>
      </w:pPr>
      <w:r>
        <w:rPr>
          <w:rFonts w:ascii="Times New Roman" w:hAnsi="Times New Roman" w:eastAsia="Times New Roman" w:cs="Times New Roman"/>
          <w:color w:val="auto"/>
          <w:sz w:val="20"/>
          <w:szCs w:val="20"/>
        </w:rPr>
        <w:t>Challenges are inevitable, but they can be effectively addressed through strategic adjustments and a commitment to fairness and transparency. Lessons learned during the process should guide future recommendations and refinements, contributing to the long-term success of research incentive mechanisms in private universities.</w:t>
      </w:r>
    </w:p>
    <w:p>
      <w:pPr>
        <w:spacing w:after="0" w:line="248" w:lineRule="auto"/>
        <w:ind w:firstLine="200"/>
        <w:jc w:val="both"/>
        <w:rPr>
          <w:color w:val="auto"/>
          <w:sz w:val="20"/>
          <w:szCs w:val="20"/>
        </w:rPr>
      </w:pPr>
      <w:r>
        <w:rPr>
          <w:rFonts w:ascii="Times New Roman" w:hAnsi="Times New Roman" w:eastAsia="Times New Roman" w:cs="Times New Roman"/>
          <w:color w:val="auto"/>
          <w:sz w:val="20"/>
          <w:szCs w:val="20"/>
        </w:rPr>
        <w:t>Overall, a well-designed and thoughtfully implemented research incentive mechanism has the potential to transform private universities into dynamic hubs of research excellence, advancing knowledge, innovation, and academic achievement within the institution and beyond.</w:t>
      </w:r>
    </w:p>
    <w:p>
      <w:pPr>
        <w:spacing w:after="0" w:line="8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Acknowledgments</w:t>
      </w:r>
    </w:p>
    <w:p>
      <w:pPr>
        <w:spacing w:after="0" w:line="126" w:lineRule="exact"/>
        <w:rPr>
          <w:color w:val="auto"/>
          <w:sz w:val="20"/>
          <w:szCs w:val="20"/>
        </w:rPr>
      </w:pPr>
    </w:p>
    <w:p>
      <w:pPr>
        <w:spacing w:after="0" w:line="248" w:lineRule="exact"/>
        <w:ind w:firstLine="200"/>
        <w:jc w:val="both"/>
        <w:rPr>
          <w:color w:val="auto"/>
          <w:sz w:val="20"/>
          <w:szCs w:val="20"/>
        </w:rPr>
      </w:pPr>
      <w:r>
        <w:rPr>
          <w:rFonts w:ascii="Times New Roman" w:hAnsi="Times New Roman" w:eastAsia="Times New Roman" w:cs="Times New Roman"/>
          <w:color w:val="auto"/>
          <w:sz w:val="20"/>
          <w:szCs w:val="20"/>
        </w:rPr>
        <w:t>This article is the result of the research project of Zhejiang Yuexiu University in 2021, “Research on Incentive Mechanism of Private Colleges and Universities”</w:t>
      </w:r>
      <w:r>
        <w:rPr>
          <w:rFonts w:ascii="SimSun" w:hAnsi="SimSun" w:eastAsia="SimSun" w:cs="SimSun"/>
          <w:color w:val="auto"/>
          <w:sz w:val="20"/>
          <w:szCs w:val="20"/>
        </w:rPr>
        <w:t xml:space="preserve"> (</w:t>
      </w:r>
      <w:r>
        <w:rPr>
          <w:rFonts w:ascii="Times New Roman" w:hAnsi="Times New Roman" w:eastAsia="Times New Roman" w:cs="Times New Roman"/>
          <w:color w:val="auto"/>
          <w:sz w:val="20"/>
          <w:szCs w:val="20"/>
        </w:rPr>
        <w:t>No.</w:t>
      </w:r>
    </w:p>
    <w:p>
      <w:pPr>
        <w:spacing w:after="0" w:line="1"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N2021016</w:t>
      </w:r>
      <w:r>
        <w:rPr>
          <w:rFonts w:ascii="SimSun" w:hAnsi="SimSun" w:eastAsia="SimSun" w:cs="SimSun"/>
          <w:color w:val="auto"/>
          <w:sz w:val="20"/>
          <w:szCs w:val="20"/>
        </w:rPr>
        <w:t>).</w:t>
      </w:r>
    </w:p>
    <w:p>
      <w:pPr>
        <w:spacing w:after="0" w:line="12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References</w:t>
      </w:r>
    </w:p>
    <w:p>
      <w:pPr>
        <w:spacing w:after="0" w:line="122" w:lineRule="exact"/>
        <w:rPr>
          <w:color w:val="auto"/>
          <w:sz w:val="20"/>
          <w:szCs w:val="20"/>
        </w:rPr>
      </w:pPr>
    </w:p>
    <w:p>
      <w:pPr>
        <w:numPr>
          <w:ilvl w:val="0"/>
          <w:numId w:val="2"/>
        </w:numPr>
        <w:tabs>
          <w:tab w:val="left" w:pos="380"/>
        </w:tabs>
        <w:spacing w:after="0" w:line="244"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Kivistö, J., &amp; Mathies, C. 12. Incentives, rationales, and expected impact: linking performance-based research funding to internal funding distributions of universities[B]. Handbook of Public Funding of Research, 1:186.</w:t>
      </w:r>
    </w:p>
    <w:p>
      <w:pPr>
        <w:spacing w:after="0" w:line="77" w:lineRule="exact"/>
        <w:rPr>
          <w:rFonts w:ascii="Times New Roman" w:hAnsi="Times New Roman" w:eastAsia="Times New Roman" w:cs="Times New Roman"/>
          <w:color w:val="auto"/>
          <w:sz w:val="18"/>
          <w:szCs w:val="18"/>
        </w:rPr>
      </w:pPr>
    </w:p>
    <w:p>
      <w:pPr>
        <w:numPr>
          <w:ilvl w:val="0"/>
          <w:numId w:val="2"/>
        </w:numPr>
        <w:tabs>
          <w:tab w:val="left" w:pos="380"/>
        </w:tabs>
        <w:spacing w:after="0" w:line="245"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Jingjing, W. Strategies for Development of Incentive Mechanism in Human Resource Management of Private Universities in Guangxi[J]. Journal of Survey in Fisheries Sciences, 10(1):4890-4900.</w:t>
      </w:r>
    </w:p>
    <w:p>
      <w:pPr>
        <w:spacing w:after="0" w:line="75" w:lineRule="exact"/>
        <w:rPr>
          <w:rFonts w:ascii="Times New Roman" w:hAnsi="Times New Roman" w:eastAsia="Times New Roman" w:cs="Times New Roman"/>
          <w:color w:val="auto"/>
          <w:sz w:val="18"/>
          <w:szCs w:val="18"/>
        </w:rPr>
      </w:pPr>
    </w:p>
    <w:p>
      <w:pPr>
        <w:numPr>
          <w:ilvl w:val="0"/>
          <w:numId w:val="2"/>
        </w:numPr>
        <w:tabs>
          <w:tab w:val="left" w:pos="380"/>
        </w:tabs>
        <w:spacing w:after="0" w:line="259" w:lineRule="auto"/>
        <w:ind w:left="380" w:hanging="374"/>
        <w:jc w:val="both"/>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Chen, F., &amp; Astillero, M. R. An Analysis of the Incentive Mechanism at the Private Universities for Teachers' Job Satisfaction in Easter China: Taking H University as a Case[C]. Proceedings of the International Conference on Education, Humanities, and Management (ICEHUM 2022), 741(1):189.</w:t>
      </w:r>
    </w:p>
    <w:p>
      <w:pPr>
        <w:spacing w:after="0" w:line="64" w:lineRule="exact"/>
        <w:rPr>
          <w:rFonts w:ascii="Times New Roman" w:hAnsi="Times New Roman" w:eastAsia="Times New Roman" w:cs="Times New Roman"/>
          <w:color w:val="auto"/>
          <w:sz w:val="17"/>
          <w:szCs w:val="17"/>
        </w:rPr>
      </w:pPr>
    </w:p>
    <w:p>
      <w:pPr>
        <w:numPr>
          <w:ilvl w:val="0"/>
          <w:numId w:val="2"/>
        </w:numPr>
        <w:tabs>
          <w:tab w:val="left" w:pos="380"/>
        </w:tabs>
        <w:spacing w:after="0" w:line="249" w:lineRule="auto"/>
        <w:ind w:left="380" w:hanging="374"/>
        <w:jc w:val="both"/>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Rosli, A., &amp; Rossi, F. Third-mission policy goals and incentives from performance-based funding: Are they aligned?</w:t>
      </w:r>
    </w:p>
    <w:p>
      <w:pPr>
        <w:spacing w:after="0" w:line="1" w:lineRule="exact"/>
        <w:rPr>
          <w:rFonts w:ascii="Times New Roman" w:hAnsi="Times New Roman" w:eastAsia="Times New Roman" w:cs="Times New Roman"/>
          <w:color w:val="auto"/>
          <w:sz w:val="17"/>
          <w:szCs w:val="17"/>
        </w:rPr>
      </w:pPr>
    </w:p>
    <w:p>
      <w:pPr>
        <w:numPr>
          <w:ilvl w:val="1"/>
          <w:numId w:val="2"/>
        </w:numPr>
        <w:tabs>
          <w:tab w:val="left" w:pos="660"/>
        </w:tabs>
        <w:spacing w:after="0"/>
        <w:ind w:left="660" w:hanging="273"/>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Research evaluation, 25(4):427-441.</w:t>
      </w:r>
    </w:p>
    <w:p>
      <w:pPr>
        <w:spacing w:after="0" w:line="106" w:lineRule="exact"/>
        <w:rPr>
          <w:rFonts w:ascii="Times New Roman" w:hAnsi="Times New Roman" w:eastAsia="Times New Roman" w:cs="Times New Roman"/>
          <w:color w:val="auto"/>
          <w:sz w:val="18"/>
          <w:szCs w:val="18"/>
        </w:rPr>
      </w:pPr>
    </w:p>
    <w:p>
      <w:pPr>
        <w:numPr>
          <w:ilvl w:val="0"/>
          <w:numId w:val="2"/>
        </w:numPr>
        <w:tabs>
          <w:tab w:val="left" w:pos="380"/>
        </w:tabs>
        <w:spacing w:after="0" w:line="245"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Minasyan, E. T., Midova, V. O., Danko, O. A., &amp; Balakhanova, D. K. Implementing New Performance Pay-Based Schemes in Higher Educational Institutions[J]. European Journal of Contemporary Education, 6(4):748-756.</w:t>
      </w:r>
    </w:p>
    <w:p>
      <w:pPr>
        <w:spacing w:after="0" w:line="75" w:lineRule="exact"/>
        <w:rPr>
          <w:rFonts w:ascii="Times New Roman" w:hAnsi="Times New Roman" w:eastAsia="Times New Roman" w:cs="Times New Roman"/>
          <w:color w:val="auto"/>
          <w:sz w:val="18"/>
          <w:szCs w:val="18"/>
        </w:rPr>
      </w:pPr>
    </w:p>
    <w:p>
      <w:pPr>
        <w:numPr>
          <w:ilvl w:val="0"/>
          <w:numId w:val="2"/>
        </w:numPr>
        <w:tabs>
          <w:tab w:val="left" w:pos="380"/>
        </w:tabs>
        <w:spacing w:after="0" w:line="244"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Guarini, E., Magli, F., &amp; Francesconi, A. Academic logics in changing performance measurement systems: an exploration in a university setting[J]. Qualitative Research in Accounting &amp; Management, 17(1):109-142.</w:t>
      </w:r>
    </w:p>
    <w:p>
      <w:pPr>
        <w:spacing w:after="0" w:line="78" w:lineRule="exact"/>
        <w:rPr>
          <w:rFonts w:ascii="Times New Roman" w:hAnsi="Times New Roman" w:eastAsia="Times New Roman" w:cs="Times New Roman"/>
          <w:color w:val="auto"/>
          <w:sz w:val="18"/>
          <w:szCs w:val="18"/>
        </w:rPr>
      </w:pPr>
    </w:p>
    <w:p>
      <w:pPr>
        <w:numPr>
          <w:ilvl w:val="0"/>
          <w:numId w:val="2"/>
        </w:numPr>
        <w:tabs>
          <w:tab w:val="left" w:pos="380"/>
        </w:tabs>
        <w:spacing w:after="0" w:line="250"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Woelert, P., &amp; McKenzie, L. Follow the money? How Australian universities replicate national performance-based funding mechanisms[J]. Research Evaluation, 27(3):184-195.</w:t>
      </w:r>
    </w:p>
    <w:p>
      <w:pPr>
        <w:spacing w:after="0" w:line="73" w:lineRule="exact"/>
        <w:rPr>
          <w:rFonts w:ascii="Times New Roman" w:hAnsi="Times New Roman" w:eastAsia="Times New Roman" w:cs="Times New Roman"/>
          <w:color w:val="auto"/>
          <w:sz w:val="18"/>
          <w:szCs w:val="18"/>
        </w:rPr>
      </w:pPr>
    </w:p>
    <w:p>
      <w:pPr>
        <w:numPr>
          <w:ilvl w:val="0"/>
          <w:numId w:val="2"/>
        </w:numPr>
        <w:tabs>
          <w:tab w:val="left" w:pos="380"/>
        </w:tabs>
        <w:spacing w:after="0" w:line="250"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Podgursky, M. J., &amp; Springer, M. G. Teacher performance pay: A review[J]. Journal of policy analysis and management, 26(4):909-949.</w:t>
      </w:r>
    </w:p>
    <w:p>
      <w:pPr>
        <w:spacing w:after="0" w:line="73" w:lineRule="exact"/>
        <w:rPr>
          <w:rFonts w:ascii="Times New Roman" w:hAnsi="Times New Roman" w:eastAsia="Times New Roman" w:cs="Times New Roman"/>
          <w:color w:val="auto"/>
          <w:sz w:val="18"/>
          <w:szCs w:val="18"/>
        </w:rPr>
      </w:pPr>
    </w:p>
    <w:p>
      <w:pPr>
        <w:numPr>
          <w:ilvl w:val="0"/>
          <w:numId w:val="2"/>
        </w:numPr>
        <w:tabs>
          <w:tab w:val="left" w:pos="380"/>
        </w:tabs>
        <w:spacing w:after="0" w:line="248" w:lineRule="auto"/>
        <w:ind w:left="380" w:hanging="374"/>
        <w:jc w:val="both"/>
        <w:rPr>
          <w:rFonts w:ascii="Times New Roman" w:hAnsi="Times New Roman" w:eastAsia="Times New Roman" w:cs="Times New Roman"/>
          <w:color w:val="auto"/>
          <w:sz w:val="17"/>
          <w:szCs w:val="17"/>
        </w:rPr>
      </w:pPr>
      <w:r>
        <w:rPr>
          <w:rFonts w:ascii="Times New Roman" w:hAnsi="Times New Roman" w:eastAsia="Times New Roman" w:cs="Times New Roman"/>
          <w:color w:val="auto"/>
          <w:sz w:val="17"/>
          <w:szCs w:val="17"/>
        </w:rPr>
        <w:t>Janudin, S. E., &amp; Maelah, R. Performance measurement system in Malaysian public research universities: is it contemporary?</w:t>
      </w:r>
    </w:p>
    <w:p>
      <w:pPr>
        <w:spacing w:after="0" w:line="1" w:lineRule="exact"/>
        <w:rPr>
          <w:rFonts w:ascii="Times New Roman" w:hAnsi="Times New Roman" w:eastAsia="Times New Roman" w:cs="Times New Roman"/>
          <w:color w:val="auto"/>
          <w:sz w:val="17"/>
          <w:szCs w:val="17"/>
        </w:rPr>
      </w:pPr>
    </w:p>
    <w:p>
      <w:pPr>
        <w:numPr>
          <w:ilvl w:val="1"/>
          <w:numId w:val="2"/>
        </w:numPr>
        <w:tabs>
          <w:tab w:val="left" w:pos="660"/>
        </w:tabs>
        <w:spacing w:after="0" w:line="232" w:lineRule="auto"/>
        <w:ind w:left="660" w:hanging="273"/>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International Journal of Management in Education, 10 (3):</w:t>
      </w:r>
    </w:p>
    <w:p>
      <w:pPr>
        <w:spacing w:after="0"/>
        <w:ind w:left="380"/>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219-233.</w:t>
      </w:r>
    </w:p>
    <w:p>
      <w:pPr>
        <w:spacing w:after="0" w:line="106" w:lineRule="exact"/>
        <w:rPr>
          <w:rFonts w:ascii="Times New Roman" w:hAnsi="Times New Roman" w:eastAsia="Times New Roman" w:cs="Times New Roman"/>
          <w:color w:val="auto"/>
          <w:sz w:val="18"/>
          <w:szCs w:val="18"/>
        </w:rPr>
      </w:pPr>
    </w:p>
    <w:p>
      <w:pPr>
        <w:numPr>
          <w:ilvl w:val="0"/>
          <w:numId w:val="2"/>
        </w:numPr>
        <w:tabs>
          <w:tab w:val="left" w:pos="380"/>
        </w:tabs>
        <w:spacing w:after="0" w:line="245" w:lineRule="auto"/>
        <w:ind w:left="380" w:hanging="374"/>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Grossi, G., Dobija, D., &amp; Strzelczyk, W. The impact of competing institutional pressures and logics on the use of performance measurement in hybrid universities[J]. Public performance &amp; management review, 43(4):818-844.</w:t>
      </w:r>
    </w:p>
    <w:p>
      <w:pPr>
        <w:spacing w:after="0" w:line="279" w:lineRule="exact"/>
        <w:rPr>
          <w:color w:val="auto"/>
          <w:sz w:val="20"/>
          <w:szCs w:val="20"/>
        </w:rPr>
      </w:pPr>
    </w:p>
    <w:p>
      <w:pPr>
        <w:sectPr>
          <w:pgSz w:w="11900" w:h="16840"/>
          <w:pgMar w:top="1106" w:right="844" w:bottom="0" w:left="860" w:header="0" w:footer="0" w:gutter="0"/>
          <w:cols w:equalWidth="0" w:num="2">
            <w:col w:w="4880" w:space="420"/>
            <w:col w:w="49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18"/>
          <w:szCs w:val="18"/>
        </w:rPr>
        <w:t>17</w:t>
      </w:r>
    </w:p>
    <w:sectPr>
      <w:type w:val="continuous"/>
      <w:pgSz w:w="11900" w:h="16840"/>
      <w:pgMar w:top="1106" w:right="844" w:bottom="0" w:left="860" w:header="0" w:footer="0" w:gutter="0"/>
      <w:cols w:equalWidth="0" w:num="1">
        <w:col w:w="102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3C9869"/>
    <w:multiLevelType w:val="singleLevel"/>
    <w:tmpl w:val="643C9869"/>
    <w:lvl w:ilvl="0" w:tentative="0">
      <w:start w:val="3"/>
      <w:numFmt w:val="decimal"/>
      <w:lvlText w:val="%1."/>
      <w:lvlJc w:val="left"/>
    </w:lvl>
  </w:abstractNum>
  <w:abstractNum w:abstractNumId="1">
    <w:nsid w:val="66334873"/>
    <w:multiLevelType w:val="multilevel"/>
    <w:tmpl w:val="66334873"/>
    <w:lvl w:ilvl="0" w:tentative="0">
      <w:start w:val="1"/>
      <w:numFmt w:val="decimal"/>
      <w:lvlText w:val="[%1]"/>
      <w:lvlJc w:val="left"/>
    </w:lvl>
    <w:lvl w:ilvl="1" w:tentative="0">
      <w:start w:val="10"/>
      <w:numFmt w:val="upperLetter"/>
      <w:lvlText w:val="[%2]."/>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57030"/>
    <w:rsid w:val="66FD0813"/>
    <w:rsid w:val="6DA513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2023-12-29T19:21:00Z</dcterms:created>
  <dc:creator>Windows User</dc:creator>
  <cp:lastModifiedBy>drprinxe</cp:lastModifiedBy>
  <dcterms:modified xsi:type="dcterms:W3CDTF">2023-12-29T21:25:20Z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B4F852780D184E7C9C02E461C8C6D92B</vt:lpwstr>
  </property>
</Properties>
</file>