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png" ContentType="image/png"/>
  <Override PartName="/word/footer4.xml" ContentType="application/vnd.openxmlformats-officedocument.wordprocessingml.footer+xml"/>
  <Override PartName="/word/footer5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357" w:lineRule="auto" w:before="76"/>
        <w:ind w:left="989" w:right="1604"/>
        <w:jc w:val="center"/>
      </w:pPr>
      <w:r>
        <w:rPr/>
        <w:t>DRUG MANAGEMENT AND MICRONUTRIENT LEVELS IN ADULT PATIENTS</w:t>
      </w:r>
      <w:r>
        <w:rPr>
          <w:spacing w:val="-58"/>
        </w:rPr>
        <w:t> </w:t>
      </w:r>
      <w:r>
        <w:rPr/>
        <w:t>WITH SICKLE CELL DISEASE IN AHMADU BELLO UNIVERSITY TEACHING</w:t>
      </w:r>
      <w:r>
        <w:rPr>
          <w:spacing w:val="1"/>
        </w:rPr>
        <w:t> </w:t>
      </w:r>
      <w:r>
        <w:rPr/>
        <w:t>HOSPITAL SHIKA,</w:t>
      </w:r>
      <w:r>
        <w:rPr>
          <w:spacing w:val="4"/>
        </w:rPr>
        <w:t> </w:t>
      </w:r>
      <w:r>
        <w:rPr/>
        <w:t>ZARIA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spacing w:before="0"/>
        <w:ind w:left="987" w:right="1604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3"/>
        </w:rPr>
      </w:pPr>
    </w:p>
    <w:p>
      <w:pPr>
        <w:pStyle w:val="Heading1"/>
        <w:spacing w:before="1"/>
        <w:ind w:left="987" w:right="1604"/>
        <w:jc w:val="center"/>
      </w:pPr>
      <w:r>
        <w:rPr/>
        <w:t>OLORUKOOBA,</w:t>
      </w:r>
      <w:r>
        <w:rPr>
          <w:spacing w:val="-5"/>
        </w:rPr>
        <w:t> </w:t>
      </w:r>
      <w:r>
        <w:rPr/>
        <w:t>BASHIRAT</w:t>
      </w:r>
      <w:r>
        <w:rPr>
          <w:spacing w:val="-4"/>
        </w:rPr>
        <w:t> </w:t>
      </w:r>
      <w:r>
        <w:rPr/>
        <w:t>ABIMBOLA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1"/>
        </w:rPr>
      </w:pPr>
    </w:p>
    <w:p>
      <w:pPr>
        <w:spacing w:line="535" w:lineRule="auto" w:before="0"/>
        <w:ind w:left="1615" w:right="2242" w:firstLine="0"/>
        <w:jc w:val="center"/>
        <w:rPr>
          <w:b/>
          <w:sz w:val="24"/>
        </w:rPr>
      </w:pPr>
      <w:r>
        <w:rPr>
          <w:b/>
          <w:sz w:val="24"/>
        </w:rPr>
        <w:t>DEPARTMENT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PHARMACOLOGY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THERAPEUTICS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AHMADU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BELLO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UNIVERSITY,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ZARIA</w:t>
      </w:r>
    </w:p>
    <w:p>
      <w:pPr>
        <w:pStyle w:val="Heading1"/>
        <w:spacing w:line="274" w:lineRule="exact" w:before="0"/>
        <w:ind w:left="978" w:right="1604"/>
        <w:jc w:val="center"/>
      </w:pP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2"/>
        </w:rPr>
      </w:pPr>
    </w:p>
    <w:p>
      <w:pPr>
        <w:spacing w:before="0"/>
        <w:ind w:left="986" w:right="1604" w:firstLine="0"/>
        <w:jc w:val="center"/>
        <w:rPr>
          <w:b/>
          <w:sz w:val="24"/>
        </w:rPr>
      </w:pPr>
      <w:r>
        <w:rPr>
          <w:b/>
          <w:sz w:val="24"/>
        </w:rPr>
        <w:t>NOVEMBER,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2012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top="1360" w:bottom="280" w:left="620" w:right="0"/>
        </w:sectPr>
      </w:pPr>
    </w:p>
    <w:p>
      <w:pPr>
        <w:pStyle w:val="Heading1"/>
        <w:spacing w:line="357" w:lineRule="auto" w:before="76"/>
        <w:ind w:left="989" w:right="1604"/>
        <w:jc w:val="center"/>
      </w:pPr>
      <w:r>
        <w:rPr/>
        <w:t>DRUG MANAGEMENT AND MICRONUTRIENT LEVELS IN ADULT PATIENTS</w:t>
      </w:r>
      <w:r>
        <w:rPr>
          <w:spacing w:val="-58"/>
        </w:rPr>
        <w:t> </w:t>
      </w:r>
      <w:r>
        <w:rPr/>
        <w:t>WITH SICKLE CELL DISEASE IN AHMADU BELLO UNIVERSITY TEACHING</w:t>
      </w:r>
      <w:r>
        <w:rPr>
          <w:spacing w:val="1"/>
        </w:rPr>
        <w:t> </w:t>
      </w:r>
      <w:r>
        <w:rPr/>
        <w:t>HOSPITAL SHIKA,</w:t>
      </w:r>
      <w:r>
        <w:rPr>
          <w:spacing w:val="4"/>
        </w:rPr>
        <w:t> </w:t>
      </w:r>
      <w:r>
        <w:rPr/>
        <w:t>ZARIA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spacing w:before="0"/>
        <w:ind w:left="987" w:right="1604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2"/>
        </w:rPr>
      </w:pPr>
    </w:p>
    <w:p>
      <w:pPr>
        <w:pStyle w:val="Heading1"/>
        <w:spacing w:before="0"/>
        <w:ind w:left="985" w:right="1604"/>
        <w:jc w:val="center"/>
      </w:pPr>
      <w:r>
        <w:rPr/>
        <w:t>OLORUKOOBA,</w:t>
      </w:r>
      <w:r>
        <w:rPr>
          <w:spacing w:val="-4"/>
        </w:rPr>
        <w:t> </w:t>
      </w:r>
      <w:r>
        <w:rPr/>
        <w:t>BASHIRAT</w:t>
      </w:r>
      <w:r>
        <w:rPr>
          <w:spacing w:val="-3"/>
        </w:rPr>
        <w:t> </w:t>
      </w:r>
      <w:r>
        <w:rPr/>
        <w:t>ABIMBOLA</w:t>
      </w:r>
      <w:r>
        <w:rPr>
          <w:spacing w:val="-3"/>
        </w:rPr>
        <w:t> </w:t>
      </w:r>
      <w:r>
        <w:rPr/>
        <w:t>B.Pharm</w:t>
      </w:r>
      <w:r>
        <w:rPr>
          <w:spacing w:val="-4"/>
        </w:rPr>
        <w:t> </w:t>
      </w:r>
      <w:r>
        <w:rPr/>
        <w:t>(ABU</w:t>
      </w:r>
      <w:r>
        <w:rPr>
          <w:spacing w:val="-3"/>
        </w:rPr>
        <w:t> </w:t>
      </w:r>
      <w:r>
        <w:rPr/>
        <w:t>2006)</w:t>
      </w:r>
    </w:p>
    <w:p>
      <w:pPr>
        <w:pStyle w:val="BodyText"/>
        <w:spacing w:before="5"/>
        <w:rPr>
          <w:b/>
          <w:sz w:val="29"/>
        </w:rPr>
      </w:pPr>
    </w:p>
    <w:p>
      <w:pPr>
        <w:spacing w:before="0"/>
        <w:ind w:left="981" w:right="1604" w:firstLine="0"/>
        <w:jc w:val="center"/>
        <w:rPr>
          <w:b/>
          <w:sz w:val="24"/>
        </w:rPr>
      </w:pPr>
      <w:r>
        <w:rPr>
          <w:b/>
          <w:sz w:val="24"/>
        </w:rPr>
        <w:t>MSc/PharmSci/01300/2008-2009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1"/>
        </w:rPr>
      </w:pPr>
    </w:p>
    <w:p>
      <w:pPr>
        <w:pStyle w:val="Heading1"/>
        <w:spacing w:line="357" w:lineRule="auto" w:before="0"/>
        <w:ind w:left="892" w:right="1505" w:hanging="9"/>
        <w:jc w:val="center"/>
      </w:pPr>
      <w:r>
        <w:rPr/>
        <w:t>A THESIS SUBMITTED TO THE POSTGRADUATE SCHOOL, AHMADU BELLO</w:t>
      </w:r>
      <w:r>
        <w:rPr>
          <w:spacing w:val="1"/>
        </w:rPr>
        <w:t> </w:t>
      </w:r>
      <w:r>
        <w:rPr/>
        <w:t>UNIVERSITY, ZARIA, NIGERIA IN PARTIAL FULFILMENT FOR THE AWARD OF</w:t>
      </w:r>
      <w:r>
        <w:rPr>
          <w:spacing w:val="-58"/>
        </w:rPr>
        <w:t> </w:t>
      </w:r>
      <w:r>
        <w:rPr/>
        <w:t>MASTERS</w:t>
      </w:r>
      <w:r>
        <w:rPr>
          <w:spacing w:val="2"/>
        </w:rPr>
        <w:t> </w:t>
      </w:r>
      <w:r>
        <w:rPr/>
        <w:t>OF SCIENCE DEGREE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PHARMACOLOGY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535" w:lineRule="auto" w:before="218"/>
        <w:ind w:left="1615" w:right="2242" w:firstLine="0"/>
        <w:jc w:val="center"/>
        <w:rPr>
          <w:b/>
          <w:sz w:val="24"/>
        </w:rPr>
      </w:pPr>
      <w:r>
        <w:rPr>
          <w:b/>
          <w:sz w:val="24"/>
        </w:rPr>
        <w:t>DEPARTMENT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PHARMACOLOGY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THERAPEUTICS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AHMADU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BELLO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UNIVERSITY,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ZARIA</w:t>
      </w:r>
    </w:p>
    <w:p>
      <w:pPr>
        <w:pStyle w:val="Heading1"/>
        <w:spacing w:line="274" w:lineRule="exact" w:before="0"/>
        <w:ind w:left="978" w:right="1604"/>
        <w:jc w:val="center"/>
      </w:pP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0"/>
        </w:rPr>
      </w:pPr>
    </w:p>
    <w:p>
      <w:pPr>
        <w:spacing w:before="0"/>
        <w:ind w:left="986" w:right="1604" w:firstLine="0"/>
        <w:jc w:val="center"/>
        <w:rPr>
          <w:b/>
          <w:sz w:val="24"/>
        </w:rPr>
      </w:pPr>
      <w:r>
        <w:rPr>
          <w:b/>
          <w:sz w:val="24"/>
        </w:rPr>
        <w:t>NOVEMBER,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2012</w:t>
      </w:r>
    </w:p>
    <w:p>
      <w:pPr>
        <w:spacing w:after="0"/>
        <w:jc w:val="center"/>
        <w:rPr>
          <w:sz w:val="24"/>
        </w:rPr>
        <w:sectPr>
          <w:footerReference w:type="default" r:id="rId5"/>
          <w:pgSz w:w="12240" w:h="15840"/>
          <w:pgMar w:footer="1017" w:header="0" w:top="1360" w:bottom="1200" w:left="620" w:right="0"/>
          <w:pgNumType w:start="2"/>
        </w:sectPr>
      </w:pPr>
    </w:p>
    <w:p>
      <w:pPr>
        <w:pStyle w:val="Heading1"/>
        <w:ind w:left="978" w:right="1604"/>
        <w:jc w:val="center"/>
      </w:pPr>
      <w:r>
        <w:rPr/>
        <w:t>DECLARATION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 w:before="1"/>
        <w:ind w:left="820" w:right="1445"/>
        <w:jc w:val="both"/>
      </w:pPr>
      <w:r>
        <w:rPr/>
        <w:t>I declare that the work in the thesis entitled ‘Drug Management and Micronutrient Levels in</w:t>
      </w:r>
      <w:r>
        <w:rPr>
          <w:spacing w:val="1"/>
        </w:rPr>
        <w:t> </w:t>
      </w:r>
      <w:r>
        <w:rPr/>
        <w:t>Adult Sickle Cell Disease Patients in Ahmadu Bello University Teaching Hospital, Shika, Zaria’</w:t>
      </w:r>
      <w:r>
        <w:rPr>
          <w:spacing w:val="1"/>
        </w:rPr>
        <w:t> </w:t>
      </w:r>
      <w:r>
        <w:rPr/>
        <w:t>has been performed by me under the supervision of Dr. A.U. Zezi, Dr. B.B. Maiha and Prof. A.I.</w:t>
      </w:r>
      <w:r>
        <w:rPr>
          <w:spacing w:val="-57"/>
        </w:rPr>
        <w:t> </w:t>
      </w:r>
      <w:r>
        <w:rPr/>
        <w:t>Mamman.</w:t>
      </w:r>
    </w:p>
    <w:p>
      <w:pPr>
        <w:pStyle w:val="BodyText"/>
        <w:spacing w:line="357" w:lineRule="auto" w:before="201"/>
        <w:ind w:left="820" w:right="1442"/>
        <w:jc w:val="both"/>
      </w:pPr>
      <w:r>
        <w:rPr/>
        <w:t>The information derived from the literature has been duly acknowledged in the text and a list of</w:t>
      </w:r>
      <w:r>
        <w:rPr>
          <w:spacing w:val="1"/>
        </w:rPr>
        <w:t> </w:t>
      </w:r>
      <w:r>
        <w:rPr/>
        <w:t>references provided. No part of this thesis was previously presented for the award of another</w:t>
      </w:r>
      <w:r>
        <w:rPr>
          <w:spacing w:val="1"/>
        </w:rPr>
        <w:t> </w:t>
      </w:r>
      <w:r>
        <w:rPr/>
        <w:t>degree or</w:t>
      </w:r>
      <w:r>
        <w:rPr>
          <w:spacing w:val="3"/>
        </w:rPr>
        <w:t> </w:t>
      </w:r>
      <w:r>
        <w:rPr/>
        <w:t>diploma</w:t>
      </w:r>
      <w:r>
        <w:rPr>
          <w:spacing w:val="1"/>
        </w:rPr>
        <w:t> </w:t>
      </w:r>
      <w:r>
        <w:rPr/>
        <w:t>at</w:t>
      </w:r>
      <w:r>
        <w:rPr>
          <w:spacing w:val="6"/>
        </w:rPr>
        <w:t> </w:t>
      </w:r>
      <w:r>
        <w:rPr/>
        <w:t>any</w:t>
      </w:r>
      <w:r>
        <w:rPr>
          <w:spacing w:val="-8"/>
        </w:rPr>
        <w:t> </w:t>
      </w:r>
      <w:r>
        <w:rPr/>
        <w:t>university.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0"/>
        </w:rPr>
      </w:pPr>
    </w:p>
    <w:p>
      <w:pPr>
        <w:pStyle w:val="BodyText"/>
        <w:tabs>
          <w:tab w:pos="4806" w:val="left" w:leader="none"/>
          <w:tab w:pos="7013" w:val="left" w:leader="none"/>
          <w:tab w:pos="9390" w:val="left" w:leader="none"/>
        </w:tabs>
        <w:ind w:left="820"/>
        <w:jc w:val="both"/>
      </w:pPr>
      <w:r>
        <w:rPr/>
        <w:t>Olorukooba,</w:t>
      </w:r>
      <w:r>
        <w:rPr>
          <w:spacing w:val="-5"/>
        </w:rPr>
        <w:t> </w:t>
      </w:r>
      <w:r>
        <w:rPr/>
        <w:t>Bashirat</w:t>
      </w:r>
      <w:r>
        <w:rPr>
          <w:spacing w:val="-1"/>
        </w:rPr>
        <w:t> </w:t>
      </w:r>
      <w:r>
        <w:rPr/>
        <w:t>Abimbola</w:t>
        <w:tab/>
      </w: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    </w:t>
      </w:r>
      <w:r>
        <w:rPr>
          <w:spacing w:val="-14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tabs>
          <w:tab w:pos="8883" w:val="left" w:leader="none"/>
        </w:tabs>
        <w:spacing w:before="90"/>
        <w:ind w:left="5384"/>
      </w:pPr>
      <w:r>
        <w:rPr/>
        <w:t>Signature</w:t>
        <w:tab/>
        <w:t>Date</w:t>
      </w:r>
    </w:p>
    <w:p>
      <w:pPr>
        <w:spacing w:after="0"/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ind w:left="983" w:right="1604"/>
        <w:jc w:val="center"/>
      </w:pPr>
      <w:r>
        <w:rPr/>
        <w:t>CERTIFICATION</w:t>
      </w:r>
    </w:p>
    <w:p>
      <w:pPr>
        <w:pStyle w:val="BodyText"/>
        <w:spacing w:before="4"/>
        <w:rPr>
          <w:b/>
          <w:sz w:val="29"/>
        </w:rPr>
      </w:pPr>
    </w:p>
    <w:p>
      <w:pPr>
        <w:spacing w:line="362" w:lineRule="auto" w:before="1"/>
        <w:ind w:left="820" w:right="1438" w:firstLine="0"/>
        <w:jc w:val="both"/>
        <w:rPr>
          <w:b/>
          <w:sz w:val="24"/>
        </w:rPr>
      </w:pP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thesis</w:t>
      </w:r>
      <w:r>
        <w:rPr>
          <w:spacing w:val="1"/>
          <w:sz w:val="24"/>
        </w:rPr>
        <w:t> </w:t>
      </w:r>
      <w:r>
        <w:rPr>
          <w:sz w:val="24"/>
        </w:rPr>
        <w:t>entitled</w:t>
      </w:r>
      <w:r>
        <w:rPr>
          <w:spacing w:val="1"/>
          <w:sz w:val="24"/>
        </w:rPr>
        <w:t> </w:t>
      </w:r>
      <w:r>
        <w:rPr>
          <w:sz w:val="24"/>
        </w:rPr>
        <w:t>‘</w:t>
      </w:r>
      <w:r>
        <w:rPr>
          <w:b/>
          <w:sz w:val="24"/>
        </w:rPr>
        <w:t>DRUG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MANAGEMENT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MICRONUTRIENT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LEVELS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ADULT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SICKLE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CELL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DISEASE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PATIENTS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AHMADU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BELLO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UNIVERSITY</w:t>
      </w:r>
    </w:p>
    <w:p>
      <w:pPr>
        <w:pStyle w:val="BodyText"/>
        <w:spacing w:line="360" w:lineRule="auto"/>
        <w:ind w:left="820" w:right="1439"/>
        <w:jc w:val="both"/>
      </w:pPr>
      <w:r>
        <w:rPr>
          <w:b/>
        </w:rPr>
        <w:t>TEACHING HOSPITAL, SHIKA, ZARIA’ </w:t>
      </w:r>
      <w:r>
        <w:rPr/>
        <w:t>by Olorukooba, Bashirat Abimbola meets the</w:t>
      </w:r>
      <w:r>
        <w:rPr>
          <w:spacing w:val="1"/>
        </w:rPr>
        <w:t> </w:t>
      </w:r>
      <w:r>
        <w:rPr/>
        <w:t>regulation governing the award of the degree of Master of Science in Pharmacology of 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approved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literary</w:t>
      </w:r>
      <w:r>
        <w:rPr>
          <w:spacing w:val="1"/>
        </w:rPr>
        <w:t> </w:t>
      </w:r>
      <w:r>
        <w:rPr/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8764" w:val="left" w:leader="none"/>
        </w:tabs>
        <w:spacing w:before="90"/>
        <w:ind w:left="6217"/>
      </w:pPr>
      <w:r>
        <w:rPr/>
        <w:t>Date</w:t>
      </w:r>
      <w:r>
        <w:rPr>
          <w:u w:val="single"/>
        </w:rPr>
        <w:t> </w:t>
        <w:tab/>
      </w:r>
    </w:p>
    <w:p>
      <w:pPr>
        <w:pStyle w:val="BodyText"/>
        <w:spacing w:line="20" w:lineRule="exact"/>
        <w:ind w:left="815"/>
        <w:rPr>
          <w:sz w:val="2"/>
        </w:rPr>
      </w:pPr>
      <w:r>
        <w:rPr>
          <w:sz w:val="2"/>
        </w:rPr>
        <w:pict>
          <v:group style="width:173.9pt;height:.5pt;mso-position-horizontal-relative:char;mso-position-vertical-relative:line" coordorigin="0,0" coordsize="3478,10">
            <v:shape style="position:absolute;left:0;top:4;width:3478;height:2" coordorigin="0,5" coordsize="3478,0" path="m0,5l2036,5m2040,5l3477,5e" filled="false" stroked="true" strokeweight=".479088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90"/>
        <w:ind w:left="820"/>
      </w:pPr>
      <w:r>
        <w:rPr/>
        <w:t>Dr.</w:t>
      </w:r>
      <w:r>
        <w:rPr>
          <w:spacing w:val="1"/>
        </w:rPr>
        <w:t> </w:t>
      </w:r>
      <w:r>
        <w:rPr/>
        <w:t>A.U.</w:t>
      </w:r>
      <w:r>
        <w:rPr>
          <w:spacing w:val="-2"/>
        </w:rPr>
        <w:t> </w:t>
      </w:r>
      <w:r>
        <w:rPr/>
        <w:t>Zezi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820"/>
      </w:pPr>
      <w:r>
        <w:rPr/>
        <w:t>Chairman, Supervisory</w:t>
      </w:r>
      <w:r>
        <w:rPr>
          <w:spacing w:val="-12"/>
        </w:rPr>
        <w:t> </w:t>
      </w:r>
      <w:r>
        <w:rPr/>
        <w:t>Committee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tabs>
          <w:tab w:pos="8760" w:val="left" w:leader="none"/>
        </w:tabs>
        <w:spacing w:before="90"/>
        <w:ind w:left="6213"/>
      </w:pPr>
      <w:r>
        <w:rPr/>
        <w:t>Date</w:t>
      </w:r>
      <w:r>
        <w:rPr>
          <w:u w:val="single"/>
        </w:rPr>
        <w:t> </w:t>
        <w:tab/>
      </w:r>
    </w:p>
    <w:p>
      <w:pPr>
        <w:pStyle w:val="BodyText"/>
        <w:spacing w:line="20" w:lineRule="exact"/>
        <w:ind w:left="815"/>
        <w:rPr>
          <w:sz w:val="2"/>
        </w:rPr>
      </w:pPr>
      <w:r>
        <w:rPr>
          <w:sz w:val="2"/>
        </w:rPr>
        <w:pict>
          <v:group style="width:173.7pt;height:.5pt;mso-position-horizontal-relative:char;mso-position-vertical-relative:line" coordorigin="0,0" coordsize="3474,10">
            <v:line style="position:absolute" from="0,5" to="3473,5" stroked="true" strokeweight=".47908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90"/>
        <w:ind w:left="820"/>
      </w:pPr>
      <w:r>
        <w:rPr/>
        <w:t>Dr.</w:t>
      </w:r>
      <w:r>
        <w:rPr>
          <w:spacing w:val="-2"/>
        </w:rPr>
        <w:t> </w:t>
      </w:r>
      <w:r>
        <w:rPr/>
        <w:t>B.B.</w:t>
      </w:r>
      <w:r>
        <w:rPr>
          <w:spacing w:val="-1"/>
        </w:rPr>
        <w:t> </w:t>
      </w:r>
      <w:r>
        <w:rPr/>
        <w:t>Maiha</w:t>
      </w:r>
    </w:p>
    <w:p>
      <w:pPr>
        <w:pStyle w:val="BodyText"/>
        <w:rPr>
          <w:sz w:val="29"/>
        </w:rPr>
      </w:pPr>
    </w:p>
    <w:p>
      <w:pPr>
        <w:pStyle w:val="BodyText"/>
        <w:ind w:left="820"/>
      </w:pPr>
      <w:r>
        <w:rPr/>
        <w:t>Member, Supervisory</w:t>
      </w:r>
      <w:r>
        <w:rPr>
          <w:spacing w:val="-10"/>
        </w:rPr>
        <w:t> </w:t>
      </w:r>
      <w:r>
        <w:rPr/>
        <w:t>Committee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tabs>
          <w:tab w:pos="8764" w:val="left" w:leader="none"/>
        </w:tabs>
        <w:spacing w:before="90"/>
        <w:ind w:left="6217"/>
      </w:pPr>
      <w:r>
        <w:rPr/>
        <w:t>Date</w:t>
      </w:r>
      <w:r>
        <w:rPr>
          <w:u w:val="single"/>
        </w:rPr>
        <w:t> </w:t>
        <w:tab/>
      </w:r>
    </w:p>
    <w:p>
      <w:pPr>
        <w:pStyle w:val="BodyText"/>
        <w:spacing w:line="20" w:lineRule="exact"/>
        <w:ind w:left="815"/>
        <w:rPr>
          <w:sz w:val="2"/>
        </w:rPr>
      </w:pPr>
      <w:r>
        <w:rPr>
          <w:sz w:val="2"/>
        </w:rPr>
        <w:pict>
          <v:group style="width:173.9pt;height:.5pt;mso-position-horizontal-relative:char;mso-position-vertical-relative:line" coordorigin="0,0" coordsize="3478,10">
            <v:shape style="position:absolute;left:0;top:4;width:3478;height:2" coordorigin="0,5" coordsize="3478,0" path="m0,5l1916,5m1920,5l3477,5e" filled="false" stroked="true" strokeweight=".479088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90"/>
        <w:ind w:left="820"/>
      </w:pPr>
      <w:r>
        <w:rPr/>
        <w:t>Prof.</w:t>
      </w:r>
      <w:r>
        <w:rPr>
          <w:spacing w:val="-1"/>
        </w:rPr>
        <w:t> </w:t>
      </w:r>
      <w:r>
        <w:rPr/>
        <w:t>A.I.</w:t>
      </w:r>
      <w:r>
        <w:rPr>
          <w:spacing w:val="-1"/>
        </w:rPr>
        <w:t> </w:t>
      </w:r>
      <w:r>
        <w:rPr/>
        <w:t>Mamman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820"/>
      </w:pPr>
      <w:r>
        <w:rPr/>
        <w:t>Member, Supervisory</w:t>
      </w:r>
      <w:r>
        <w:rPr>
          <w:spacing w:val="-10"/>
        </w:rPr>
        <w:t> </w:t>
      </w:r>
      <w:r>
        <w:rPr/>
        <w:t>Committee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tabs>
          <w:tab w:pos="8760" w:val="left" w:leader="none"/>
        </w:tabs>
        <w:spacing w:before="90"/>
        <w:ind w:left="6213"/>
      </w:pPr>
      <w:r>
        <w:rPr/>
        <w:t>Date</w:t>
      </w:r>
      <w:r>
        <w:rPr>
          <w:u w:val="single"/>
        </w:rPr>
        <w:t> </w:t>
        <w:tab/>
      </w:r>
    </w:p>
    <w:p>
      <w:pPr>
        <w:pStyle w:val="BodyText"/>
        <w:spacing w:line="20" w:lineRule="exact"/>
        <w:ind w:left="815"/>
        <w:rPr>
          <w:sz w:val="2"/>
        </w:rPr>
      </w:pPr>
      <w:r>
        <w:rPr>
          <w:sz w:val="2"/>
        </w:rPr>
        <w:pict>
          <v:group style="width:173.7pt;height:.5pt;mso-position-horizontal-relative:char;mso-position-vertical-relative:line" coordorigin="0,0" coordsize="3474,10">
            <v:line style="position:absolute" from="0,5" to="3473,5" stroked="true" strokeweight=".47908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535" w:lineRule="auto" w:before="90"/>
        <w:ind w:left="820" w:right="8834"/>
      </w:pPr>
      <w:r>
        <w:rPr/>
        <w:t>Dr. N.M. Danjuma</w:t>
      </w:r>
      <w:r>
        <w:rPr>
          <w:spacing w:val="1"/>
        </w:rPr>
        <w:t> </w:t>
      </w:r>
      <w:r>
        <w:rPr/>
        <w:t>Head</w:t>
      </w:r>
      <w:r>
        <w:rPr>
          <w:spacing w:val="-4"/>
        </w:rPr>
        <w:t> </w:t>
      </w:r>
      <w:r>
        <w:rPr/>
        <w:t>of</w:t>
      </w:r>
      <w:r>
        <w:rPr>
          <w:spacing w:val="-10"/>
        </w:rPr>
        <w:t> </w:t>
      </w:r>
      <w:r>
        <w:rPr/>
        <w:t>Department</w:t>
      </w:r>
    </w:p>
    <w:p>
      <w:pPr>
        <w:pStyle w:val="BodyText"/>
        <w:tabs>
          <w:tab w:pos="8765" w:val="left" w:leader="none"/>
        </w:tabs>
        <w:spacing w:line="274" w:lineRule="exact"/>
        <w:ind w:left="6218"/>
      </w:pPr>
      <w:r>
        <w:rPr/>
        <w:t>Date</w:t>
      </w:r>
      <w:r>
        <w:rPr>
          <w:u w:val="single"/>
        </w:rPr>
        <w:t> </w:t>
        <w:tab/>
      </w:r>
    </w:p>
    <w:p>
      <w:pPr>
        <w:pStyle w:val="BodyText"/>
        <w:spacing w:line="20" w:lineRule="exact"/>
        <w:ind w:left="815"/>
        <w:rPr>
          <w:sz w:val="2"/>
        </w:rPr>
      </w:pPr>
      <w:r>
        <w:rPr>
          <w:sz w:val="2"/>
        </w:rPr>
        <w:pict>
          <v:group style="width:173.95pt;height:.5pt;mso-position-horizontal-relative:char;mso-position-vertical-relative:line" coordorigin="0,0" coordsize="3479,10">
            <v:shape style="position:absolute;left:0;top:4;width:3479;height:2" coordorigin="0,5" coordsize="3479,0" path="m0,5l2635,5m2640,5l3478,5e" filled="false" stroked="true" strokeweight=".479088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535" w:lineRule="auto" w:before="90"/>
        <w:ind w:left="820" w:right="8088"/>
      </w:pPr>
      <w:r>
        <w:rPr/>
        <w:t>Prof.</w:t>
      </w:r>
      <w:r>
        <w:rPr>
          <w:spacing w:val="15"/>
        </w:rPr>
        <w:t> </w:t>
      </w:r>
      <w:r>
        <w:rPr/>
        <w:t>Joshua</w:t>
      </w:r>
      <w:r>
        <w:rPr>
          <w:spacing w:val="17"/>
        </w:rPr>
        <w:t> </w:t>
      </w:r>
      <w:r>
        <w:rPr/>
        <w:t>Adebayo</w:t>
      </w:r>
      <w:r>
        <w:rPr>
          <w:spacing w:val="1"/>
        </w:rPr>
        <w:t> </w:t>
      </w:r>
      <w:r>
        <w:rPr/>
        <w:t>Dean,</w:t>
      </w:r>
      <w:r>
        <w:rPr>
          <w:spacing w:val="-1"/>
        </w:rPr>
        <w:t> </w:t>
      </w:r>
      <w:r>
        <w:rPr/>
        <w:t>Post</w:t>
      </w:r>
      <w:r>
        <w:rPr>
          <w:spacing w:val="-2"/>
        </w:rPr>
        <w:t> </w:t>
      </w:r>
      <w:r>
        <w:rPr/>
        <w:t>Graduate</w:t>
      </w:r>
      <w:r>
        <w:rPr>
          <w:spacing w:val="-3"/>
        </w:rPr>
        <w:t> </w:t>
      </w:r>
      <w:r>
        <w:rPr/>
        <w:t>School</w:t>
      </w:r>
    </w:p>
    <w:p>
      <w:pPr>
        <w:spacing w:after="0" w:line="535" w:lineRule="auto"/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ind w:left="978" w:right="1604"/>
        <w:jc w:val="center"/>
      </w:pPr>
      <w:r>
        <w:rPr/>
        <w:t>DEDICATION</w:t>
      </w:r>
    </w:p>
    <w:p>
      <w:pPr>
        <w:pStyle w:val="BodyText"/>
        <w:rPr>
          <w:b/>
          <w:sz w:val="29"/>
        </w:rPr>
      </w:pPr>
    </w:p>
    <w:p>
      <w:pPr>
        <w:pStyle w:val="BodyText"/>
        <w:ind w:left="820"/>
      </w:pPr>
      <w:r>
        <w:rPr/>
        <w:t>Dedicated</w:t>
      </w:r>
      <w:r>
        <w:rPr>
          <w:spacing w:val="-9"/>
        </w:rPr>
        <w:t> </w:t>
      </w:r>
      <w:r>
        <w:rPr/>
        <w:t>to</w:t>
      </w:r>
      <w:r>
        <w:rPr>
          <w:spacing w:val="1"/>
        </w:rPr>
        <w:t> </w:t>
      </w:r>
      <w:r>
        <w:rPr/>
        <w:t>Allah</w:t>
      </w:r>
      <w:r>
        <w:rPr>
          <w:spacing w:val="-8"/>
        </w:rPr>
        <w:t> </w:t>
      </w:r>
      <w:r>
        <w:rPr/>
        <w:t>(SWT)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His</w:t>
      </w:r>
      <w:r>
        <w:rPr>
          <w:spacing w:val="-5"/>
        </w:rPr>
        <w:t> </w:t>
      </w:r>
      <w:r>
        <w:rPr/>
        <w:t>Kindness,</w:t>
      </w:r>
      <w:r>
        <w:rPr>
          <w:spacing w:val="-2"/>
        </w:rPr>
        <w:t> </w:t>
      </w:r>
      <w:r>
        <w:rPr/>
        <w:t>Mercy,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Blessings.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5" w:lineRule="auto" w:before="1"/>
        <w:ind w:left="820" w:right="1433"/>
      </w:pPr>
      <w:r>
        <w:rPr/>
        <w:t>To</w:t>
      </w:r>
      <w:r>
        <w:rPr>
          <w:spacing w:val="11"/>
        </w:rPr>
        <w:t> </w:t>
      </w:r>
      <w:r>
        <w:rPr/>
        <w:t>my</w:t>
      </w:r>
      <w:r>
        <w:rPr>
          <w:spacing w:val="7"/>
        </w:rPr>
        <w:t> </w:t>
      </w:r>
      <w:r>
        <w:rPr/>
        <w:t>parents,</w:t>
      </w:r>
      <w:r>
        <w:rPr>
          <w:spacing w:val="14"/>
        </w:rPr>
        <w:t> </w:t>
      </w:r>
      <w:r>
        <w:rPr/>
        <w:t>my</w:t>
      </w:r>
      <w:r>
        <w:rPr>
          <w:spacing w:val="7"/>
        </w:rPr>
        <w:t> </w:t>
      </w:r>
      <w:r>
        <w:rPr/>
        <w:t>husband,</w:t>
      </w:r>
      <w:r>
        <w:rPr>
          <w:spacing w:val="18"/>
        </w:rPr>
        <w:t> </w:t>
      </w:r>
      <w:r>
        <w:rPr/>
        <w:t>my</w:t>
      </w:r>
      <w:r>
        <w:rPr>
          <w:spacing w:val="7"/>
        </w:rPr>
        <w:t> </w:t>
      </w:r>
      <w:r>
        <w:rPr/>
        <w:t>siblings,</w:t>
      </w:r>
      <w:r>
        <w:rPr>
          <w:spacing w:val="14"/>
        </w:rPr>
        <w:t> </w:t>
      </w:r>
      <w:r>
        <w:rPr/>
        <w:t>and</w:t>
      </w:r>
      <w:r>
        <w:rPr>
          <w:spacing w:val="11"/>
        </w:rPr>
        <w:t> </w:t>
      </w:r>
      <w:r>
        <w:rPr/>
        <w:t>entire</w:t>
      </w:r>
      <w:r>
        <w:rPr>
          <w:spacing w:val="11"/>
        </w:rPr>
        <w:t> </w:t>
      </w:r>
      <w:r>
        <w:rPr/>
        <w:t>family;</w:t>
      </w:r>
      <w:r>
        <w:rPr>
          <w:spacing w:val="12"/>
        </w:rPr>
        <w:t> </w:t>
      </w:r>
      <w:r>
        <w:rPr/>
        <w:t>for</w:t>
      </w:r>
      <w:r>
        <w:rPr>
          <w:spacing w:val="17"/>
        </w:rPr>
        <w:t> </w:t>
      </w:r>
      <w:r>
        <w:rPr/>
        <w:t>your</w:t>
      </w:r>
      <w:r>
        <w:rPr>
          <w:spacing w:val="13"/>
        </w:rPr>
        <w:t> </w:t>
      </w:r>
      <w:r>
        <w:rPr/>
        <w:t>constant</w:t>
      </w:r>
      <w:r>
        <w:rPr>
          <w:spacing w:val="16"/>
        </w:rPr>
        <w:t> </w:t>
      </w:r>
      <w:r>
        <w:rPr/>
        <w:t>love,</w:t>
      </w:r>
      <w:r>
        <w:rPr>
          <w:spacing w:val="14"/>
        </w:rPr>
        <w:t> </w:t>
      </w:r>
      <w:r>
        <w:rPr/>
        <w:t>prayers</w:t>
      </w:r>
      <w:r>
        <w:rPr>
          <w:spacing w:val="9"/>
        </w:rPr>
        <w:t> </w:t>
      </w:r>
      <w:r>
        <w:rPr/>
        <w:t>and</w:t>
      </w:r>
      <w:r>
        <w:rPr>
          <w:spacing w:val="-57"/>
        </w:rPr>
        <w:t> </w:t>
      </w:r>
      <w:r>
        <w:rPr/>
        <w:t>support;</w:t>
      </w:r>
      <w:r>
        <w:rPr>
          <w:spacing w:val="-6"/>
        </w:rPr>
        <w:t> </w:t>
      </w:r>
      <w:r>
        <w:rPr/>
        <w:t>may</w:t>
      </w:r>
      <w:r>
        <w:rPr>
          <w:spacing w:val="-1"/>
        </w:rPr>
        <w:t> </w:t>
      </w:r>
      <w:r>
        <w:rPr/>
        <w:t>Allah</w:t>
      </w:r>
      <w:r>
        <w:rPr>
          <w:spacing w:val="-7"/>
        </w:rPr>
        <w:t> </w:t>
      </w:r>
      <w:r>
        <w:rPr/>
        <w:t>reward</w:t>
      </w:r>
      <w:r>
        <w:rPr>
          <w:spacing w:val="3"/>
        </w:rPr>
        <w:t> </w:t>
      </w:r>
      <w:r>
        <w:rPr/>
        <w:t>you</w:t>
      </w:r>
      <w:r>
        <w:rPr>
          <w:spacing w:val="-1"/>
        </w:rPr>
        <w:t> </w:t>
      </w:r>
      <w:r>
        <w:rPr/>
        <w:t>all</w:t>
      </w:r>
      <w:r>
        <w:rPr>
          <w:spacing w:val="-5"/>
        </w:rPr>
        <w:t> </w:t>
      </w:r>
      <w:r>
        <w:rPr/>
        <w:t>abundantly</w:t>
      </w:r>
      <w:r>
        <w:rPr>
          <w:spacing w:val="-7"/>
        </w:rPr>
        <w:t> </w:t>
      </w:r>
      <w:r>
        <w:rPr/>
        <w:t>and</w:t>
      </w:r>
      <w:r>
        <w:rPr>
          <w:spacing w:val="-1"/>
        </w:rPr>
        <w:t> </w:t>
      </w:r>
      <w:r>
        <w:rPr/>
        <w:t>grant</w:t>
      </w:r>
      <w:r>
        <w:rPr>
          <w:spacing w:val="3"/>
        </w:rPr>
        <w:t> </w:t>
      </w:r>
      <w:r>
        <w:rPr/>
        <w:t>you</w:t>
      </w:r>
      <w:r>
        <w:rPr>
          <w:spacing w:val="-2"/>
        </w:rPr>
        <w:t> </w:t>
      </w:r>
      <w:r>
        <w:rPr/>
        <w:t>all</w:t>
      </w:r>
      <w:r>
        <w:rPr>
          <w:spacing w:val="-10"/>
        </w:rPr>
        <w:t> </w:t>
      </w:r>
      <w:r>
        <w:rPr/>
        <w:t>the</w:t>
      </w:r>
      <w:r>
        <w:rPr>
          <w:spacing w:val="3"/>
        </w:rPr>
        <w:t> </w:t>
      </w:r>
      <w:r>
        <w:rPr/>
        <w:t>best</w:t>
      </w:r>
      <w:r>
        <w:rPr>
          <w:spacing w:val="7"/>
        </w:rPr>
        <w:t> </w:t>
      </w:r>
      <w:r>
        <w:rPr/>
        <w:t>in</w:t>
      </w:r>
      <w:r>
        <w:rPr>
          <w:spacing w:val="-6"/>
        </w:rPr>
        <w:t> </w:t>
      </w:r>
      <w:r>
        <w:rPr/>
        <w:t>both</w:t>
      </w:r>
      <w:r>
        <w:rPr>
          <w:spacing w:val="-6"/>
        </w:rPr>
        <w:t> </w:t>
      </w:r>
      <w:r>
        <w:rPr/>
        <w:t>worlds. Amin.</w:t>
      </w:r>
    </w:p>
    <w:p>
      <w:pPr>
        <w:spacing w:after="0" w:line="355" w:lineRule="auto"/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ind w:left="981" w:right="1604"/>
        <w:jc w:val="center"/>
      </w:pPr>
      <w:r>
        <w:rPr/>
        <w:t>ACKNOWLEDGEMENTS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55" w:lineRule="auto" w:before="1"/>
        <w:ind w:left="820" w:right="1446"/>
        <w:jc w:val="both"/>
      </w:pPr>
      <w:r>
        <w:rPr/>
        <w:t>I thank the Almighty Allah who through His Devine Guidance, Love, Mercy, and Sustenance has</w:t>
      </w:r>
      <w:r>
        <w:rPr>
          <w:spacing w:val="-58"/>
        </w:rPr>
        <w:t> </w:t>
      </w:r>
      <w:r>
        <w:rPr/>
        <w:t>brought</w:t>
      </w:r>
      <w:r>
        <w:rPr>
          <w:spacing w:val="2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-8"/>
        </w:rPr>
        <w:t> </w:t>
      </w:r>
      <w:r>
        <w:rPr/>
        <w:t>to</w:t>
      </w:r>
      <w:r>
        <w:rPr>
          <w:spacing w:val="7"/>
        </w:rPr>
        <w:t> </w:t>
      </w:r>
      <w:r>
        <w:rPr/>
        <w:t>fulfilment.</w:t>
      </w:r>
    </w:p>
    <w:p>
      <w:pPr>
        <w:pStyle w:val="BodyText"/>
        <w:spacing w:line="360" w:lineRule="auto" w:before="210"/>
        <w:ind w:left="820" w:right="1448"/>
        <w:jc w:val="both"/>
      </w:pPr>
      <w:r>
        <w:rPr/>
        <w:t>I wish to express sincere appreciation to my supervisors Dr. A.U. Zezi, Dr. (Mrs). B.B. Maiha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(Mrs.)</w:t>
      </w:r>
      <w:r>
        <w:rPr>
          <w:spacing w:val="1"/>
        </w:rPr>
        <w:t> </w:t>
      </w:r>
      <w:r>
        <w:rPr/>
        <w:t>A.I.</w:t>
      </w:r>
      <w:r>
        <w:rPr>
          <w:spacing w:val="1"/>
        </w:rPr>
        <w:t> </w:t>
      </w:r>
      <w:r>
        <w:rPr/>
        <w:t>Mamman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constant</w:t>
      </w:r>
      <w:r>
        <w:rPr>
          <w:spacing w:val="1"/>
        </w:rPr>
        <w:t> </w:t>
      </w:r>
      <w:r>
        <w:rPr/>
        <w:t>support,</w:t>
      </w:r>
      <w:r>
        <w:rPr>
          <w:spacing w:val="1"/>
        </w:rPr>
        <w:t> </w:t>
      </w:r>
      <w:r>
        <w:rPr/>
        <w:t>understanding,</w:t>
      </w:r>
      <w:r>
        <w:rPr>
          <w:spacing w:val="1"/>
        </w:rPr>
        <w:t> </w:t>
      </w:r>
      <w:r>
        <w:rPr/>
        <w:t>guidance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encouragement.</w:t>
      </w:r>
    </w:p>
    <w:p>
      <w:pPr>
        <w:pStyle w:val="BodyText"/>
        <w:spacing w:line="360" w:lineRule="auto" w:before="198"/>
        <w:ind w:left="820" w:right="1450"/>
        <w:jc w:val="both"/>
      </w:pPr>
      <w:r>
        <w:rPr/>
        <w:t>Special thanks to my parents, husband, siblings and our children for their continuous patience,</w:t>
      </w:r>
      <w:r>
        <w:rPr>
          <w:spacing w:val="1"/>
        </w:rPr>
        <w:t> </w:t>
      </w:r>
      <w:r>
        <w:rPr/>
        <w:t>prayers,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support.</w:t>
      </w:r>
    </w:p>
    <w:p>
      <w:pPr>
        <w:pStyle w:val="BodyText"/>
        <w:spacing w:line="360" w:lineRule="auto" w:before="204"/>
        <w:ind w:left="820" w:right="1444"/>
        <w:jc w:val="both"/>
      </w:pPr>
      <w:r>
        <w:rPr/>
        <w:t>My sincere and heartfelt gratitude goes to all the staff of Pharmacology Department, A.B.U.,</w:t>
      </w:r>
      <w:r>
        <w:rPr>
          <w:spacing w:val="1"/>
        </w:rPr>
        <w:t> </w:t>
      </w:r>
      <w:r>
        <w:rPr/>
        <w:t>Zaria,</w:t>
      </w:r>
      <w:r>
        <w:rPr>
          <w:spacing w:val="1"/>
        </w:rPr>
        <w:t> </w:t>
      </w:r>
      <w:r>
        <w:rPr/>
        <w:t>Haematology</w:t>
      </w:r>
      <w:r>
        <w:rPr>
          <w:spacing w:val="1"/>
        </w:rPr>
        <w:t> </w:t>
      </w:r>
      <w:r>
        <w:rPr/>
        <w:t>Department,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(ABUTH),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Pathology</w:t>
      </w:r>
      <w:r>
        <w:rPr>
          <w:spacing w:val="1"/>
        </w:rPr>
        <w:t> </w:t>
      </w:r>
      <w:r>
        <w:rPr/>
        <w:t>Department,</w:t>
      </w:r>
      <w:r>
        <w:rPr>
          <w:spacing w:val="1"/>
        </w:rPr>
        <w:t> </w:t>
      </w:r>
      <w:r>
        <w:rPr/>
        <w:t>ABUTH,</w:t>
      </w:r>
      <w:r>
        <w:rPr>
          <w:spacing w:val="1"/>
        </w:rPr>
        <w:t> </w:t>
      </w:r>
      <w:r>
        <w:rPr/>
        <w:t>Pharmacy</w:t>
      </w:r>
      <w:r>
        <w:rPr>
          <w:spacing w:val="1"/>
        </w:rPr>
        <w:t> </w:t>
      </w:r>
      <w:r>
        <w:rPr/>
        <w:t>Department,</w:t>
      </w:r>
      <w:r>
        <w:rPr>
          <w:spacing w:val="1"/>
        </w:rPr>
        <w:t> </w:t>
      </w:r>
      <w:r>
        <w:rPr/>
        <w:t>ABUTH,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Madina</w:t>
      </w:r>
      <w:r>
        <w:rPr>
          <w:spacing w:val="1"/>
        </w:rPr>
        <w:t> </w:t>
      </w:r>
      <w:r>
        <w:rPr/>
        <w:t>Pharmacy Limited,</w:t>
      </w:r>
      <w:r>
        <w:rPr>
          <w:spacing w:val="1"/>
        </w:rPr>
        <w:t> </w:t>
      </w:r>
      <w:r>
        <w:rPr/>
        <w:t>and Nasara Treatment and Care Centre, APIN, ABUTH. I say a big thank</w:t>
      </w:r>
      <w:r>
        <w:rPr>
          <w:spacing w:val="1"/>
        </w:rPr>
        <w:t> </w:t>
      </w:r>
      <w:r>
        <w:rPr/>
        <w:t>you.</w:t>
      </w:r>
    </w:p>
    <w:p>
      <w:pPr>
        <w:pStyle w:val="BodyText"/>
        <w:spacing w:line="360" w:lineRule="auto" w:before="196"/>
        <w:ind w:left="820" w:right="1438"/>
        <w:jc w:val="both"/>
      </w:pPr>
      <w:r>
        <w:rPr/>
        <w:t>To all the patients and volunteers who consented to participating in this study, indeed this work</w:t>
      </w:r>
      <w:r>
        <w:rPr>
          <w:spacing w:val="1"/>
        </w:rPr>
        <w:t> </w:t>
      </w:r>
      <w:r>
        <w:rPr/>
        <w:t>would not</w:t>
      </w:r>
      <w:r>
        <w:rPr>
          <w:spacing w:val="6"/>
        </w:rPr>
        <w:t> </w:t>
      </w:r>
      <w:r>
        <w:rPr/>
        <w:t>have</w:t>
      </w:r>
      <w:r>
        <w:rPr>
          <w:spacing w:val="5"/>
        </w:rPr>
        <w:t> </w:t>
      </w:r>
      <w:r>
        <w:rPr/>
        <w:t>been</w:t>
      </w:r>
      <w:r>
        <w:rPr>
          <w:spacing w:val="-4"/>
        </w:rPr>
        <w:t> </w:t>
      </w:r>
      <w:r>
        <w:rPr/>
        <w:t>possible without</w:t>
      </w:r>
      <w:r>
        <w:rPr>
          <w:spacing w:val="1"/>
        </w:rPr>
        <w:t> </w:t>
      </w:r>
      <w:r>
        <w:rPr/>
        <w:t>you.</w:t>
      </w:r>
      <w:r>
        <w:rPr>
          <w:spacing w:val="3"/>
        </w:rPr>
        <w:t> </w:t>
      </w:r>
      <w:r>
        <w:rPr/>
        <w:t>May</w:t>
      </w:r>
      <w:r>
        <w:rPr>
          <w:spacing w:val="-9"/>
        </w:rPr>
        <w:t> </w:t>
      </w:r>
      <w:r>
        <w:rPr/>
        <w:t>the Almighty</w:t>
      </w:r>
      <w:r>
        <w:rPr>
          <w:spacing w:val="-3"/>
        </w:rPr>
        <w:t> </w:t>
      </w:r>
      <w:r>
        <w:rPr/>
        <w:t>bless</w:t>
      </w:r>
      <w:r>
        <w:rPr>
          <w:spacing w:val="3"/>
        </w:rPr>
        <w:t> </w:t>
      </w:r>
      <w:r>
        <w:rPr/>
        <w:t>you.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ind w:left="988" w:right="1604"/>
        <w:jc w:val="center"/>
      </w:pPr>
      <w:r>
        <w:rPr/>
        <w:t>ABSTRACT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 w:before="1"/>
        <w:ind w:left="820" w:right="1439"/>
        <w:jc w:val="both"/>
      </w:pPr>
      <w:r>
        <w:rPr/>
        <w:t>Sickle cell diseases (SCD) have numerous complications which vary widely among patients</w:t>
      </w:r>
      <w:r>
        <w:rPr>
          <w:spacing w:val="1"/>
        </w:rPr>
        <w:t> </w:t>
      </w:r>
      <w:r>
        <w:rPr/>
        <w:t>making drug treatment difficult. In addition, SCDs are associated with deficiencies in some</w:t>
      </w:r>
      <w:r>
        <w:rPr>
          <w:spacing w:val="1"/>
        </w:rPr>
        <w:t> </w:t>
      </w:r>
      <w:r>
        <w:rPr/>
        <w:t>micronutrients;</w:t>
      </w:r>
      <w:r>
        <w:rPr>
          <w:spacing w:val="1"/>
        </w:rPr>
        <w:t> </w:t>
      </w:r>
      <w:r>
        <w:rPr/>
        <w:t>supplementation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ameliorate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contribute to existing drug management strategies. The drug utilisation of 45 SCD patients in</w:t>
      </w:r>
      <w:r>
        <w:rPr>
          <w:spacing w:val="1"/>
        </w:rPr>
        <w:t> </w:t>
      </w:r>
      <w:r>
        <w:rPr/>
        <w:t>crises and 45 SCD patients in steady state in a Nigerian Teaching Hospital (Ahmadu Bello</w:t>
      </w:r>
      <w:r>
        <w:rPr>
          <w:spacing w:val="1"/>
        </w:rPr>
        <w:t> </w:t>
      </w:r>
      <w:r>
        <w:rPr/>
        <w:t>University Teaching Hospital, Shika, Zaria-ABUTH) was evaluated. 45 HbAA volunteers acted</w:t>
      </w:r>
      <w:r>
        <w:rPr>
          <w:spacing w:val="1"/>
        </w:rPr>
        <w:t> </w:t>
      </w:r>
      <w:r>
        <w:rPr/>
        <w:t>as controls. The medication and clinical history was obtained via questionnaire and interview of</w:t>
      </w:r>
      <w:r>
        <w:rPr>
          <w:spacing w:val="1"/>
        </w:rPr>
        <w:t> </w:t>
      </w:r>
      <w:r>
        <w:rPr/>
        <w:t>patients and their care givers. Plasma magnesium, zinc, copper and iron levels of the SCD</w:t>
      </w:r>
      <w:r>
        <w:rPr>
          <w:spacing w:val="1"/>
        </w:rPr>
        <w:t> </w:t>
      </w:r>
      <w:r>
        <w:rPr/>
        <w:t>patients and 45 age and sex matched HbAA controls was determined using spectrophotometric</w:t>
      </w:r>
      <w:r>
        <w:rPr>
          <w:spacing w:val="1"/>
        </w:rPr>
        <w:t> </w:t>
      </w:r>
      <w:r>
        <w:rPr/>
        <w:t>methods (Beckman Coulter DU 520 Colorimeter). Genotype was determined using haemoglobin</w:t>
      </w:r>
      <w:r>
        <w:rPr>
          <w:spacing w:val="1"/>
        </w:rPr>
        <w:t> </w:t>
      </w:r>
      <w:r>
        <w:rPr/>
        <w:t>electrophoresis following sickle test. While, full blood count was determined using standard</w:t>
      </w:r>
      <w:r>
        <w:rPr>
          <w:spacing w:val="1"/>
        </w:rPr>
        <w:t> </w:t>
      </w:r>
      <w:r>
        <w:rPr/>
        <w:t>methods. The drug management was in line with standard treatment guidelines (2008). The SCD</w:t>
      </w:r>
      <w:r>
        <w:rPr>
          <w:spacing w:val="1"/>
        </w:rPr>
        <w:t> </w:t>
      </w:r>
      <w:r>
        <w:rPr/>
        <w:t>crises group had a higher percentage of analgesic use than the steady state group; however their</w:t>
      </w:r>
      <w:r>
        <w:rPr>
          <w:spacing w:val="1"/>
        </w:rPr>
        <w:t> </w:t>
      </w:r>
      <w:r>
        <w:rPr/>
        <w:t>routine drug use was similar with the exception of liberal fluid intake which was more in the</w:t>
      </w:r>
      <w:r>
        <w:rPr>
          <w:spacing w:val="1"/>
        </w:rPr>
        <w:t> </w:t>
      </w:r>
      <w:r>
        <w:rPr/>
        <w:t>steady state group. Further analysis of the drug utilisation patterns with respect to haemoglobin</w:t>
      </w:r>
      <w:r>
        <w:rPr>
          <w:spacing w:val="1"/>
        </w:rPr>
        <w:t> </w:t>
      </w:r>
      <w:r>
        <w:rPr/>
        <w:t>variants (HbSS, HbSS+F and HbSC) showed a variation, with the HbSS having the highest</w:t>
      </w:r>
      <w:r>
        <w:rPr>
          <w:spacing w:val="1"/>
        </w:rPr>
        <w:t> </w:t>
      </w:r>
      <w:r>
        <w:rPr/>
        <w:t>analgesic utilisation. Non opioid analgesics were more commonly used than opioid analgesics.</w:t>
      </w:r>
      <w:r>
        <w:rPr>
          <w:spacing w:val="1"/>
        </w:rPr>
        <w:t> </w:t>
      </w:r>
      <w:r>
        <w:rPr/>
        <w:t>Amoxicillin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of choice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infection.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SCD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amoxicillin had a significantly higher (p&lt;0.05) white blood cell count than SCD patients who</w:t>
      </w:r>
      <w:r>
        <w:rPr>
          <w:spacing w:val="1"/>
        </w:rPr>
        <w:t> </w:t>
      </w:r>
      <w:r>
        <w:rPr/>
        <w:t>were not on amoxicillin. Full blood counts of the HbAA controls fell within normal limits. There</w:t>
      </w:r>
      <w:r>
        <w:rPr>
          <w:spacing w:val="-57"/>
        </w:rPr>
        <w:t> </w:t>
      </w:r>
      <w:r>
        <w:rPr/>
        <w:t>was a statistically significant difference between these values and those found in both SCD</w:t>
      </w:r>
      <w:r>
        <w:rPr>
          <w:spacing w:val="1"/>
        </w:rPr>
        <w:t> </w:t>
      </w:r>
      <w:r>
        <w:rPr/>
        <w:t>groups. The mean plasma magnesium of the SCD patients was significantly lower (p&lt;0.05) than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HbAA;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magnesium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crises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significantly lower (p&lt;0.05) than that</w:t>
      </w:r>
      <w:r>
        <w:rPr>
          <w:spacing w:val="1"/>
        </w:rPr>
        <w:t> </w:t>
      </w:r>
      <w:r>
        <w:rPr/>
        <w:t>of the SCD</w:t>
      </w:r>
      <w:r>
        <w:rPr>
          <w:spacing w:val="1"/>
        </w:rPr>
        <w:t> </w:t>
      </w:r>
      <w:r>
        <w:rPr/>
        <w:t>in steady state.</w:t>
      </w:r>
      <w:r>
        <w:rPr>
          <w:spacing w:val="1"/>
        </w:rPr>
        <w:t> </w:t>
      </w:r>
      <w:r>
        <w:rPr/>
        <w:t>Although,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mean plasma</w:t>
      </w:r>
      <w:r>
        <w:rPr>
          <w:spacing w:val="1"/>
        </w:rPr>
        <w:t> </w:t>
      </w:r>
      <w:r>
        <w:rPr/>
        <w:t>zinc levels of the SCD patients was lower than that of the HbAA, it was not significant (p&lt;0.05).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 plasma</w:t>
      </w:r>
      <w:r>
        <w:rPr>
          <w:spacing w:val="1"/>
        </w:rPr>
        <w:t> </w:t>
      </w:r>
      <w:r>
        <w:rPr/>
        <w:t>iron levels of the SCD patients was significantly higher</w:t>
      </w:r>
      <w:r>
        <w:rPr>
          <w:spacing w:val="60"/>
        </w:rPr>
        <w:t> </w:t>
      </w:r>
      <w:r>
        <w:rPr/>
        <w:t>(p&lt;0.05) than the</w:t>
      </w:r>
      <w:r>
        <w:rPr>
          <w:spacing w:val="1"/>
        </w:rPr>
        <w:t> </w:t>
      </w:r>
      <w:r>
        <w:rPr/>
        <w:t>mean plasma iron levels of the HbAA controls. In conclusion, the drug management strategies in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Haematology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ABUTH</w:t>
      </w:r>
      <w:r>
        <w:rPr>
          <w:spacing w:val="1"/>
        </w:rPr>
        <w:t> </w:t>
      </w:r>
      <w:r>
        <w:rPr/>
        <w:t>conformed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guidelines.</w:t>
      </w:r>
      <w:r>
        <w:rPr>
          <w:spacing w:val="1"/>
        </w:rPr>
        <w:t> </w:t>
      </w:r>
      <w:r>
        <w:rPr/>
        <w:t>Individualised care will be needed in patients on chronic analgesia in other to prevent co morbid</w:t>
      </w:r>
      <w:r>
        <w:rPr>
          <w:spacing w:val="1"/>
        </w:rPr>
        <w:t> </w:t>
      </w:r>
      <w:r>
        <w:rPr/>
        <w:t>gastrointestinal,</w:t>
      </w:r>
      <w:r>
        <w:rPr>
          <w:spacing w:val="8"/>
        </w:rPr>
        <w:t> </w:t>
      </w:r>
      <w:r>
        <w:rPr/>
        <w:t>hepatic</w:t>
      </w:r>
      <w:r>
        <w:rPr>
          <w:spacing w:val="59"/>
        </w:rPr>
        <w:t> </w:t>
      </w:r>
      <w:r>
        <w:rPr/>
        <w:t>and</w:t>
      </w:r>
      <w:r>
        <w:rPr>
          <w:spacing w:val="6"/>
        </w:rPr>
        <w:t> </w:t>
      </w:r>
      <w:r>
        <w:rPr/>
        <w:t>renal</w:t>
      </w:r>
      <w:r>
        <w:rPr>
          <w:spacing w:val="57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toxicities,</w:t>
      </w:r>
      <w:r>
        <w:rPr>
          <w:spacing w:val="8"/>
        </w:rPr>
        <w:t> </w:t>
      </w:r>
      <w:r>
        <w:rPr/>
        <w:t>as</w:t>
      </w:r>
      <w:r>
        <w:rPr>
          <w:spacing w:val="4"/>
        </w:rPr>
        <w:t> </w:t>
      </w:r>
      <w:r>
        <w:rPr/>
        <w:t>well</w:t>
      </w:r>
      <w:r>
        <w:rPr>
          <w:spacing w:val="2"/>
        </w:rPr>
        <w:t> </w:t>
      </w:r>
      <w:r>
        <w:rPr/>
        <w:t>as</w:t>
      </w:r>
      <w:r>
        <w:rPr>
          <w:spacing w:val="58"/>
        </w:rPr>
        <w:t> </w:t>
      </w:r>
      <w:r>
        <w:rPr/>
        <w:t>tolerance</w:t>
      </w:r>
      <w:r>
        <w:rPr>
          <w:spacing w:val="5"/>
        </w:rPr>
        <w:t> </w:t>
      </w:r>
      <w:r>
        <w:rPr/>
        <w:t>and</w:t>
      </w:r>
      <w:r>
        <w:rPr>
          <w:spacing w:val="1"/>
        </w:rPr>
        <w:t> </w:t>
      </w:r>
      <w:r>
        <w:rPr/>
        <w:t>addiction.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60" w:lineRule="auto" w:before="72"/>
        <w:ind w:left="820" w:right="1439"/>
        <w:jc w:val="both"/>
      </w:pPr>
      <w:r>
        <w:rPr/>
        <w:t>Plasma magnesium levels were significantly lower in crises group than other groups suggesting</w:t>
      </w:r>
      <w:r>
        <w:rPr>
          <w:spacing w:val="1"/>
        </w:rPr>
        <w:t> </w:t>
      </w:r>
      <w:r>
        <w:rPr/>
        <w:t>low magnesium levels may be a contributor to the severity of crises. Plasma zinc levels of both</w:t>
      </w:r>
      <w:r>
        <w:rPr>
          <w:spacing w:val="1"/>
        </w:rPr>
        <w:t> </w:t>
      </w:r>
      <w:r>
        <w:rPr/>
        <w:t>SCD groups were also low, suggesting there may be greater zinc utilization in the SCD patients.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micronutrient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differed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HbAA</w:t>
      </w:r>
      <w:r>
        <w:rPr>
          <w:spacing w:val="1"/>
        </w:rPr>
        <w:t> </w:t>
      </w:r>
      <w:r>
        <w:rPr/>
        <w:t>controls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possible</w:t>
      </w:r>
      <w:r>
        <w:rPr>
          <w:spacing w:val="5"/>
        </w:rPr>
        <w:t> </w:t>
      </w:r>
      <w:r>
        <w:rPr/>
        <w:t>mode</w:t>
      </w:r>
      <w:r>
        <w:rPr>
          <w:spacing w:val="6"/>
        </w:rPr>
        <w:t> </w:t>
      </w:r>
      <w:r>
        <w:rPr/>
        <w:t>for</w:t>
      </w:r>
      <w:r>
        <w:rPr>
          <w:spacing w:val="-2"/>
        </w:rPr>
        <w:t> </w:t>
      </w:r>
      <w:r>
        <w:rPr/>
        <w:t>therapeutic</w:t>
      </w:r>
      <w:r>
        <w:rPr>
          <w:spacing w:val="6"/>
        </w:rPr>
        <w:t> </w:t>
      </w:r>
      <w:r>
        <w:rPr/>
        <w:t>intervention.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tbl>
      <w:tblPr>
        <w:tblW w:w="0" w:type="auto"/>
        <w:jc w:val="left"/>
        <w:tblInd w:w="7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9"/>
        <w:gridCol w:w="4555"/>
        <w:gridCol w:w="1761"/>
      </w:tblGrid>
      <w:tr>
        <w:trPr>
          <w:trHeight w:val="389" w:hRule="atLeast"/>
        </w:trPr>
        <w:tc>
          <w:tcPr>
            <w:tcW w:w="27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55" w:type="dxa"/>
          </w:tcPr>
          <w:p>
            <w:pPr>
              <w:pStyle w:val="TableParagraph"/>
              <w:spacing w:line="266" w:lineRule="exact"/>
              <w:ind w:left="635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CONTENTS</w:t>
            </w:r>
          </w:p>
        </w:tc>
        <w:tc>
          <w:tcPr>
            <w:tcW w:w="176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6" w:hRule="atLeast"/>
        </w:trPr>
        <w:tc>
          <w:tcPr>
            <w:tcW w:w="2799" w:type="dxa"/>
          </w:tcPr>
          <w:p>
            <w:pPr>
              <w:pStyle w:val="TableParagraph"/>
              <w:spacing w:before="113"/>
              <w:ind w:left="50"/>
              <w:rPr>
                <w:sz w:val="24"/>
              </w:rPr>
            </w:pPr>
            <w:r>
              <w:rPr>
                <w:sz w:val="24"/>
              </w:rPr>
              <w:t>Title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page</w:t>
            </w:r>
          </w:p>
        </w:tc>
        <w:tc>
          <w:tcPr>
            <w:tcW w:w="45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spacing w:before="113"/>
              <w:ind w:left="1336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</w:tr>
      <w:tr>
        <w:trPr>
          <w:trHeight w:val="515" w:hRule="atLeast"/>
        </w:trPr>
        <w:tc>
          <w:tcPr>
            <w:tcW w:w="2799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Declaration</w:t>
            </w:r>
          </w:p>
        </w:tc>
        <w:tc>
          <w:tcPr>
            <w:tcW w:w="45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spacing w:before="116"/>
              <w:ind w:left="1336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</w:tr>
      <w:tr>
        <w:trPr>
          <w:trHeight w:val="515" w:hRule="atLeast"/>
        </w:trPr>
        <w:tc>
          <w:tcPr>
            <w:tcW w:w="2799" w:type="dxa"/>
          </w:tcPr>
          <w:p>
            <w:pPr>
              <w:pStyle w:val="TableParagraph"/>
              <w:spacing w:before="113"/>
              <w:ind w:left="50"/>
              <w:rPr>
                <w:sz w:val="24"/>
              </w:rPr>
            </w:pPr>
            <w:r>
              <w:rPr>
                <w:sz w:val="24"/>
              </w:rPr>
              <w:t>Certification</w:t>
            </w:r>
          </w:p>
        </w:tc>
        <w:tc>
          <w:tcPr>
            <w:tcW w:w="45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spacing w:before="113"/>
              <w:ind w:left="1336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518" w:hRule="atLeast"/>
        </w:trPr>
        <w:tc>
          <w:tcPr>
            <w:tcW w:w="2799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Dedication</w:t>
            </w:r>
          </w:p>
        </w:tc>
        <w:tc>
          <w:tcPr>
            <w:tcW w:w="45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spacing w:before="116"/>
              <w:ind w:left="1336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</w:tr>
      <w:tr>
        <w:trPr>
          <w:trHeight w:val="518" w:hRule="atLeast"/>
        </w:trPr>
        <w:tc>
          <w:tcPr>
            <w:tcW w:w="2799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Acknowledgement</w:t>
            </w:r>
          </w:p>
        </w:tc>
        <w:tc>
          <w:tcPr>
            <w:tcW w:w="45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spacing w:before="116"/>
              <w:ind w:left="1336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</w:tr>
      <w:tr>
        <w:trPr>
          <w:trHeight w:val="518" w:hRule="atLeast"/>
        </w:trPr>
        <w:tc>
          <w:tcPr>
            <w:tcW w:w="2799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Abstract</w:t>
            </w:r>
          </w:p>
        </w:tc>
        <w:tc>
          <w:tcPr>
            <w:tcW w:w="45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spacing w:before="116"/>
              <w:ind w:left="1336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</w:tr>
      <w:tr>
        <w:trPr>
          <w:trHeight w:val="516" w:hRule="atLeast"/>
        </w:trPr>
        <w:tc>
          <w:tcPr>
            <w:tcW w:w="2799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Table 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contents</w:t>
            </w:r>
          </w:p>
        </w:tc>
        <w:tc>
          <w:tcPr>
            <w:tcW w:w="45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spacing w:before="116"/>
              <w:ind w:left="1336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</w:tr>
      <w:tr>
        <w:trPr>
          <w:trHeight w:val="515" w:hRule="atLeast"/>
        </w:trPr>
        <w:tc>
          <w:tcPr>
            <w:tcW w:w="2799" w:type="dxa"/>
          </w:tcPr>
          <w:p>
            <w:pPr>
              <w:pStyle w:val="TableParagraph"/>
              <w:spacing w:before="113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figures</w:t>
            </w:r>
          </w:p>
        </w:tc>
        <w:tc>
          <w:tcPr>
            <w:tcW w:w="45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spacing w:before="113"/>
              <w:ind w:left="1336"/>
              <w:rPr>
                <w:sz w:val="24"/>
              </w:rPr>
            </w:pPr>
            <w:r>
              <w:rPr>
                <w:sz w:val="24"/>
              </w:rPr>
              <w:t>xiii</w:t>
            </w:r>
          </w:p>
        </w:tc>
      </w:tr>
      <w:tr>
        <w:trPr>
          <w:trHeight w:val="518" w:hRule="atLeast"/>
        </w:trPr>
        <w:tc>
          <w:tcPr>
            <w:tcW w:w="2799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tables</w:t>
            </w:r>
          </w:p>
        </w:tc>
        <w:tc>
          <w:tcPr>
            <w:tcW w:w="45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spacing w:before="116"/>
              <w:ind w:left="1336"/>
              <w:rPr>
                <w:sz w:val="24"/>
              </w:rPr>
            </w:pPr>
            <w:r>
              <w:rPr>
                <w:sz w:val="24"/>
              </w:rPr>
              <w:t>xiv</w:t>
            </w:r>
          </w:p>
        </w:tc>
      </w:tr>
      <w:tr>
        <w:trPr>
          <w:trHeight w:val="518" w:hRule="atLeast"/>
        </w:trPr>
        <w:tc>
          <w:tcPr>
            <w:tcW w:w="2799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appendices</w:t>
            </w:r>
          </w:p>
        </w:tc>
        <w:tc>
          <w:tcPr>
            <w:tcW w:w="45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spacing w:before="116"/>
              <w:ind w:left="1336"/>
              <w:rPr>
                <w:sz w:val="24"/>
              </w:rPr>
            </w:pPr>
            <w:r>
              <w:rPr>
                <w:sz w:val="24"/>
              </w:rPr>
              <w:t>xv</w:t>
            </w:r>
          </w:p>
        </w:tc>
      </w:tr>
      <w:tr>
        <w:trPr>
          <w:trHeight w:val="392" w:hRule="atLeast"/>
        </w:trPr>
        <w:tc>
          <w:tcPr>
            <w:tcW w:w="2799" w:type="dxa"/>
          </w:tcPr>
          <w:p>
            <w:pPr>
              <w:pStyle w:val="TableParagraph"/>
              <w:spacing w:line="256" w:lineRule="exact" w:before="116"/>
              <w:ind w:left="50"/>
              <w:rPr>
                <w:sz w:val="24"/>
              </w:rPr>
            </w:pPr>
            <w:r>
              <w:rPr>
                <w:sz w:val="24"/>
              </w:rPr>
              <w:t>Glossaries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symbols</w:t>
            </w:r>
          </w:p>
        </w:tc>
        <w:tc>
          <w:tcPr>
            <w:tcW w:w="45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spacing w:line="256" w:lineRule="exact" w:before="116"/>
              <w:ind w:left="1336"/>
              <w:rPr>
                <w:sz w:val="24"/>
              </w:rPr>
            </w:pPr>
            <w:r>
              <w:rPr>
                <w:sz w:val="24"/>
              </w:rPr>
              <w:t>xvii</w:t>
            </w:r>
          </w:p>
        </w:tc>
      </w:tr>
    </w:tbl>
    <w:p>
      <w:pPr>
        <w:pStyle w:val="BodyText"/>
        <w:spacing w:before="5"/>
        <w:rPr>
          <w:sz w:val="13"/>
        </w:rPr>
      </w:pPr>
    </w:p>
    <w:p>
      <w:pPr>
        <w:pStyle w:val="Heading1"/>
        <w:spacing w:before="90"/>
        <w:jc w:val="left"/>
      </w:pPr>
      <w:r>
        <w:rPr/>
        <w:t>CHAPTER</w:t>
      </w:r>
      <w:r>
        <w:rPr>
          <w:spacing w:val="-6"/>
        </w:rPr>
        <w:t> </w:t>
      </w:r>
      <w:r>
        <w:rPr/>
        <w:t>ONE</w:t>
      </w:r>
      <w:r>
        <w:rPr>
          <w:spacing w:val="-7"/>
        </w:rPr>
        <w:t> </w:t>
      </w:r>
      <w:r>
        <w:rPr/>
        <w:t>(INTRODUCTION)</w:t>
      </w:r>
    </w:p>
    <w:p>
      <w:pPr>
        <w:spacing w:after="0"/>
        <w:jc w:val="left"/>
        <w:sectPr>
          <w:pgSz w:w="12240" w:h="15840"/>
          <w:pgMar w:header="0" w:footer="1017" w:top="1440" w:bottom="1699" w:left="62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1"/>
              <w:numId w:val="1"/>
            </w:numPr>
            <w:tabs>
              <w:tab w:pos="1305" w:val="left" w:leader="none"/>
              <w:tab w:pos="9579" w:val="right" w:leader="none"/>
            </w:tabs>
            <w:spacing w:line="240" w:lineRule="auto" w:before="237" w:after="0"/>
            <w:ind w:left="1304" w:right="0" w:hanging="485"/>
            <w:jc w:val="left"/>
          </w:pPr>
          <w:hyperlink w:history="true" w:anchor="_TOC_250053">
            <w:r>
              <w:rPr/>
              <w:t>Introduction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05" w:val="left" w:leader="none"/>
              <w:tab w:pos="9579" w:val="right" w:leader="none"/>
            </w:tabs>
            <w:spacing w:line="240" w:lineRule="auto" w:before="243" w:after="0"/>
            <w:ind w:left="1304" w:right="0" w:hanging="485"/>
            <w:jc w:val="left"/>
          </w:pPr>
          <w:hyperlink w:history="true" w:anchor="_TOC_250052">
            <w:r>
              <w:rPr/>
              <w:t>Statement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research</w:t>
            </w:r>
            <w:r>
              <w:rPr>
                <w:spacing w:val="-3"/>
              </w:rPr>
              <w:t> </w:t>
            </w:r>
            <w:r>
              <w:rPr/>
              <w:t>problem</w:t>
              <w:tab/>
              <w:t>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05" w:val="left" w:leader="none"/>
              <w:tab w:pos="9579" w:val="right" w:leader="none"/>
            </w:tabs>
            <w:spacing w:line="240" w:lineRule="auto" w:before="242" w:after="0"/>
            <w:ind w:left="1304" w:right="0" w:hanging="485"/>
            <w:jc w:val="left"/>
          </w:pPr>
          <w:hyperlink w:history="true" w:anchor="_TOC_250051">
            <w:r>
              <w:rPr/>
              <w:t>Justification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05" w:val="left" w:leader="none"/>
              <w:tab w:pos="9579" w:val="right" w:leader="none"/>
            </w:tabs>
            <w:spacing w:line="240" w:lineRule="auto" w:before="243" w:after="0"/>
            <w:ind w:left="1304" w:right="0" w:hanging="485"/>
            <w:jc w:val="left"/>
          </w:pPr>
          <w:hyperlink w:history="true" w:anchor="_TOC_250050">
            <w:r>
              <w:rPr/>
              <w:t>Theoretical</w:t>
            </w:r>
            <w:r>
              <w:rPr>
                <w:spacing w:val="-3"/>
              </w:rPr>
              <w:t> </w:t>
            </w:r>
            <w:r>
              <w:rPr/>
              <w:t>framework</w:t>
              <w:tab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05" w:val="left" w:leader="none"/>
              <w:tab w:pos="9579" w:val="right" w:leader="none"/>
            </w:tabs>
            <w:spacing w:line="240" w:lineRule="auto" w:before="237" w:after="0"/>
            <w:ind w:left="1304" w:right="0" w:hanging="485"/>
            <w:jc w:val="left"/>
          </w:pPr>
          <w:hyperlink w:history="true" w:anchor="_TOC_250049">
            <w:r>
              <w:rPr/>
              <w:t>Importance 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05" w:val="left" w:leader="none"/>
              <w:tab w:pos="9579" w:val="right" w:leader="none"/>
            </w:tabs>
            <w:spacing w:line="240" w:lineRule="auto" w:before="243" w:after="0"/>
            <w:ind w:left="1304" w:right="0" w:hanging="485"/>
            <w:jc w:val="left"/>
          </w:pPr>
          <w:hyperlink w:history="true" w:anchor="_TOC_250048">
            <w:r>
              <w:rPr/>
              <w:t>Objectives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05" w:val="left" w:leader="none"/>
              <w:tab w:pos="9579" w:val="right" w:leader="none"/>
            </w:tabs>
            <w:spacing w:line="240" w:lineRule="auto" w:before="242" w:after="0"/>
            <w:ind w:left="1304" w:right="0" w:hanging="485"/>
            <w:jc w:val="left"/>
          </w:pPr>
          <w:hyperlink w:history="true" w:anchor="_TOC_250047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hypothesis</w:t>
              <w:tab/>
              <w:t>6</w:t>
            </w:r>
          </w:hyperlink>
        </w:p>
        <w:p>
          <w:pPr>
            <w:pStyle w:val="TOC1"/>
            <w:spacing w:before="247"/>
          </w:pPr>
          <w:r>
            <w:rPr/>
            <w:t>CHAPTER</w:t>
          </w:r>
          <w:r>
            <w:rPr>
              <w:spacing w:val="-5"/>
            </w:rPr>
            <w:t> </w:t>
          </w:r>
          <w:r>
            <w:rPr/>
            <w:t>TWO</w:t>
          </w:r>
          <w:r>
            <w:rPr>
              <w:spacing w:val="-3"/>
            </w:rPr>
            <w:t> </w:t>
          </w:r>
          <w:r>
            <w:rPr/>
            <w:t>(LITERATURE</w:t>
          </w:r>
          <w:r>
            <w:rPr>
              <w:spacing w:val="-5"/>
            </w:rPr>
            <w:t> </w:t>
          </w:r>
          <w:r>
            <w:rPr/>
            <w:t>REVIEW)</w:t>
          </w:r>
        </w:p>
        <w:p>
          <w:pPr>
            <w:pStyle w:val="TOC2"/>
            <w:numPr>
              <w:ilvl w:val="1"/>
              <w:numId w:val="2"/>
            </w:numPr>
            <w:tabs>
              <w:tab w:pos="1180" w:val="left" w:leader="none"/>
              <w:tab w:pos="9579" w:val="right" w:leader="none"/>
            </w:tabs>
            <w:spacing w:line="240" w:lineRule="auto" w:before="238" w:after="0"/>
            <w:ind w:left="1180" w:right="0" w:hanging="360"/>
            <w:jc w:val="left"/>
          </w:pPr>
          <w:hyperlink w:history="true" w:anchor="_TOC_250046">
            <w:r>
              <w:rPr/>
              <w:t>Sickle Cell</w:t>
            </w:r>
            <w:r>
              <w:rPr>
                <w:spacing w:val="-7"/>
              </w:rPr>
              <w:t> </w:t>
            </w:r>
            <w:r>
              <w:rPr/>
              <w:t>Diseases</w:t>
              <w:tab/>
              <w:t>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39" w:val="left" w:leader="none"/>
              <w:tab w:pos="1540" w:val="left" w:leader="none"/>
              <w:tab w:pos="9579" w:val="right" w:leader="none"/>
            </w:tabs>
            <w:spacing w:line="240" w:lineRule="auto" w:before="238" w:after="0"/>
            <w:ind w:left="1540" w:right="0" w:hanging="720"/>
            <w:jc w:val="left"/>
          </w:pPr>
          <w:hyperlink w:history="true" w:anchor="_TOC_250045">
            <w:r>
              <w:rPr/>
              <w:t>Introduction</w:t>
              <w:tab/>
              <w:t>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39" w:val="left" w:leader="none"/>
              <w:tab w:pos="1540" w:val="left" w:leader="none"/>
              <w:tab w:pos="9579" w:val="right" w:leader="none"/>
            </w:tabs>
            <w:spacing w:line="240" w:lineRule="auto" w:before="242" w:after="0"/>
            <w:ind w:left="1540" w:right="0" w:hanging="720"/>
            <w:jc w:val="left"/>
          </w:pPr>
          <w:hyperlink w:history="true" w:anchor="_TOC_250044">
            <w:r>
              <w:rPr/>
              <w:t>History</w:t>
              <w:tab/>
              <w:t>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39" w:val="left" w:leader="none"/>
              <w:tab w:pos="1540" w:val="left" w:leader="none"/>
              <w:tab w:pos="9579" w:val="right" w:leader="none"/>
            </w:tabs>
            <w:spacing w:line="240" w:lineRule="auto" w:before="242" w:after="20"/>
            <w:ind w:left="1540" w:right="0" w:hanging="720"/>
            <w:jc w:val="left"/>
          </w:pPr>
          <w:hyperlink w:history="true" w:anchor="_TOC_250043">
            <w:r>
              <w:rPr/>
              <w:t>Prevalence</w:t>
              <w:tab/>
              <w:t>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39" w:val="left" w:leader="none"/>
              <w:tab w:pos="1540" w:val="left" w:leader="none"/>
              <w:tab w:pos="9699" w:val="right" w:leader="none"/>
            </w:tabs>
            <w:spacing w:line="240" w:lineRule="auto" w:before="67" w:after="0"/>
            <w:ind w:left="1540" w:right="0" w:hanging="720"/>
            <w:jc w:val="left"/>
          </w:pPr>
          <w:hyperlink w:history="true" w:anchor="_TOC_250042">
            <w:r>
              <w:rPr/>
              <w:t>Epidemiology</w:t>
              <w:tab/>
              <w:t>10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39" w:val="left" w:leader="none"/>
              <w:tab w:pos="1540" w:val="left" w:leader="none"/>
              <w:tab w:pos="9699" w:val="right" w:leader="none"/>
            </w:tabs>
            <w:spacing w:line="240" w:lineRule="auto" w:before="242" w:after="0"/>
            <w:ind w:left="1540" w:right="0" w:hanging="720"/>
            <w:jc w:val="left"/>
          </w:pPr>
          <w:hyperlink w:history="true" w:anchor="_TOC_250041">
            <w:r>
              <w:rPr/>
              <w:t>Nomenclature and</w:t>
            </w:r>
            <w:r>
              <w:rPr>
                <w:spacing w:val="2"/>
              </w:rPr>
              <w:t> </w:t>
            </w:r>
            <w:r>
              <w:rPr/>
              <w:t>Classification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Sickle Cell</w:t>
            </w:r>
            <w:r>
              <w:rPr>
                <w:spacing w:val="-7"/>
              </w:rPr>
              <w:t> </w:t>
            </w:r>
            <w:r>
              <w:rPr/>
              <w:t>Diseases</w:t>
              <w:tab/>
              <w:t>11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39" w:val="left" w:leader="none"/>
              <w:tab w:pos="1540" w:val="left" w:leader="none"/>
              <w:tab w:pos="9699" w:val="right" w:leader="none"/>
            </w:tabs>
            <w:spacing w:line="240" w:lineRule="auto" w:before="243" w:after="0"/>
            <w:ind w:left="1540" w:right="0" w:hanging="720"/>
            <w:jc w:val="left"/>
          </w:pPr>
          <w:hyperlink w:history="true" w:anchor="_TOC_250040">
            <w:r>
              <w:rPr/>
              <w:t>Geographical</w:t>
            </w:r>
            <w:r>
              <w:rPr>
                <w:spacing w:val="-3"/>
              </w:rPr>
              <w:t> </w:t>
            </w:r>
            <w:r>
              <w:rPr/>
              <w:t>Distribution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Sickle</w:t>
            </w:r>
            <w:r>
              <w:rPr>
                <w:spacing w:val="1"/>
              </w:rPr>
              <w:t> </w:t>
            </w:r>
            <w:r>
              <w:rPr/>
              <w:t>Cell</w:t>
            </w:r>
            <w:r>
              <w:rPr>
                <w:spacing w:val="-7"/>
              </w:rPr>
              <w:t> </w:t>
            </w:r>
            <w:r>
              <w:rPr/>
              <w:t>Diseases</w:t>
              <w:tab/>
              <w:t>12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39" w:val="left" w:leader="none"/>
              <w:tab w:pos="1540" w:val="left" w:leader="none"/>
              <w:tab w:pos="9699" w:val="right" w:leader="none"/>
            </w:tabs>
            <w:spacing w:line="240" w:lineRule="auto" w:before="237" w:after="0"/>
            <w:ind w:left="1540" w:right="0" w:hanging="720"/>
            <w:jc w:val="left"/>
          </w:pPr>
          <w:hyperlink w:history="true" w:anchor="_TOC_250039">
            <w:r>
              <w:rPr/>
              <w:t>Pathophysiology</w:t>
              <w:tab/>
              <w:t>13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39" w:val="left" w:leader="none"/>
              <w:tab w:pos="1540" w:val="left" w:leader="none"/>
              <w:tab w:pos="9699" w:val="right" w:leader="none"/>
            </w:tabs>
            <w:spacing w:line="240" w:lineRule="auto" w:before="243" w:after="0"/>
            <w:ind w:left="1540" w:right="0" w:hanging="720"/>
            <w:jc w:val="left"/>
          </w:pPr>
          <w:hyperlink w:history="true" w:anchor="_TOC_250038">
            <w:r>
              <w:rPr/>
              <w:t>Diagnosis</w:t>
              <w:tab/>
              <w:t>15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39" w:val="left" w:leader="none"/>
              <w:tab w:pos="1540" w:val="left" w:leader="none"/>
              <w:tab w:pos="9699" w:val="right" w:leader="none"/>
            </w:tabs>
            <w:spacing w:line="240" w:lineRule="auto" w:before="242" w:after="0"/>
            <w:ind w:left="1540" w:right="0" w:hanging="720"/>
            <w:jc w:val="left"/>
          </w:pPr>
          <w:hyperlink w:history="true" w:anchor="_TOC_250037">
            <w:r>
              <w:rPr/>
              <w:t>Clinical</w:t>
            </w:r>
            <w:r>
              <w:rPr>
                <w:spacing w:val="2"/>
              </w:rPr>
              <w:t> </w:t>
            </w:r>
            <w:r>
              <w:rPr/>
              <w:t>Features and</w:t>
            </w:r>
            <w:r>
              <w:rPr>
                <w:spacing w:val="1"/>
              </w:rPr>
              <w:t> </w:t>
            </w:r>
            <w:r>
              <w:rPr/>
              <w:t>Complications</w:t>
              <w:tab/>
              <w:t>16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40" w:val="left" w:leader="none"/>
              <w:tab w:pos="9699" w:val="right" w:leader="none"/>
            </w:tabs>
            <w:spacing w:line="240" w:lineRule="auto" w:before="243" w:after="0"/>
            <w:ind w:left="1540" w:right="0" w:hanging="720"/>
            <w:jc w:val="left"/>
          </w:pPr>
          <w:r>
            <w:rPr/>
            <w:t>Pain</w:t>
          </w:r>
          <w:r>
            <w:rPr>
              <w:spacing w:val="-4"/>
            </w:rPr>
            <w:t> </w:t>
          </w:r>
          <w:r>
            <w:rPr/>
            <w:t>Crises</w:t>
          </w:r>
          <w:r>
            <w:rPr>
              <w:spacing w:val="-1"/>
            </w:rPr>
            <w:t> </w:t>
          </w:r>
          <w:r>
            <w:rPr/>
            <w:t>prevention</w:t>
          </w:r>
          <w:r>
            <w:rPr>
              <w:spacing w:val="2"/>
            </w:rPr>
            <w:t> </w:t>
          </w:r>
          <w:r>
            <w:rPr/>
            <w:t>in</w:t>
          </w:r>
          <w:r>
            <w:rPr>
              <w:spacing w:val="-4"/>
            </w:rPr>
            <w:t> </w:t>
          </w:r>
          <w:r>
            <w:rPr/>
            <w:t>Patients</w:t>
          </w:r>
          <w:r>
            <w:rPr>
              <w:spacing w:val="-1"/>
            </w:rPr>
            <w:t> </w:t>
          </w:r>
          <w:r>
            <w:rPr/>
            <w:t>with</w:t>
          </w:r>
          <w:r>
            <w:rPr>
              <w:spacing w:val="-3"/>
            </w:rPr>
            <w:t> </w:t>
          </w:r>
          <w:r>
            <w:rPr/>
            <w:t>Sickle Cell</w:t>
          </w:r>
          <w:r>
            <w:rPr>
              <w:spacing w:val="2"/>
            </w:rPr>
            <w:t> </w:t>
          </w:r>
          <w:r>
            <w:rPr/>
            <w:t>Diseases</w:t>
            <w:tab/>
            <w:t>23</w:t>
          </w:r>
        </w:p>
        <w:p>
          <w:pPr>
            <w:pStyle w:val="TOC2"/>
            <w:numPr>
              <w:ilvl w:val="2"/>
              <w:numId w:val="2"/>
            </w:numPr>
            <w:tabs>
              <w:tab w:pos="1540" w:val="left" w:leader="none"/>
              <w:tab w:pos="9699" w:val="right" w:leader="none"/>
            </w:tabs>
            <w:spacing w:line="240" w:lineRule="auto" w:before="242" w:after="0"/>
            <w:ind w:left="1540" w:right="0" w:hanging="720"/>
            <w:jc w:val="left"/>
          </w:pPr>
          <w:hyperlink w:history="true" w:anchor="_TOC_250036">
            <w:r>
              <w:rPr/>
              <w:t>Management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Sickle</w:t>
            </w:r>
            <w:r>
              <w:rPr>
                <w:spacing w:val="1"/>
              </w:rPr>
              <w:t> </w:t>
            </w:r>
            <w:r>
              <w:rPr/>
              <w:t>Cell</w:t>
            </w:r>
            <w:r>
              <w:rPr>
                <w:spacing w:val="-2"/>
              </w:rPr>
              <w:t> </w:t>
            </w:r>
            <w:r>
              <w:rPr/>
              <w:t>Disease</w:t>
              <w:tab/>
              <w:t>24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80" w:val="left" w:leader="none"/>
              <w:tab w:pos="9699" w:val="right" w:leader="none"/>
            </w:tabs>
            <w:spacing w:line="240" w:lineRule="auto" w:before="238" w:after="0"/>
            <w:ind w:left="1180" w:right="0" w:hanging="360"/>
            <w:jc w:val="left"/>
          </w:pPr>
          <w:hyperlink w:history="true" w:anchor="_TOC_250035">
            <w:r>
              <w:rPr/>
              <w:t>Micronutrients</w:t>
              <w:tab/>
              <w:t>40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39" w:val="left" w:leader="none"/>
              <w:tab w:pos="1540" w:val="left" w:leader="none"/>
              <w:tab w:pos="9699" w:val="right" w:leader="none"/>
            </w:tabs>
            <w:spacing w:line="240" w:lineRule="auto" w:before="242" w:after="0"/>
            <w:ind w:left="1540" w:right="0" w:hanging="720"/>
            <w:jc w:val="left"/>
          </w:pPr>
          <w:hyperlink w:history="true" w:anchor="_TOC_250034">
            <w:r>
              <w:rPr/>
              <w:t>Introduction</w:t>
              <w:tab/>
              <w:t>40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39" w:val="left" w:leader="none"/>
              <w:tab w:pos="1540" w:val="left" w:leader="none"/>
              <w:tab w:pos="9699" w:val="right" w:leader="none"/>
            </w:tabs>
            <w:spacing w:line="240" w:lineRule="auto" w:before="242" w:after="0"/>
            <w:ind w:left="1540" w:right="0" w:hanging="720"/>
            <w:jc w:val="left"/>
          </w:pPr>
          <w:hyperlink w:history="true" w:anchor="_TOC_250033">
            <w:r>
              <w:rPr/>
              <w:t>Micronutrient</w:t>
            </w:r>
            <w:r>
              <w:rPr>
                <w:spacing w:val="6"/>
              </w:rPr>
              <w:t> </w:t>
            </w:r>
            <w:r>
              <w:rPr/>
              <w:t>deficiencies</w:t>
              <w:tab/>
              <w:t>41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39" w:val="left" w:leader="none"/>
              <w:tab w:pos="1540" w:val="left" w:leader="none"/>
              <w:tab w:pos="9699" w:val="right" w:leader="none"/>
            </w:tabs>
            <w:spacing w:line="240" w:lineRule="auto" w:before="243" w:after="0"/>
            <w:ind w:left="1540" w:right="0" w:hanging="720"/>
            <w:jc w:val="left"/>
          </w:pPr>
          <w:hyperlink w:history="true" w:anchor="_TOC_250032">
            <w:r>
              <w:rPr/>
              <w:t>Epidemiology</w:t>
              <w:tab/>
              <w:t>41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39" w:val="left" w:leader="none"/>
              <w:tab w:pos="1540" w:val="left" w:leader="none"/>
              <w:tab w:pos="9699" w:val="right" w:leader="none"/>
            </w:tabs>
            <w:spacing w:line="240" w:lineRule="auto" w:before="238" w:after="0"/>
            <w:ind w:left="1540" w:right="0" w:hanging="720"/>
            <w:jc w:val="left"/>
          </w:pPr>
          <w:r>
            <w:rPr/>
            <w:t>Micronutrient</w:t>
          </w:r>
          <w:r>
            <w:rPr>
              <w:spacing w:val="6"/>
            </w:rPr>
            <w:t> </w:t>
          </w:r>
          <w:r>
            <w:rPr/>
            <w:t>deficiencies</w:t>
          </w:r>
          <w:r>
            <w:rPr>
              <w:spacing w:val="4"/>
            </w:rPr>
            <w:t> </w:t>
          </w:r>
          <w:r>
            <w:rPr/>
            <w:t>in</w:t>
          </w:r>
          <w:r>
            <w:rPr>
              <w:spacing w:val="-3"/>
            </w:rPr>
            <w:t> </w:t>
          </w:r>
          <w:r>
            <w:rPr/>
            <w:t>Sickle Cell</w:t>
          </w:r>
          <w:r>
            <w:rPr>
              <w:spacing w:val="-8"/>
            </w:rPr>
            <w:t> </w:t>
          </w:r>
          <w:r>
            <w:rPr/>
            <w:t>Diseases</w:t>
            <w:tab/>
            <w:t>42</w:t>
          </w:r>
        </w:p>
        <w:p>
          <w:pPr>
            <w:pStyle w:val="TOC2"/>
            <w:numPr>
              <w:ilvl w:val="1"/>
              <w:numId w:val="2"/>
            </w:numPr>
            <w:tabs>
              <w:tab w:pos="1180" w:val="left" w:leader="none"/>
              <w:tab w:pos="9699" w:val="right" w:leader="none"/>
            </w:tabs>
            <w:spacing w:line="240" w:lineRule="auto" w:before="242" w:after="0"/>
            <w:ind w:left="1180" w:right="0" w:hanging="360"/>
            <w:jc w:val="left"/>
          </w:pPr>
          <w:hyperlink w:history="true" w:anchor="_TOC_250031">
            <w:r>
              <w:rPr/>
              <w:t>Magnesium</w:t>
              <w:tab/>
              <w:t>42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39" w:val="left" w:leader="none"/>
              <w:tab w:pos="1540" w:val="left" w:leader="none"/>
              <w:tab w:pos="9699" w:val="right" w:leader="none"/>
            </w:tabs>
            <w:spacing w:line="240" w:lineRule="auto" w:before="242" w:after="0"/>
            <w:ind w:left="1540" w:right="0" w:hanging="720"/>
            <w:jc w:val="left"/>
          </w:pPr>
          <w:hyperlink w:history="true" w:anchor="_TOC_250030">
            <w:r>
              <w:rPr/>
              <w:t>Magnesium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Sickle</w:t>
            </w:r>
            <w:r>
              <w:rPr>
                <w:spacing w:val="1"/>
              </w:rPr>
              <w:t> </w:t>
            </w:r>
            <w:r>
              <w:rPr/>
              <w:t>Cell</w:t>
            </w:r>
            <w:r>
              <w:rPr>
                <w:spacing w:val="-3"/>
              </w:rPr>
              <w:t> </w:t>
            </w:r>
            <w:r>
              <w:rPr/>
              <w:t>Diseases</w:t>
              <w:tab/>
              <w:t>43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39" w:val="left" w:leader="none"/>
              <w:tab w:pos="1540" w:val="left" w:leader="none"/>
              <w:tab w:pos="9699" w:val="right" w:leader="none"/>
            </w:tabs>
            <w:spacing w:line="240" w:lineRule="auto" w:before="243" w:after="0"/>
            <w:ind w:left="1540" w:right="0" w:hanging="720"/>
            <w:jc w:val="left"/>
          </w:pPr>
          <w:hyperlink w:history="true" w:anchor="_TOC_250029">
            <w:r>
              <w:rPr/>
              <w:t>Other</w:t>
            </w:r>
            <w:r>
              <w:rPr>
                <w:spacing w:val="2"/>
              </w:rPr>
              <w:t> </w:t>
            </w:r>
            <w:r>
              <w:rPr/>
              <w:t>important</w:t>
            </w:r>
            <w:r>
              <w:rPr>
                <w:spacing w:val="2"/>
              </w:rPr>
              <w:t> </w:t>
            </w:r>
            <w:r>
              <w:rPr/>
              <w:t>uses of</w:t>
            </w:r>
            <w:r>
              <w:rPr>
                <w:spacing w:val="-6"/>
              </w:rPr>
              <w:t> </w:t>
            </w:r>
            <w:r>
              <w:rPr/>
              <w:t>Magnesium</w:t>
              <w:tab/>
              <w:t>43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39" w:val="left" w:leader="none"/>
              <w:tab w:pos="1540" w:val="left" w:leader="none"/>
              <w:tab w:pos="9699" w:val="right" w:leader="none"/>
            </w:tabs>
            <w:spacing w:line="240" w:lineRule="auto" w:before="242" w:after="0"/>
            <w:ind w:left="1540" w:right="0" w:hanging="720"/>
            <w:jc w:val="left"/>
          </w:pPr>
          <w:hyperlink w:history="true" w:anchor="_TOC_250028">
            <w:r>
              <w:rPr/>
              <w:t>Magnesium</w:t>
            </w:r>
            <w:r>
              <w:rPr>
                <w:spacing w:val="-3"/>
              </w:rPr>
              <w:t> </w:t>
            </w:r>
            <w:r>
              <w:rPr/>
              <w:t>deficiency</w:t>
              <w:tab/>
              <w:t>44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39" w:val="left" w:leader="none"/>
              <w:tab w:pos="1540" w:val="left" w:leader="none"/>
              <w:tab w:pos="9699" w:val="right" w:leader="none"/>
            </w:tabs>
            <w:spacing w:line="240" w:lineRule="auto" w:before="238" w:after="0"/>
            <w:ind w:left="1540" w:right="0" w:hanging="720"/>
            <w:jc w:val="left"/>
          </w:pPr>
          <w:hyperlink w:history="true" w:anchor="_TOC_250027">
            <w:r>
              <w:rPr/>
              <w:t>Magnesium</w:t>
            </w:r>
            <w:r>
              <w:rPr>
                <w:spacing w:val="-3"/>
              </w:rPr>
              <w:t> </w:t>
            </w:r>
            <w:r>
              <w:rPr/>
              <w:t>Toxicity</w:t>
              <w:tab/>
              <w:t>44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39" w:val="left" w:leader="none"/>
              <w:tab w:pos="1540" w:val="left" w:leader="none"/>
              <w:tab w:pos="9699" w:val="right" w:leader="none"/>
            </w:tabs>
            <w:spacing w:line="240" w:lineRule="auto" w:before="242" w:after="0"/>
            <w:ind w:left="1540" w:right="0" w:hanging="720"/>
            <w:jc w:val="left"/>
          </w:pPr>
          <w:hyperlink w:history="true" w:anchor="_TOC_250026">
            <w:r>
              <w:rPr/>
              <w:t>Natural</w:t>
            </w:r>
            <w:r>
              <w:rPr>
                <w:spacing w:val="-7"/>
              </w:rPr>
              <w:t> </w:t>
            </w:r>
            <w:r>
              <w:rPr/>
              <w:t>Sources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Magnesium</w:t>
              <w:tab/>
              <w:t>44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39" w:val="left" w:leader="none"/>
              <w:tab w:pos="1540" w:val="left" w:leader="none"/>
              <w:tab w:pos="9699" w:val="right" w:leader="none"/>
            </w:tabs>
            <w:spacing w:line="240" w:lineRule="auto" w:before="243" w:after="0"/>
            <w:ind w:left="1540" w:right="0" w:hanging="720"/>
            <w:jc w:val="left"/>
          </w:pPr>
          <w:hyperlink w:history="true" w:anchor="_TOC_250025">
            <w:r>
              <w:rPr/>
              <w:t>Available</w:t>
            </w:r>
            <w:r>
              <w:rPr>
                <w:spacing w:val="5"/>
              </w:rPr>
              <w:t> </w:t>
            </w:r>
            <w:r>
              <w:rPr/>
              <w:t>forms of</w:t>
            </w:r>
            <w:r>
              <w:rPr>
                <w:spacing w:val="-6"/>
              </w:rPr>
              <w:t> </w:t>
            </w:r>
            <w:r>
              <w:rPr/>
              <w:t>Magnesium</w:t>
              <w:tab/>
              <w:t>44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80" w:val="left" w:leader="none"/>
              <w:tab w:pos="9699" w:val="right" w:leader="none"/>
            </w:tabs>
            <w:spacing w:line="240" w:lineRule="auto" w:before="242" w:after="0"/>
            <w:ind w:left="1180" w:right="0" w:hanging="360"/>
            <w:jc w:val="left"/>
          </w:pPr>
          <w:hyperlink w:history="true" w:anchor="_TOC_250024">
            <w:r>
              <w:rPr/>
              <w:t>Zinc</w:t>
              <w:tab/>
              <w:t>45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39" w:val="left" w:leader="none"/>
              <w:tab w:pos="1540" w:val="left" w:leader="none"/>
              <w:tab w:pos="9699" w:val="right" w:leader="none"/>
            </w:tabs>
            <w:spacing w:line="240" w:lineRule="auto" w:before="243" w:after="0"/>
            <w:ind w:left="1540" w:right="0" w:hanging="720"/>
            <w:jc w:val="left"/>
          </w:pPr>
          <w:hyperlink w:history="true" w:anchor="_TOC_250023">
            <w:r>
              <w:rPr/>
              <w:t>Zinc and</w:t>
            </w:r>
            <w:r>
              <w:rPr>
                <w:spacing w:val="2"/>
              </w:rPr>
              <w:t> </w:t>
            </w:r>
            <w:r>
              <w:rPr/>
              <w:t>Sickle</w:t>
            </w:r>
            <w:r>
              <w:rPr>
                <w:spacing w:val="1"/>
              </w:rPr>
              <w:t> </w:t>
            </w:r>
            <w:r>
              <w:rPr/>
              <w:t>Cell</w:t>
            </w:r>
            <w:r>
              <w:rPr>
                <w:spacing w:val="-7"/>
              </w:rPr>
              <w:t> </w:t>
            </w:r>
            <w:r>
              <w:rPr/>
              <w:t>Disease</w:t>
              <w:tab/>
              <w:t>45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39" w:val="left" w:leader="none"/>
              <w:tab w:pos="1540" w:val="left" w:leader="none"/>
              <w:tab w:pos="9699" w:val="right" w:leader="none"/>
            </w:tabs>
            <w:spacing w:line="240" w:lineRule="auto" w:before="237" w:after="0"/>
            <w:ind w:left="1540" w:right="0" w:hanging="720"/>
            <w:jc w:val="left"/>
          </w:pPr>
          <w:r>
            <w:rPr/>
            <w:t>Other</w:t>
          </w:r>
          <w:r>
            <w:rPr>
              <w:spacing w:val="2"/>
            </w:rPr>
            <w:t> </w:t>
          </w:r>
          <w:r>
            <w:rPr/>
            <w:t>important</w:t>
          </w:r>
          <w:r>
            <w:rPr>
              <w:spacing w:val="2"/>
            </w:rPr>
            <w:t> </w:t>
          </w:r>
          <w:r>
            <w:rPr/>
            <w:t>uses of</w:t>
          </w:r>
          <w:r>
            <w:rPr>
              <w:spacing w:val="-6"/>
            </w:rPr>
            <w:t> </w:t>
          </w:r>
          <w:r>
            <w:rPr/>
            <w:t>zinc</w:t>
            <w:tab/>
            <w:t>46</w:t>
          </w:r>
        </w:p>
        <w:p>
          <w:pPr>
            <w:pStyle w:val="TOC2"/>
            <w:numPr>
              <w:ilvl w:val="2"/>
              <w:numId w:val="2"/>
            </w:numPr>
            <w:tabs>
              <w:tab w:pos="1539" w:val="left" w:leader="none"/>
              <w:tab w:pos="1540" w:val="left" w:leader="none"/>
              <w:tab w:pos="9699" w:val="right" w:leader="none"/>
            </w:tabs>
            <w:spacing w:line="240" w:lineRule="auto" w:before="243" w:after="0"/>
            <w:ind w:left="1540" w:right="0" w:hanging="720"/>
            <w:jc w:val="left"/>
          </w:pPr>
          <w:hyperlink w:history="true" w:anchor="_TOC_250022">
            <w:r>
              <w:rPr/>
              <w:t>Zinc deficiency</w:t>
              <w:tab/>
              <w:t>46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39" w:val="left" w:leader="none"/>
              <w:tab w:pos="1540" w:val="left" w:leader="none"/>
              <w:tab w:pos="9699" w:val="right" w:leader="none"/>
            </w:tabs>
            <w:spacing w:line="240" w:lineRule="auto" w:before="242" w:after="20"/>
            <w:ind w:left="1540" w:right="0" w:hanging="720"/>
            <w:jc w:val="left"/>
          </w:pPr>
          <w:hyperlink w:history="true" w:anchor="_TOC_250021">
            <w:r>
              <w:rPr/>
              <w:t>Zinc toxicity</w:t>
              <w:tab/>
              <w:t>47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39" w:val="left" w:leader="none"/>
              <w:tab w:pos="1540" w:val="left" w:leader="none"/>
              <w:tab w:pos="9699" w:val="right" w:leader="none"/>
            </w:tabs>
            <w:spacing w:line="240" w:lineRule="auto" w:before="72" w:after="0"/>
            <w:ind w:left="1540" w:right="0" w:hanging="720"/>
            <w:jc w:val="left"/>
          </w:pPr>
          <w:hyperlink w:history="true" w:anchor="_TOC_250020">
            <w:r>
              <w:rPr/>
              <w:t>Natural</w:t>
            </w:r>
            <w:r>
              <w:rPr>
                <w:spacing w:val="-7"/>
              </w:rPr>
              <w:t> </w:t>
            </w:r>
            <w:r>
              <w:rPr/>
              <w:t>Sources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Zinc</w:t>
              <w:tab/>
              <w:t>47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39" w:val="left" w:leader="none"/>
              <w:tab w:pos="1540" w:val="left" w:leader="none"/>
              <w:tab w:pos="9699" w:val="right" w:leader="none"/>
            </w:tabs>
            <w:spacing w:line="240" w:lineRule="auto" w:before="199" w:after="0"/>
            <w:ind w:left="1540" w:right="0" w:hanging="720"/>
            <w:jc w:val="left"/>
          </w:pPr>
          <w:hyperlink w:history="true" w:anchor="_TOC_250019">
            <w:r>
              <w:rPr/>
              <w:t>Available</w:t>
            </w:r>
            <w:r>
              <w:rPr>
                <w:spacing w:val="5"/>
              </w:rPr>
              <w:t> </w:t>
            </w:r>
            <w:r>
              <w:rPr/>
              <w:t>forms of</w:t>
            </w:r>
            <w:r>
              <w:rPr>
                <w:spacing w:val="-6"/>
              </w:rPr>
              <w:t> </w:t>
            </w:r>
            <w:r>
              <w:rPr/>
              <w:t>Zinc</w:t>
              <w:tab/>
              <w:t>48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80" w:val="left" w:leader="none"/>
              <w:tab w:pos="9699" w:val="right" w:leader="none"/>
            </w:tabs>
            <w:spacing w:line="240" w:lineRule="auto" w:before="199" w:after="0"/>
            <w:ind w:left="1180" w:right="0" w:hanging="360"/>
            <w:jc w:val="left"/>
          </w:pPr>
          <w:hyperlink w:history="true" w:anchor="_TOC_250018">
            <w:r>
              <w:rPr/>
              <w:t>Copper</w:t>
              <w:tab/>
              <w:t>48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39" w:val="left" w:leader="none"/>
              <w:tab w:pos="1540" w:val="left" w:leader="none"/>
              <w:tab w:pos="9699" w:val="right" w:leader="none"/>
            </w:tabs>
            <w:spacing w:line="240" w:lineRule="auto" w:before="199" w:after="0"/>
            <w:ind w:left="1540" w:right="0" w:hanging="720"/>
            <w:jc w:val="left"/>
          </w:pPr>
          <w:hyperlink w:history="true" w:anchor="_TOC_250017">
            <w:r>
              <w:rPr/>
              <w:t>Copper</w:t>
            </w:r>
            <w:r>
              <w:rPr>
                <w:spacing w:val="2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Sickle</w:t>
            </w:r>
            <w:r>
              <w:rPr>
                <w:spacing w:val="1"/>
              </w:rPr>
              <w:t> </w:t>
            </w:r>
            <w:r>
              <w:rPr/>
              <w:t>Cell</w:t>
            </w:r>
            <w:r>
              <w:rPr>
                <w:spacing w:val="-2"/>
              </w:rPr>
              <w:t> </w:t>
            </w:r>
            <w:r>
              <w:rPr/>
              <w:t>Diseases</w:t>
              <w:tab/>
              <w:t>48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39" w:val="left" w:leader="none"/>
              <w:tab w:pos="1540" w:val="left" w:leader="none"/>
              <w:tab w:pos="9699" w:val="right" w:leader="none"/>
            </w:tabs>
            <w:spacing w:line="240" w:lineRule="auto" w:before="200" w:after="0"/>
            <w:ind w:left="1540" w:right="0" w:hanging="720"/>
            <w:jc w:val="left"/>
          </w:pPr>
          <w:hyperlink w:history="true" w:anchor="_TOC_250016">
            <w:r>
              <w:rPr/>
              <w:t>Other</w:t>
            </w:r>
            <w:r>
              <w:rPr>
                <w:spacing w:val="2"/>
              </w:rPr>
              <w:t> </w:t>
            </w:r>
            <w:r>
              <w:rPr/>
              <w:t>important</w:t>
            </w:r>
            <w:r>
              <w:rPr>
                <w:spacing w:val="2"/>
              </w:rPr>
              <w:t> </w:t>
            </w:r>
            <w:r>
              <w:rPr/>
              <w:t>uses of</w:t>
            </w:r>
            <w:r>
              <w:rPr>
                <w:spacing w:val="-6"/>
              </w:rPr>
              <w:t> </w:t>
            </w:r>
            <w:r>
              <w:rPr/>
              <w:t>Copper</w:t>
              <w:tab/>
              <w:t>49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39" w:val="left" w:leader="none"/>
              <w:tab w:pos="1540" w:val="left" w:leader="none"/>
              <w:tab w:pos="9699" w:val="right" w:leader="none"/>
            </w:tabs>
            <w:spacing w:line="240" w:lineRule="auto" w:before="237" w:after="0"/>
            <w:ind w:left="1540" w:right="0" w:hanging="720"/>
            <w:jc w:val="left"/>
          </w:pPr>
          <w:hyperlink w:history="true" w:anchor="_TOC_250015">
            <w:r>
              <w:rPr/>
              <w:t>Copper</w:t>
            </w:r>
            <w:r>
              <w:rPr>
                <w:spacing w:val="2"/>
              </w:rPr>
              <w:t> </w:t>
            </w:r>
            <w:r>
              <w:rPr/>
              <w:t>deficiency</w:t>
              <w:tab/>
              <w:t>49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39" w:val="left" w:leader="none"/>
              <w:tab w:pos="1540" w:val="left" w:leader="none"/>
              <w:tab w:pos="9699" w:val="right" w:leader="none"/>
            </w:tabs>
            <w:spacing w:line="240" w:lineRule="auto" w:before="243" w:after="0"/>
            <w:ind w:left="1540" w:right="0" w:hanging="720"/>
            <w:jc w:val="left"/>
          </w:pPr>
          <w:hyperlink w:history="true" w:anchor="_TOC_250014">
            <w:r>
              <w:rPr/>
              <w:t>Copper</w:t>
            </w:r>
            <w:r>
              <w:rPr>
                <w:spacing w:val="-2"/>
              </w:rPr>
              <w:t> </w:t>
            </w:r>
            <w:r>
              <w:rPr/>
              <w:t>toxicity</w:t>
              <w:tab/>
              <w:t>49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39" w:val="left" w:leader="none"/>
              <w:tab w:pos="1540" w:val="left" w:leader="none"/>
              <w:tab w:pos="9699" w:val="right" w:leader="none"/>
            </w:tabs>
            <w:spacing w:line="240" w:lineRule="auto" w:before="242" w:after="0"/>
            <w:ind w:left="1540" w:right="0" w:hanging="720"/>
            <w:jc w:val="left"/>
          </w:pPr>
          <w:r>
            <w:rPr/>
            <w:t>Natural</w:t>
          </w:r>
          <w:r>
            <w:rPr>
              <w:spacing w:val="-7"/>
            </w:rPr>
            <w:t> </w:t>
          </w:r>
          <w:r>
            <w:rPr/>
            <w:t>Source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Copper</w:t>
            <w:tab/>
            <w:t>50</w:t>
          </w:r>
        </w:p>
        <w:p>
          <w:pPr>
            <w:pStyle w:val="TOC2"/>
            <w:numPr>
              <w:ilvl w:val="2"/>
              <w:numId w:val="2"/>
            </w:numPr>
            <w:tabs>
              <w:tab w:pos="1539" w:val="left" w:leader="none"/>
              <w:tab w:pos="1540" w:val="left" w:leader="none"/>
              <w:tab w:pos="9699" w:val="right" w:leader="none"/>
            </w:tabs>
            <w:spacing w:line="240" w:lineRule="auto" w:before="242" w:after="0"/>
            <w:ind w:left="1540" w:right="0" w:hanging="720"/>
            <w:jc w:val="left"/>
          </w:pPr>
          <w:hyperlink w:history="true" w:anchor="_TOC_250013">
            <w:r>
              <w:rPr/>
              <w:t>Available</w:t>
            </w:r>
            <w:r>
              <w:rPr>
                <w:spacing w:val="5"/>
              </w:rPr>
              <w:t> </w:t>
            </w:r>
            <w:r>
              <w:rPr/>
              <w:t>forms of</w:t>
            </w:r>
            <w:r>
              <w:rPr>
                <w:spacing w:val="-5"/>
              </w:rPr>
              <w:t> </w:t>
            </w:r>
            <w:r>
              <w:rPr/>
              <w:t>Copper</w:t>
              <w:tab/>
              <w:t>50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80" w:val="left" w:leader="none"/>
              <w:tab w:pos="9699" w:val="right" w:leader="none"/>
            </w:tabs>
            <w:spacing w:line="240" w:lineRule="auto" w:before="243" w:after="0"/>
            <w:ind w:left="1180" w:right="0" w:hanging="360"/>
            <w:jc w:val="left"/>
          </w:pPr>
          <w:hyperlink w:history="true" w:anchor="_TOC_250012">
            <w:r>
              <w:rPr/>
              <w:t>Iron</w:t>
              <w:tab/>
              <w:t>50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39" w:val="left" w:leader="none"/>
              <w:tab w:pos="1540" w:val="left" w:leader="none"/>
              <w:tab w:pos="9699" w:val="right" w:leader="none"/>
            </w:tabs>
            <w:spacing w:line="240" w:lineRule="auto" w:before="237" w:after="0"/>
            <w:ind w:left="1540" w:right="0" w:hanging="720"/>
            <w:jc w:val="left"/>
          </w:pPr>
          <w:r>
            <w:rPr/>
            <w:t>Iron</w:t>
          </w:r>
          <w:r>
            <w:rPr>
              <w:spacing w:val="-4"/>
            </w:rPr>
            <w:t> </w:t>
          </w:r>
          <w:r>
            <w:rPr/>
            <w:t>and</w:t>
          </w:r>
          <w:r>
            <w:rPr>
              <w:spacing w:val="2"/>
            </w:rPr>
            <w:t> </w:t>
          </w:r>
          <w:r>
            <w:rPr/>
            <w:t>Sickle</w:t>
          </w:r>
          <w:r>
            <w:rPr>
              <w:spacing w:val="1"/>
            </w:rPr>
            <w:t> </w:t>
          </w:r>
          <w:r>
            <w:rPr/>
            <w:t>Cell</w:t>
          </w:r>
          <w:r>
            <w:rPr>
              <w:spacing w:val="-2"/>
            </w:rPr>
            <w:t> </w:t>
          </w:r>
          <w:r>
            <w:rPr/>
            <w:t>Diseases</w:t>
            <w:tab/>
            <w:t>51</w:t>
          </w:r>
        </w:p>
        <w:p>
          <w:pPr>
            <w:pStyle w:val="TOC2"/>
            <w:numPr>
              <w:ilvl w:val="2"/>
              <w:numId w:val="2"/>
            </w:numPr>
            <w:tabs>
              <w:tab w:pos="1539" w:val="left" w:leader="none"/>
              <w:tab w:pos="1540" w:val="left" w:leader="none"/>
              <w:tab w:pos="9699" w:val="right" w:leader="none"/>
            </w:tabs>
            <w:spacing w:line="240" w:lineRule="auto" w:before="248" w:after="0"/>
            <w:ind w:left="1540" w:right="0" w:hanging="720"/>
            <w:jc w:val="left"/>
          </w:pPr>
          <w:hyperlink w:history="true" w:anchor="_TOC_250011">
            <w:r>
              <w:rPr/>
              <w:t>Other</w:t>
            </w:r>
            <w:r>
              <w:rPr>
                <w:spacing w:val="2"/>
              </w:rPr>
              <w:t> </w:t>
            </w:r>
            <w:r>
              <w:rPr/>
              <w:t>important</w:t>
            </w:r>
            <w:r>
              <w:rPr>
                <w:spacing w:val="2"/>
              </w:rPr>
              <w:t> </w:t>
            </w:r>
            <w:r>
              <w:rPr/>
              <w:t>uses of</w:t>
            </w:r>
            <w:r>
              <w:rPr>
                <w:spacing w:val="-6"/>
              </w:rPr>
              <w:t> </w:t>
            </w:r>
            <w:r>
              <w:rPr/>
              <w:t>Iron</w:t>
              <w:tab/>
              <w:t>51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39" w:val="left" w:leader="none"/>
              <w:tab w:pos="1540" w:val="left" w:leader="none"/>
              <w:tab w:pos="9699" w:val="right" w:leader="none"/>
            </w:tabs>
            <w:spacing w:line="240" w:lineRule="auto" w:before="199" w:after="0"/>
            <w:ind w:left="1540" w:right="0" w:hanging="720"/>
            <w:jc w:val="left"/>
          </w:pPr>
          <w:r>
            <w:rPr/>
            <w:t>Iron</w:t>
          </w:r>
          <w:r>
            <w:rPr>
              <w:spacing w:val="-4"/>
            </w:rPr>
            <w:t> </w:t>
          </w:r>
          <w:r>
            <w:rPr/>
            <w:t>deficiencies</w:t>
            <w:tab/>
            <w:t>52</w:t>
          </w:r>
        </w:p>
        <w:p>
          <w:pPr>
            <w:pStyle w:val="TOC2"/>
            <w:numPr>
              <w:ilvl w:val="2"/>
              <w:numId w:val="2"/>
            </w:numPr>
            <w:tabs>
              <w:tab w:pos="1539" w:val="left" w:leader="none"/>
              <w:tab w:pos="1540" w:val="left" w:leader="none"/>
              <w:tab w:pos="9699" w:val="right" w:leader="none"/>
            </w:tabs>
            <w:spacing w:line="240" w:lineRule="auto" w:before="199" w:after="0"/>
            <w:ind w:left="1540" w:right="0" w:hanging="720"/>
            <w:jc w:val="left"/>
          </w:pPr>
          <w:hyperlink w:history="true" w:anchor="_TOC_250010">
            <w:r>
              <w:rPr/>
              <w:t>Iron</w:t>
            </w:r>
            <w:r>
              <w:rPr>
                <w:spacing w:val="-4"/>
              </w:rPr>
              <w:t> </w:t>
            </w:r>
            <w:r>
              <w:rPr/>
              <w:t>toxicity/overload</w:t>
              <w:tab/>
              <w:t>52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39" w:val="left" w:leader="none"/>
              <w:tab w:pos="1540" w:val="left" w:leader="none"/>
              <w:tab w:pos="9699" w:val="right" w:leader="none"/>
            </w:tabs>
            <w:spacing w:line="240" w:lineRule="auto" w:before="204" w:after="0"/>
            <w:ind w:left="1540" w:right="0" w:hanging="720"/>
            <w:jc w:val="left"/>
          </w:pPr>
          <w:hyperlink w:history="true" w:anchor="_TOC_250009">
            <w:r>
              <w:rPr/>
              <w:t>Natural</w:t>
            </w:r>
            <w:r>
              <w:rPr>
                <w:spacing w:val="-7"/>
              </w:rPr>
              <w:t> </w:t>
            </w:r>
            <w:r>
              <w:rPr/>
              <w:t>sources of</w:t>
            </w:r>
            <w:r>
              <w:rPr>
                <w:spacing w:val="-6"/>
              </w:rPr>
              <w:t> </w:t>
            </w:r>
            <w:r>
              <w:rPr/>
              <w:t>Iron</w:t>
              <w:tab/>
              <w:t>52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39" w:val="left" w:leader="none"/>
              <w:tab w:pos="1540" w:val="left" w:leader="none"/>
              <w:tab w:pos="9699" w:val="right" w:leader="none"/>
            </w:tabs>
            <w:spacing w:line="240" w:lineRule="auto" w:before="199" w:after="0"/>
            <w:ind w:left="1540" w:right="0" w:hanging="720"/>
            <w:jc w:val="left"/>
          </w:pPr>
          <w:hyperlink w:history="true" w:anchor="_TOC_250008">
            <w:r>
              <w:rPr/>
              <w:t>Available</w:t>
            </w:r>
            <w:r>
              <w:rPr>
                <w:spacing w:val="5"/>
              </w:rPr>
              <w:t> </w:t>
            </w:r>
            <w:r>
              <w:rPr/>
              <w:t>forms of</w:t>
            </w:r>
            <w:r>
              <w:rPr>
                <w:spacing w:val="-6"/>
              </w:rPr>
              <w:t> </w:t>
            </w:r>
            <w:r>
              <w:rPr/>
              <w:t>Iron</w:t>
              <w:tab/>
              <w:t>53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80" w:val="left" w:leader="none"/>
              <w:tab w:pos="9699" w:val="right" w:leader="none"/>
            </w:tabs>
            <w:spacing w:line="240" w:lineRule="auto" w:before="200" w:after="0"/>
            <w:ind w:left="1180" w:right="0" w:hanging="360"/>
            <w:jc w:val="left"/>
          </w:pPr>
          <w:r>
            <w:rPr/>
            <w:t>Strategies</w:t>
          </w:r>
          <w:r>
            <w:rPr>
              <w:spacing w:val="-1"/>
            </w:rPr>
            <w:t> </w:t>
          </w:r>
          <w:r>
            <w:rPr/>
            <w:t>to</w:t>
          </w:r>
          <w:r>
            <w:rPr>
              <w:spacing w:val="1"/>
            </w:rPr>
            <w:t> </w:t>
          </w:r>
          <w:r>
            <w:rPr/>
            <w:t>Overcome the Problem</w:t>
          </w:r>
          <w:r>
            <w:rPr>
              <w:spacing w:val="-7"/>
            </w:rPr>
            <w:t> </w:t>
          </w:r>
          <w:r>
            <w:rPr/>
            <w:t>of</w:t>
          </w:r>
          <w:r>
            <w:rPr>
              <w:spacing w:val="-7"/>
            </w:rPr>
            <w:t> </w:t>
          </w:r>
          <w:r>
            <w:rPr/>
            <w:t>Micronutrient</w:t>
          </w:r>
          <w:r>
            <w:rPr>
              <w:spacing w:val="6"/>
            </w:rPr>
            <w:t> </w:t>
          </w:r>
          <w:r>
            <w:rPr/>
            <w:t>Deficiency</w:t>
            <w:tab/>
            <w:t>53</w:t>
          </w:r>
        </w:p>
        <w:p>
          <w:pPr>
            <w:pStyle w:val="TOC2"/>
            <w:numPr>
              <w:ilvl w:val="2"/>
              <w:numId w:val="2"/>
            </w:numPr>
            <w:tabs>
              <w:tab w:pos="1539" w:val="left" w:leader="none"/>
              <w:tab w:pos="1540" w:val="left" w:leader="none"/>
              <w:tab w:pos="9699" w:val="right" w:leader="none"/>
            </w:tabs>
            <w:spacing w:line="240" w:lineRule="auto" w:before="199" w:after="0"/>
            <w:ind w:left="1540" w:right="0" w:hanging="720"/>
            <w:jc w:val="left"/>
          </w:pPr>
          <w:hyperlink w:history="true" w:anchor="_TOC_250007">
            <w:r>
              <w:rPr/>
              <w:t>Food</w:t>
            </w:r>
            <w:r>
              <w:rPr>
                <w:spacing w:val="-4"/>
              </w:rPr>
              <w:t> </w:t>
            </w:r>
            <w:r>
              <w:rPr/>
              <w:t>fortification</w:t>
              <w:tab/>
              <w:t>53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39" w:val="left" w:leader="none"/>
              <w:tab w:pos="1540" w:val="left" w:leader="none"/>
              <w:tab w:pos="9699" w:val="right" w:leader="none"/>
            </w:tabs>
            <w:spacing w:line="240" w:lineRule="auto" w:before="199" w:after="0"/>
            <w:ind w:left="1540" w:right="0" w:hanging="720"/>
            <w:jc w:val="left"/>
          </w:pPr>
          <w:hyperlink w:history="true" w:anchor="_TOC_250006">
            <w:r>
              <w:rPr/>
              <w:t>Dietary</w:t>
            </w:r>
            <w:r>
              <w:rPr>
                <w:spacing w:val="-9"/>
              </w:rPr>
              <w:t> </w:t>
            </w:r>
            <w:r>
              <w:rPr/>
              <w:t>diversification</w:t>
              <w:tab/>
              <w:t>54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39" w:val="left" w:leader="none"/>
              <w:tab w:pos="1540" w:val="left" w:leader="none"/>
              <w:tab w:pos="9699" w:val="right" w:leader="none"/>
            </w:tabs>
            <w:spacing w:line="240" w:lineRule="auto" w:before="199" w:after="0"/>
            <w:ind w:left="1540" w:right="0" w:hanging="720"/>
            <w:jc w:val="left"/>
          </w:pPr>
          <w:hyperlink w:history="true" w:anchor="_TOC_250005">
            <w:r>
              <w:rPr/>
              <w:t>Food</w:t>
            </w:r>
            <w:r>
              <w:rPr>
                <w:spacing w:val="-4"/>
              </w:rPr>
              <w:t> </w:t>
            </w:r>
            <w:r>
              <w:rPr/>
              <w:t>supplementation</w:t>
              <w:tab/>
              <w:t>54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39" w:val="left" w:leader="none"/>
              <w:tab w:pos="1540" w:val="left" w:leader="none"/>
              <w:tab w:pos="9699" w:val="right" w:leader="none"/>
            </w:tabs>
            <w:spacing w:line="240" w:lineRule="auto" w:before="204" w:after="0"/>
            <w:ind w:left="1540" w:right="0" w:hanging="720"/>
            <w:jc w:val="left"/>
          </w:pPr>
          <w:hyperlink w:history="true" w:anchor="_TOC_250004">
            <w:r>
              <w:rPr/>
              <w:t>Education</w:t>
              <w:tab/>
              <w:t>55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39" w:val="left" w:leader="none"/>
              <w:tab w:pos="1540" w:val="left" w:leader="none"/>
              <w:tab w:pos="9699" w:val="right" w:leader="none"/>
            </w:tabs>
            <w:spacing w:line="240" w:lineRule="auto" w:before="200" w:after="0"/>
            <w:ind w:left="1540" w:right="0" w:hanging="720"/>
            <w:jc w:val="left"/>
          </w:pPr>
          <w:hyperlink w:history="true" w:anchor="_TOC_250003">
            <w:r>
              <w:rPr/>
              <w:t>Agricultural</w:t>
            </w:r>
            <w:r>
              <w:rPr>
                <w:spacing w:val="-3"/>
              </w:rPr>
              <w:t> </w:t>
            </w:r>
            <w:r>
              <w:rPr/>
              <w:t>interventions</w:t>
              <w:tab/>
              <w:t>56</w:t>
            </w:r>
          </w:hyperlink>
        </w:p>
        <w:p>
          <w:pPr>
            <w:pStyle w:val="TOC1"/>
          </w:pPr>
          <w:r>
            <w:rPr/>
            <w:t>CHAPTER</w:t>
          </w:r>
          <w:r>
            <w:rPr>
              <w:spacing w:val="-4"/>
            </w:rPr>
            <w:t> </w:t>
          </w:r>
          <w:r>
            <w:rPr/>
            <w:t>THREE</w:t>
          </w:r>
          <w:r>
            <w:rPr>
              <w:spacing w:val="-4"/>
            </w:rPr>
            <w:t> </w:t>
          </w:r>
          <w:r>
            <w:rPr/>
            <w:t>(MATERIALS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3"/>
            </w:rPr>
            <w:t> </w:t>
          </w:r>
          <w:r>
            <w:rPr/>
            <w:t>METHODS)</w:t>
          </w:r>
        </w:p>
        <w:p>
          <w:pPr>
            <w:pStyle w:val="TOC2"/>
            <w:numPr>
              <w:ilvl w:val="1"/>
              <w:numId w:val="3"/>
            </w:numPr>
            <w:tabs>
              <w:tab w:pos="1180" w:val="left" w:leader="none"/>
              <w:tab w:pos="9699" w:val="right" w:leader="none"/>
            </w:tabs>
            <w:spacing w:line="240" w:lineRule="auto" w:before="194" w:after="0"/>
            <w:ind w:left="1180" w:right="0" w:hanging="360"/>
            <w:jc w:val="left"/>
          </w:pPr>
          <w:hyperlink w:history="true" w:anchor="_TOC_250002">
            <w:r>
              <w:rPr/>
              <w:t>Materials</w:t>
              <w:tab/>
              <w:t>57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539" w:val="left" w:leader="none"/>
              <w:tab w:pos="1540" w:val="left" w:leader="none"/>
              <w:tab w:pos="9699" w:val="right" w:leader="none"/>
            </w:tabs>
            <w:spacing w:line="240" w:lineRule="auto" w:before="199" w:after="0"/>
            <w:ind w:left="1540" w:right="0" w:hanging="720"/>
            <w:jc w:val="left"/>
          </w:pPr>
          <w:hyperlink w:history="true" w:anchor="_TOC_250001">
            <w:r>
              <w:rPr/>
              <w:t>Site/Study</w:t>
            </w:r>
            <w:r>
              <w:rPr>
                <w:spacing w:val="-4"/>
              </w:rPr>
              <w:t> </w:t>
            </w:r>
            <w:r>
              <w:rPr/>
              <w:t>Area</w:t>
              <w:tab/>
              <w:t>57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539" w:val="left" w:leader="none"/>
              <w:tab w:pos="1540" w:val="left" w:leader="none"/>
              <w:tab w:pos="9699" w:val="right" w:leader="none"/>
            </w:tabs>
            <w:spacing w:line="240" w:lineRule="auto" w:before="195" w:after="0"/>
            <w:ind w:left="1540" w:right="0" w:hanging="720"/>
            <w:jc w:val="left"/>
          </w:pPr>
          <w:hyperlink w:history="true" w:anchor="_TOC_250000">
            <w:r>
              <w:rPr/>
              <w:t>Study</w:t>
            </w:r>
            <w:r>
              <w:rPr>
                <w:spacing w:val="-8"/>
              </w:rPr>
              <w:t> </w:t>
            </w:r>
            <w:r>
              <w:rPr/>
              <w:t>Population</w:t>
              <w:tab/>
              <w:t>57</w:t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2240" w:h="15840"/>
          <w:pgMar w:top="1359" w:bottom="1699" w:left="620" w:right="0"/>
        </w:sectPr>
      </w:pPr>
    </w:p>
    <w:tbl>
      <w:tblPr>
        <w:tblW w:w="0" w:type="auto"/>
        <w:jc w:val="left"/>
        <w:tblInd w:w="7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2"/>
        <w:gridCol w:w="4728"/>
        <w:gridCol w:w="3600"/>
      </w:tblGrid>
      <w:tr>
        <w:trPr>
          <w:trHeight w:val="392" w:hRule="atLeast"/>
        </w:trPr>
        <w:tc>
          <w:tcPr>
            <w:tcW w:w="652" w:type="dxa"/>
          </w:tcPr>
          <w:p>
            <w:pPr>
              <w:pStyle w:val="TableParagraph"/>
              <w:spacing w:line="263" w:lineRule="exact"/>
              <w:ind w:left="50"/>
              <w:rPr>
                <w:sz w:val="24"/>
              </w:rPr>
            </w:pPr>
            <w:r>
              <w:rPr>
                <w:sz w:val="24"/>
              </w:rPr>
              <w:t>3.1.3</w:t>
            </w:r>
          </w:p>
        </w:tc>
        <w:tc>
          <w:tcPr>
            <w:tcW w:w="4728" w:type="dxa"/>
          </w:tcPr>
          <w:p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Size</w:t>
            </w:r>
          </w:p>
        </w:tc>
        <w:tc>
          <w:tcPr>
            <w:tcW w:w="3600" w:type="dxa"/>
          </w:tcPr>
          <w:p>
            <w:pPr>
              <w:pStyle w:val="TableParagraph"/>
              <w:spacing w:line="263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518" w:hRule="atLeast"/>
        </w:trPr>
        <w:tc>
          <w:tcPr>
            <w:tcW w:w="652" w:type="dxa"/>
          </w:tcPr>
          <w:p>
            <w:pPr>
              <w:pStyle w:val="TableParagraph"/>
              <w:spacing w:before="113"/>
              <w:ind w:left="50"/>
              <w:rPr>
                <w:sz w:val="24"/>
              </w:rPr>
            </w:pPr>
            <w:r>
              <w:rPr>
                <w:sz w:val="24"/>
              </w:rPr>
              <w:t>3.1.4</w:t>
            </w:r>
          </w:p>
        </w:tc>
        <w:tc>
          <w:tcPr>
            <w:tcW w:w="4728" w:type="dxa"/>
          </w:tcPr>
          <w:p>
            <w:pPr>
              <w:pStyle w:val="TableParagraph"/>
              <w:spacing w:before="113"/>
              <w:ind w:left="118"/>
              <w:rPr>
                <w:sz w:val="24"/>
              </w:rPr>
            </w:pPr>
            <w:r>
              <w:rPr>
                <w:sz w:val="24"/>
              </w:rPr>
              <w:t>Study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Design</w:t>
            </w:r>
          </w:p>
        </w:tc>
        <w:tc>
          <w:tcPr>
            <w:tcW w:w="3600" w:type="dxa"/>
          </w:tcPr>
          <w:p>
            <w:pPr>
              <w:pStyle w:val="TableParagraph"/>
              <w:spacing w:before="11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392" w:hRule="atLeast"/>
        </w:trPr>
        <w:tc>
          <w:tcPr>
            <w:tcW w:w="652" w:type="dxa"/>
          </w:tcPr>
          <w:p>
            <w:pPr>
              <w:pStyle w:val="TableParagraph"/>
              <w:spacing w:line="259" w:lineRule="exact" w:before="113"/>
              <w:ind w:left="50"/>
              <w:rPr>
                <w:sz w:val="24"/>
              </w:rPr>
            </w:pPr>
            <w:r>
              <w:rPr>
                <w:sz w:val="24"/>
              </w:rPr>
              <w:t>3.1.5</w:t>
            </w:r>
          </w:p>
        </w:tc>
        <w:tc>
          <w:tcPr>
            <w:tcW w:w="4728" w:type="dxa"/>
          </w:tcPr>
          <w:p>
            <w:pPr>
              <w:pStyle w:val="TableParagraph"/>
              <w:spacing w:line="259" w:lineRule="exact" w:before="113"/>
              <w:ind w:left="118"/>
              <w:rPr>
                <w:sz w:val="24"/>
              </w:rPr>
            </w:pPr>
            <w:r>
              <w:rPr>
                <w:sz w:val="24"/>
              </w:rPr>
              <w:t>Reagents</w:t>
            </w:r>
          </w:p>
        </w:tc>
        <w:tc>
          <w:tcPr>
            <w:tcW w:w="3600" w:type="dxa"/>
          </w:tcPr>
          <w:p>
            <w:pPr>
              <w:pStyle w:val="TableParagraph"/>
              <w:spacing w:line="259" w:lineRule="exact" w:before="11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513" w:hRule="atLeast"/>
        </w:trPr>
        <w:tc>
          <w:tcPr>
            <w:tcW w:w="5380" w:type="dxa"/>
            <w:gridSpan w:val="2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259" w:lineRule="exact" w:before="1"/>
              <w:ind w:left="50"/>
              <w:rPr>
                <w:sz w:val="24"/>
              </w:rPr>
            </w:pPr>
            <w:r>
              <w:rPr>
                <w:sz w:val="24"/>
              </w:rPr>
              <w:t>3.2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Methods</w:t>
            </w:r>
          </w:p>
        </w:tc>
        <w:tc>
          <w:tcPr>
            <w:tcW w:w="3600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259" w:lineRule="exact" w:before="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</w:tbl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2"/>
          <w:numId w:val="4"/>
        </w:numPr>
        <w:tabs>
          <w:tab w:pos="1482" w:val="left" w:leader="none"/>
          <w:tab w:pos="9459" w:val="left" w:leader="none"/>
        </w:tabs>
        <w:spacing w:line="240" w:lineRule="auto" w:before="0" w:after="0"/>
        <w:ind w:left="1481" w:right="0" w:hanging="662"/>
        <w:jc w:val="left"/>
        <w:rPr>
          <w:sz w:val="24"/>
        </w:rPr>
      </w:pPr>
      <w:r>
        <w:rPr>
          <w:sz w:val="24"/>
        </w:rPr>
        <w:t>Preparation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Reagents</w:t>
        <w:tab/>
        <w:t>61</w:t>
      </w:r>
    </w:p>
    <w:p>
      <w:pPr>
        <w:pStyle w:val="ListParagraph"/>
        <w:numPr>
          <w:ilvl w:val="2"/>
          <w:numId w:val="4"/>
        </w:numPr>
        <w:tabs>
          <w:tab w:pos="1482" w:val="left" w:leader="none"/>
          <w:tab w:pos="9699" w:val="right" w:leader="none"/>
        </w:tabs>
        <w:spacing w:line="240" w:lineRule="auto" w:before="243" w:after="0"/>
        <w:ind w:left="1481" w:right="0" w:hanging="662"/>
        <w:jc w:val="left"/>
        <w:rPr>
          <w:sz w:val="24"/>
        </w:rPr>
      </w:pPr>
      <w:r>
        <w:rPr>
          <w:sz w:val="24"/>
        </w:rPr>
        <w:t>Quantitative Determination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 Micronutrients</w:t>
        <w:tab/>
        <w:t>62</w:t>
      </w:r>
    </w:p>
    <w:p>
      <w:pPr>
        <w:pStyle w:val="BodyText"/>
        <w:tabs>
          <w:tab w:pos="9699" w:val="right" w:leader="none"/>
        </w:tabs>
        <w:spacing w:before="242"/>
        <w:ind w:left="820"/>
      </w:pPr>
      <w:r>
        <w:rPr/>
        <w:t>3.3</w:t>
      </w:r>
      <w:r>
        <w:rPr>
          <w:spacing w:val="-3"/>
        </w:rPr>
        <w:t> </w:t>
      </w:r>
      <w:r>
        <w:rPr/>
        <w:t>Data</w:t>
      </w:r>
      <w:r>
        <w:rPr>
          <w:spacing w:val="1"/>
        </w:rPr>
        <w:t> </w:t>
      </w:r>
      <w:r>
        <w:rPr/>
        <w:t>Analysis</w:t>
        <w:tab/>
        <w:t>65</w:t>
      </w:r>
    </w:p>
    <w:p>
      <w:pPr>
        <w:pStyle w:val="Heading1"/>
        <w:spacing w:before="248"/>
        <w:jc w:val="left"/>
      </w:pPr>
      <w:r>
        <w:rPr/>
        <w:t>CHAPTER</w:t>
      </w:r>
      <w:r>
        <w:rPr>
          <w:spacing w:val="-4"/>
        </w:rPr>
        <w:t> </w:t>
      </w:r>
      <w:r>
        <w:rPr/>
        <w:t>FOUR</w:t>
      </w:r>
      <w:r>
        <w:rPr>
          <w:spacing w:val="-4"/>
        </w:rPr>
        <w:t> </w:t>
      </w:r>
      <w:r>
        <w:rPr/>
        <w:t>(RESULTS)</w:t>
      </w:r>
    </w:p>
    <w:p>
      <w:pPr>
        <w:pStyle w:val="ListParagraph"/>
        <w:numPr>
          <w:ilvl w:val="1"/>
          <w:numId w:val="5"/>
        </w:numPr>
        <w:tabs>
          <w:tab w:pos="1180" w:val="left" w:leader="none"/>
        </w:tabs>
        <w:spacing w:line="240" w:lineRule="auto" w:before="232" w:after="0"/>
        <w:ind w:left="1180" w:right="0" w:hanging="360"/>
        <w:jc w:val="left"/>
        <w:rPr>
          <w:sz w:val="24"/>
        </w:rPr>
      </w:pPr>
      <w:r>
        <w:rPr>
          <w:sz w:val="24"/>
        </w:rPr>
        <w:t>Relative</w:t>
      </w:r>
      <w:r>
        <w:rPr>
          <w:spacing w:val="1"/>
          <w:sz w:val="24"/>
        </w:rPr>
        <w:t> </w:t>
      </w:r>
      <w:r>
        <w:rPr>
          <w:sz w:val="24"/>
        </w:rPr>
        <w:t>incidence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Sickle</w:t>
      </w:r>
      <w:r>
        <w:rPr>
          <w:spacing w:val="-3"/>
          <w:sz w:val="24"/>
        </w:rPr>
        <w:t> </w:t>
      </w:r>
      <w:r>
        <w:rPr>
          <w:sz w:val="24"/>
        </w:rPr>
        <w:t>Cell</w:t>
      </w:r>
      <w:r>
        <w:rPr>
          <w:spacing w:val="-6"/>
          <w:sz w:val="24"/>
        </w:rPr>
        <w:t> </w:t>
      </w:r>
      <w:r>
        <w:rPr>
          <w:sz w:val="24"/>
        </w:rPr>
        <w:t>Diseases,</w:t>
      </w:r>
      <w:r>
        <w:rPr>
          <w:spacing w:val="-1"/>
          <w:sz w:val="24"/>
        </w:rPr>
        <w:t> </w:t>
      </w:r>
      <w:r>
        <w:rPr>
          <w:sz w:val="24"/>
        </w:rPr>
        <w:t>Biodata</w:t>
      </w:r>
      <w:r>
        <w:rPr>
          <w:spacing w:val="-3"/>
          <w:sz w:val="24"/>
        </w:rPr>
        <w:t> </w:t>
      </w:r>
      <w:r>
        <w:rPr>
          <w:sz w:val="24"/>
        </w:rPr>
        <w:t>and</w:t>
      </w:r>
    </w:p>
    <w:p>
      <w:pPr>
        <w:pStyle w:val="BodyText"/>
        <w:tabs>
          <w:tab w:pos="9761" w:val="right" w:leader="none"/>
        </w:tabs>
        <w:spacing w:before="243"/>
        <w:ind w:left="820"/>
      </w:pPr>
      <w:r>
        <w:rPr/>
        <w:t>Anthropological</w:t>
      </w:r>
      <w:r>
        <w:rPr>
          <w:spacing w:val="-7"/>
        </w:rPr>
        <w:t> </w:t>
      </w:r>
      <w:r>
        <w:rPr/>
        <w:t>data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Study</w:t>
      </w:r>
      <w:r>
        <w:rPr>
          <w:spacing w:val="-8"/>
        </w:rPr>
        <w:t> </w:t>
      </w:r>
      <w:r>
        <w:rPr/>
        <w:t>Group</w:t>
        <w:tab/>
        <w:t>66</w:t>
      </w:r>
    </w:p>
    <w:p>
      <w:pPr>
        <w:pStyle w:val="ListParagraph"/>
        <w:numPr>
          <w:ilvl w:val="1"/>
          <w:numId w:val="5"/>
        </w:numPr>
        <w:tabs>
          <w:tab w:pos="1180" w:val="left" w:leader="none"/>
          <w:tab w:pos="9761" w:val="right" w:leader="none"/>
        </w:tabs>
        <w:spacing w:line="240" w:lineRule="auto" w:before="242" w:after="0"/>
        <w:ind w:left="1180" w:right="0" w:hanging="360"/>
        <w:jc w:val="left"/>
        <w:rPr>
          <w:sz w:val="24"/>
        </w:rPr>
      </w:pPr>
      <w:r>
        <w:rPr>
          <w:sz w:val="24"/>
        </w:rPr>
        <w:t>Clinical</w:t>
      </w:r>
      <w:r>
        <w:rPr>
          <w:spacing w:val="-3"/>
          <w:sz w:val="24"/>
        </w:rPr>
        <w:t> </w:t>
      </w:r>
      <w:r>
        <w:rPr>
          <w:sz w:val="24"/>
        </w:rPr>
        <w:t>History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Sickle</w:t>
      </w:r>
      <w:r>
        <w:rPr>
          <w:spacing w:val="1"/>
          <w:sz w:val="24"/>
        </w:rPr>
        <w:t> </w:t>
      </w:r>
      <w:r>
        <w:rPr>
          <w:sz w:val="24"/>
        </w:rPr>
        <w:t>Cell</w:t>
      </w:r>
      <w:r>
        <w:rPr>
          <w:spacing w:val="-2"/>
          <w:sz w:val="24"/>
        </w:rPr>
        <w:t> </w:t>
      </w:r>
      <w:r>
        <w:rPr>
          <w:sz w:val="24"/>
        </w:rPr>
        <w:t>Disease</w:t>
      </w:r>
      <w:r>
        <w:rPr>
          <w:spacing w:val="1"/>
          <w:sz w:val="24"/>
        </w:rPr>
        <w:t> </w:t>
      </w:r>
      <w:r>
        <w:rPr>
          <w:sz w:val="24"/>
        </w:rPr>
        <w:t>Patients</w:t>
        <w:tab/>
        <w:t>71</w:t>
      </w:r>
    </w:p>
    <w:p>
      <w:pPr>
        <w:pStyle w:val="ListParagraph"/>
        <w:numPr>
          <w:ilvl w:val="1"/>
          <w:numId w:val="5"/>
        </w:numPr>
        <w:tabs>
          <w:tab w:pos="1180" w:val="left" w:leader="none"/>
          <w:tab w:pos="9761" w:val="right" w:leader="none"/>
        </w:tabs>
        <w:spacing w:line="240" w:lineRule="auto" w:before="243" w:after="0"/>
        <w:ind w:left="1180" w:right="0" w:hanging="360"/>
        <w:jc w:val="left"/>
        <w:rPr>
          <w:sz w:val="24"/>
        </w:rPr>
      </w:pPr>
      <w:r>
        <w:rPr>
          <w:sz w:val="24"/>
        </w:rPr>
        <w:t>Medication</w:t>
      </w:r>
      <w:r>
        <w:rPr>
          <w:spacing w:val="-4"/>
          <w:sz w:val="24"/>
        </w:rPr>
        <w:t> </w:t>
      </w:r>
      <w:r>
        <w:rPr>
          <w:sz w:val="24"/>
        </w:rPr>
        <w:t>History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Sickle</w:t>
      </w:r>
      <w:r>
        <w:rPr>
          <w:spacing w:val="1"/>
          <w:sz w:val="24"/>
        </w:rPr>
        <w:t> </w:t>
      </w:r>
      <w:r>
        <w:rPr>
          <w:sz w:val="24"/>
        </w:rPr>
        <w:t>Cell</w:t>
      </w:r>
      <w:r>
        <w:rPr>
          <w:spacing w:val="-7"/>
          <w:sz w:val="24"/>
        </w:rPr>
        <w:t> </w:t>
      </w:r>
      <w:r>
        <w:rPr>
          <w:sz w:val="24"/>
        </w:rPr>
        <w:t>Disease</w:t>
      </w:r>
      <w:r>
        <w:rPr>
          <w:spacing w:val="1"/>
          <w:sz w:val="24"/>
        </w:rPr>
        <w:t> </w:t>
      </w:r>
      <w:r>
        <w:rPr>
          <w:sz w:val="24"/>
        </w:rPr>
        <w:t>Patients in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Study</w:t>
        <w:tab/>
        <w:t>80</w:t>
      </w:r>
    </w:p>
    <w:p>
      <w:pPr>
        <w:pStyle w:val="ListParagraph"/>
        <w:numPr>
          <w:ilvl w:val="1"/>
          <w:numId w:val="5"/>
        </w:numPr>
        <w:tabs>
          <w:tab w:pos="1180" w:val="left" w:leader="none"/>
          <w:tab w:pos="9761" w:val="right" w:leader="none"/>
        </w:tabs>
        <w:spacing w:line="240" w:lineRule="auto" w:before="237" w:after="0"/>
        <w:ind w:left="1180" w:right="0" w:hanging="360"/>
        <w:jc w:val="left"/>
        <w:rPr>
          <w:sz w:val="24"/>
        </w:rPr>
      </w:pPr>
      <w:r>
        <w:rPr>
          <w:sz w:val="24"/>
        </w:rPr>
        <w:t>Full</w:t>
      </w:r>
      <w:r>
        <w:rPr>
          <w:spacing w:val="-7"/>
          <w:sz w:val="24"/>
        </w:rPr>
        <w:t> </w:t>
      </w:r>
      <w:r>
        <w:rPr>
          <w:sz w:val="24"/>
        </w:rPr>
        <w:t>Blood</w:t>
      </w:r>
      <w:r>
        <w:rPr>
          <w:spacing w:val="2"/>
          <w:sz w:val="24"/>
        </w:rPr>
        <w:t> </w:t>
      </w:r>
      <w:r>
        <w:rPr>
          <w:sz w:val="24"/>
        </w:rPr>
        <w:t>Counts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Groups</w:t>
        <w:tab/>
        <w:t>88</w:t>
      </w:r>
    </w:p>
    <w:p>
      <w:pPr>
        <w:pStyle w:val="ListParagraph"/>
        <w:numPr>
          <w:ilvl w:val="1"/>
          <w:numId w:val="5"/>
        </w:numPr>
        <w:tabs>
          <w:tab w:pos="1180" w:val="left" w:leader="none"/>
          <w:tab w:pos="9761" w:val="right" w:leader="none"/>
        </w:tabs>
        <w:spacing w:line="240" w:lineRule="auto" w:before="243" w:after="0"/>
        <w:ind w:left="1180" w:right="0" w:hanging="360"/>
        <w:jc w:val="left"/>
        <w:rPr>
          <w:sz w:val="24"/>
        </w:rPr>
      </w:pPr>
      <w:r>
        <w:rPr>
          <w:sz w:val="24"/>
        </w:rPr>
        <w:t>Result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Micronutrient</w:t>
      </w:r>
      <w:r>
        <w:rPr>
          <w:spacing w:val="6"/>
          <w:sz w:val="24"/>
        </w:rPr>
        <w:t> </w:t>
      </w:r>
      <w:r>
        <w:rPr>
          <w:sz w:val="24"/>
        </w:rPr>
        <w:t>assay</w:t>
        <w:tab/>
        <w:t>90</w:t>
      </w:r>
    </w:p>
    <w:p>
      <w:pPr>
        <w:pStyle w:val="Heading1"/>
        <w:spacing w:before="247"/>
        <w:jc w:val="left"/>
      </w:pPr>
      <w:r>
        <w:rPr/>
        <w:t>CHAPTER</w:t>
      </w:r>
      <w:r>
        <w:rPr>
          <w:spacing w:val="-4"/>
        </w:rPr>
        <w:t> </w:t>
      </w:r>
      <w:r>
        <w:rPr/>
        <w:t>FIVE</w:t>
      </w:r>
      <w:r>
        <w:rPr>
          <w:spacing w:val="-5"/>
        </w:rPr>
        <w:t> </w:t>
      </w:r>
      <w:r>
        <w:rPr/>
        <w:t>(DISCUSSIONS)</w:t>
      </w:r>
    </w:p>
    <w:p>
      <w:pPr>
        <w:pStyle w:val="ListParagraph"/>
        <w:numPr>
          <w:ilvl w:val="1"/>
          <w:numId w:val="6"/>
        </w:numPr>
        <w:tabs>
          <w:tab w:pos="1180" w:val="left" w:leader="none"/>
        </w:tabs>
        <w:spacing w:line="240" w:lineRule="auto" w:before="242" w:after="0"/>
        <w:ind w:left="1180" w:right="0" w:hanging="360"/>
        <w:jc w:val="left"/>
        <w:rPr>
          <w:sz w:val="24"/>
        </w:rPr>
      </w:pPr>
      <w:r>
        <w:rPr>
          <w:sz w:val="24"/>
        </w:rPr>
        <w:t>Relative</w:t>
      </w:r>
      <w:r>
        <w:rPr>
          <w:spacing w:val="1"/>
          <w:sz w:val="24"/>
        </w:rPr>
        <w:t> </w:t>
      </w:r>
      <w:r>
        <w:rPr>
          <w:sz w:val="24"/>
        </w:rPr>
        <w:t>incidence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Sickle</w:t>
      </w:r>
      <w:r>
        <w:rPr>
          <w:spacing w:val="-3"/>
          <w:sz w:val="24"/>
        </w:rPr>
        <w:t> </w:t>
      </w:r>
      <w:r>
        <w:rPr>
          <w:sz w:val="24"/>
        </w:rPr>
        <w:t>Cell</w:t>
      </w:r>
      <w:r>
        <w:rPr>
          <w:spacing w:val="-6"/>
          <w:sz w:val="24"/>
        </w:rPr>
        <w:t> </w:t>
      </w:r>
      <w:r>
        <w:rPr>
          <w:sz w:val="24"/>
        </w:rPr>
        <w:t>Diseases,</w:t>
      </w:r>
      <w:r>
        <w:rPr>
          <w:spacing w:val="-1"/>
          <w:sz w:val="24"/>
        </w:rPr>
        <w:t> </w:t>
      </w:r>
      <w:r>
        <w:rPr>
          <w:sz w:val="24"/>
        </w:rPr>
        <w:t>Biodata</w:t>
      </w:r>
      <w:r>
        <w:rPr>
          <w:spacing w:val="-3"/>
          <w:sz w:val="24"/>
        </w:rPr>
        <w:t> </w:t>
      </w:r>
      <w:r>
        <w:rPr>
          <w:sz w:val="24"/>
        </w:rPr>
        <w:t>and</w:t>
      </w:r>
    </w:p>
    <w:p>
      <w:pPr>
        <w:pStyle w:val="BodyText"/>
        <w:tabs>
          <w:tab w:pos="9699" w:val="right" w:leader="none"/>
        </w:tabs>
        <w:spacing w:before="200"/>
        <w:ind w:left="820"/>
      </w:pPr>
      <w:r>
        <w:rPr/>
        <w:t>Anthropological</w:t>
      </w:r>
      <w:r>
        <w:rPr>
          <w:spacing w:val="-7"/>
        </w:rPr>
        <w:t> </w:t>
      </w:r>
      <w:r>
        <w:rPr/>
        <w:t>data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Study</w:t>
      </w:r>
      <w:r>
        <w:rPr>
          <w:spacing w:val="-8"/>
        </w:rPr>
        <w:t> </w:t>
      </w:r>
      <w:r>
        <w:rPr/>
        <w:t>Group</w:t>
        <w:tab/>
        <w:t>92</w:t>
      </w:r>
    </w:p>
    <w:p>
      <w:pPr>
        <w:pStyle w:val="ListParagraph"/>
        <w:numPr>
          <w:ilvl w:val="1"/>
          <w:numId w:val="6"/>
        </w:numPr>
        <w:tabs>
          <w:tab w:pos="1180" w:val="left" w:leader="none"/>
          <w:tab w:pos="9699" w:val="right" w:leader="none"/>
        </w:tabs>
        <w:spacing w:line="240" w:lineRule="auto" w:before="199" w:after="0"/>
        <w:ind w:left="1180" w:right="0" w:hanging="360"/>
        <w:jc w:val="left"/>
        <w:rPr>
          <w:sz w:val="24"/>
        </w:rPr>
      </w:pPr>
      <w:r>
        <w:rPr>
          <w:sz w:val="24"/>
        </w:rPr>
        <w:t>Clinical</w:t>
      </w:r>
      <w:r>
        <w:rPr>
          <w:spacing w:val="-3"/>
          <w:sz w:val="24"/>
        </w:rPr>
        <w:t> </w:t>
      </w:r>
      <w:r>
        <w:rPr>
          <w:sz w:val="24"/>
        </w:rPr>
        <w:t>History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Sickle</w:t>
      </w:r>
      <w:r>
        <w:rPr>
          <w:spacing w:val="1"/>
          <w:sz w:val="24"/>
        </w:rPr>
        <w:t> </w:t>
      </w:r>
      <w:r>
        <w:rPr>
          <w:sz w:val="24"/>
        </w:rPr>
        <w:t>Cell</w:t>
      </w:r>
      <w:r>
        <w:rPr>
          <w:spacing w:val="-2"/>
          <w:sz w:val="24"/>
        </w:rPr>
        <w:t> </w:t>
      </w:r>
      <w:r>
        <w:rPr>
          <w:sz w:val="24"/>
        </w:rPr>
        <w:t>Disease</w:t>
      </w:r>
      <w:r>
        <w:rPr>
          <w:spacing w:val="1"/>
          <w:sz w:val="24"/>
        </w:rPr>
        <w:t> </w:t>
      </w:r>
      <w:r>
        <w:rPr>
          <w:sz w:val="24"/>
        </w:rPr>
        <w:t>Patients</w:t>
        <w:tab/>
        <w:t>93</w:t>
      </w:r>
    </w:p>
    <w:p>
      <w:pPr>
        <w:pStyle w:val="ListParagraph"/>
        <w:numPr>
          <w:ilvl w:val="1"/>
          <w:numId w:val="6"/>
        </w:numPr>
        <w:tabs>
          <w:tab w:pos="1180" w:val="left" w:leader="none"/>
          <w:tab w:pos="9699" w:val="right" w:leader="none"/>
        </w:tabs>
        <w:spacing w:line="240" w:lineRule="auto" w:before="199" w:after="0"/>
        <w:ind w:left="1180" w:right="0" w:hanging="360"/>
        <w:jc w:val="left"/>
        <w:rPr>
          <w:sz w:val="24"/>
        </w:rPr>
      </w:pPr>
      <w:r>
        <w:rPr>
          <w:sz w:val="24"/>
        </w:rPr>
        <w:t>Medication</w:t>
      </w:r>
      <w:r>
        <w:rPr>
          <w:spacing w:val="-4"/>
          <w:sz w:val="24"/>
        </w:rPr>
        <w:t> </w:t>
      </w:r>
      <w:r>
        <w:rPr>
          <w:sz w:val="24"/>
        </w:rPr>
        <w:t>history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sickle</w:t>
      </w:r>
      <w:r>
        <w:rPr>
          <w:spacing w:val="1"/>
          <w:sz w:val="24"/>
        </w:rPr>
        <w:t> </w:t>
      </w:r>
      <w:r>
        <w:rPr>
          <w:sz w:val="24"/>
        </w:rPr>
        <w:t>cell</w:t>
      </w:r>
      <w:r>
        <w:rPr>
          <w:spacing w:val="-7"/>
          <w:sz w:val="24"/>
        </w:rPr>
        <w:t> </w:t>
      </w:r>
      <w:r>
        <w:rPr>
          <w:sz w:val="24"/>
        </w:rPr>
        <w:t>disease</w:t>
      </w:r>
      <w:r>
        <w:rPr>
          <w:spacing w:val="1"/>
          <w:sz w:val="24"/>
        </w:rPr>
        <w:t> </w:t>
      </w:r>
      <w:r>
        <w:rPr>
          <w:sz w:val="24"/>
        </w:rPr>
        <w:t>patients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Study</w:t>
        <w:tab/>
        <w:t>99</w:t>
      </w:r>
    </w:p>
    <w:p>
      <w:pPr>
        <w:pStyle w:val="ListParagraph"/>
        <w:numPr>
          <w:ilvl w:val="1"/>
          <w:numId w:val="6"/>
        </w:numPr>
        <w:tabs>
          <w:tab w:pos="1180" w:val="left" w:leader="none"/>
          <w:tab w:pos="9819" w:val="right" w:leader="none"/>
        </w:tabs>
        <w:spacing w:line="240" w:lineRule="auto" w:before="199" w:after="0"/>
        <w:ind w:left="1180" w:right="0" w:hanging="360"/>
        <w:jc w:val="left"/>
        <w:rPr>
          <w:sz w:val="24"/>
        </w:rPr>
      </w:pPr>
      <w:r>
        <w:rPr>
          <w:sz w:val="24"/>
        </w:rPr>
        <w:t>Full</w:t>
      </w:r>
      <w:r>
        <w:rPr>
          <w:spacing w:val="-7"/>
          <w:sz w:val="24"/>
        </w:rPr>
        <w:t> </w:t>
      </w:r>
      <w:r>
        <w:rPr>
          <w:sz w:val="24"/>
        </w:rPr>
        <w:t>Blood</w:t>
      </w:r>
      <w:r>
        <w:rPr>
          <w:spacing w:val="2"/>
          <w:sz w:val="24"/>
        </w:rPr>
        <w:t> </w:t>
      </w:r>
      <w:r>
        <w:rPr>
          <w:sz w:val="24"/>
        </w:rPr>
        <w:t>Counts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Groups</w:t>
        <w:tab/>
        <w:t>103</w:t>
      </w:r>
    </w:p>
    <w:p>
      <w:pPr>
        <w:pStyle w:val="ListParagraph"/>
        <w:numPr>
          <w:ilvl w:val="1"/>
          <w:numId w:val="6"/>
        </w:numPr>
        <w:tabs>
          <w:tab w:pos="1180" w:val="left" w:leader="none"/>
          <w:tab w:pos="9819" w:val="right" w:leader="none"/>
        </w:tabs>
        <w:spacing w:line="240" w:lineRule="auto" w:before="204" w:after="0"/>
        <w:ind w:left="1180" w:right="0" w:hanging="360"/>
        <w:jc w:val="left"/>
        <w:rPr>
          <w:sz w:val="24"/>
        </w:rPr>
      </w:pPr>
      <w:r>
        <w:rPr>
          <w:sz w:val="24"/>
        </w:rPr>
        <w:t>Result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Micronutrient</w:t>
      </w:r>
      <w:r>
        <w:rPr>
          <w:spacing w:val="6"/>
          <w:sz w:val="24"/>
        </w:rPr>
        <w:t> </w:t>
      </w:r>
      <w:r>
        <w:rPr>
          <w:sz w:val="24"/>
        </w:rPr>
        <w:t>Assay</w:t>
        <w:tab/>
        <w:t>105</w:t>
      </w:r>
    </w:p>
    <w:p>
      <w:pPr>
        <w:pStyle w:val="Heading1"/>
        <w:spacing w:before="204"/>
        <w:jc w:val="left"/>
      </w:pPr>
      <w:r>
        <w:rPr/>
        <w:t>CHAPTER</w:t>
      </w:r>
      <w:r>
        <w:rPr>
          <w:spacing w:val="-6"/>
        </w:rPr>
        <w:t> </w:t>
      </w:r>
      <w:r>
        <w:rPr/>
        <w:t>SIX</w:t>
      </w:r>
      <w:r>
        <w:rPr>
          <w:spacing w:val="-5"/>
        </w:rPr>
        <w:t> </w:t>
      </w:r>
      <w:r>
        <w:rPr/>
        <w:t>(CONCLUSION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RECOMMENDATIONS)</w:t>
      </w:r>
    </w:p>
    <w:p>
      <w:pPr>
        <w:pStyle w:val="ListParagraph"/>
        <w:numPr>
          <w:ilvl w:val="1"/>
          <w:numId w:val="7"/>
        </w:numPr>
        <w:tabs>
          <w:tab w:pos="1544" w:val="left" w:leader="none"/>
          <w:tab w:pos="1545" w:val="left" w:leader="none"/>
          <w:tab w:pos="9819" w:val="right" w:leader="none"/>
        </w:tabs>
        <w:spacing w:line="240" w:lineRule="auto" w:before="195" w:after="0"/>
        <w:ind w:left="1544" w:right="0" w:hanging="725"/>
        <w:jc w:val="left"/>
        <w:rPr>
          <w:sz w:val="24"/>
        </w:rPr>
      </w:pPr>
      <w:r>
        <w:rPr>
          <w:sz w:val="24"/>
        </w:rPr>
        <w:t>Conclusions</w:t>
        <w:tab/>
        <w:t>109</w:t>
      </w:r>
    </w:p>
    <w:p>
      <w:pPr>
        <w:pStyle w:val="ListParagraph"/>
        <w:numPr>
          <w:ilvl w:val="2"/>
          <w:numId w:val="7"/>
        </w:numPr>
        <w:tabs>
          <w:tab w:pos="1539" w:val="left" w:leader="none"/>
          <w:tab w:pos="1540" w:val="left" w:leader="none"/>
          <w:tab w:pos="9819" w:val="right" w:leader="none"/>
        </w:tabs>
        <w:spacing w:line="240" w:lineRule="auto" w:before="199" w:after="0"/>
        <w:ind w:left="1540" w:right="0" w:hanging="720"/>
        <w:jc w:val="left"/>
        <w:rPr>
          <w:sz w:val="24"/>
        </w:rPr>
      </w:pPr>
      <w:r>
        <w:rPr>
          <w:sz w:val="24"/>
        </w:rPr>
        <w:t>Recommendations</w:t>
        <w:tab/>
        <w:t>110</w:t>
      </w:r>
    </w:p>
    <w:p>
      <w:pPr>
        <w:tabs>
          <w:tab w:pos="9819" w:val="right" w:leader="none"/>
        </w:tabs>
        <w:spacing w:before="194"/>
        <w:ind w:left="820" w:right="0" w:firstLine="0"/>
        <w:jc w:val="left"/>
        <w:rPr>
          <w:sz w:val="24"/>
        </w:rPr>
      </w:pPr>
      <w:r>
        <w:rPr>
          <w:b/>
          <w:sz w:val="24"/>
        </w:rPr>
        <w:t>REFERENCES</w:t>
        <w:tab/>
      </w:r>
      <w:r>
        <w:rPr>
          <w:sz w:val="24"/>
        </w:rPr>
        <w:t>111</w:t>
      </w:r>
    </w:p>
    <w:p>
      <w:pPr>
        <w:tabs>
          <w:tab w:pos="9819" w:val="right" w:leader="none"/>
        </w:tabs>
        <w:spacing w:before="243"/>
        <w:ind w:left="820" w:right="0" w:firstLine="0"/>
        <w:jc w:val="left"/>
        <w:rPr>
          <w:sz w:val="24"/>
        </w:rPr>
      </w:pPr>
      <w:r>
        <w:rPr>
          <w:b/>
          <w:sz w:val="24"/>
        </w:rPr>
        <w:t>APPENDICES</w:t>
        <w:tab/>
      </w:r>
      <w:r>
        <w:rPr>
          <w:sz w:val="24"/>
        </w:rPr>
        <w:t>134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7" w:top="1440" w:bottom="1200" w:left="620" w:right="0"/>
        </w:sectPr>
      </w:pPr>
    </w:p>
    <w:p>
      <w:pPr>
        <w:pStyle w:val="Heading1"/>
        <w:jc w:val="left"/>
      </w:pP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FIGURES</w:t>
      </w:r>
    </w:p>
    <w:p>
      <w:pPr>
        <w:pStyle w:val="BodyText"/>
        <w:rPr>
          <w:b/>
          <w:sz w:val="29"/>
        </w:rPr>
      </w:pPr>
    </w:p>
    <w:p>
      <w:pPr>
        <w:pStyle w:val="ListParagraph"/>
        <w:numPr>
          <w:ilvl w:val="0"/>
          <w:numId w:val="8"/>
        </w:numPr>
        <w:tabs>
          <w:tab w:pos="1361" w:val="left" w:leader="none"/>
          <w:tab w:pos="1363" w:val="left" w:leader="none"/>
          <w:tab w:pos="9459" w:val="left" w:leader="none"/>
        </w:tabs>
        <w:spacing w:line="240" w:lineRule="auto" w:before="0" w:after="0"/>
        <w:ind w:left="1362" w:right="0" w:hanging="543"/>
        <w:jc w:val="left"/>
        <w:rPr>
          <w:sz w:val="24"/>
        </w:rPr>
      </w:pPr>
      <w:r>
        <w:rPr>
          <w:sz w:val="24"/>
        </w:rPr>
        <w:t>Normal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Sickle</w:t>
      </w:r>
      <w:r>
        <w:rPr>
          <w:spacing w:val="-3"/>
          <w:sz w:val="24"/>
        </w:rPr>
        <w:t> </w:t>
      </w:r>
      <w:r>
        <w:rPr>
          <w:sz w:val="24"/>
        </w:rPr>
        <w:t>Red</w:t>
      </w:r>
      <w:r>
        <w:rPr>
          <w:spacing w:val="-2"/>
          <w:sz w:val="24"/>
        </w:rPr>
        <w:t> </w:t>
      </w:r>
      <w:r>
        <w:rPr>
          <w:sz w:val="24"/>
        </w:rPr>
        <w:t>Blood</w:t>
      </w:r>
      <w:r>
        <w:rPr>
          <w:spacing w:val="-3"/>
          <w:sz w:val="24"/>
        </w:rPr>
        <w:t> </w:t>
      </w:r>
      <w:r>
        <w:rPr>
          <w:sz w:val="24"/>
        </w:rPr>
        <w:t>Cells</w:t>
        <w:tab/>
        <w:t>8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8"/>
        </w:numPr>
        <w:tabs>
          <w:tab w:pos="1424" w:val="left" w:leader="none"/>
          <w:tab w:pos="1425" w:val="left" w:leader="none"/>
          <w:tab w:pos="9459" w:val="left" w:leader="none"/>
        </w:tabs>
        <w:spacing w:line="240" w:lineRule="auto" w:before="0" w:after="0"/>
        <w:ind w:left="1424" w:right="0" w:hanging="605"/>
        <w:jc w:val="left"/>
        <w:rPr>
          <w:sz w:val="24"/>
        </w:rPr>
      </w:pPr>
      <w:r>
        <w:rPr>
          <w:sz w:val="24"/>
        </w:rPr>
        <w:t>Pathophysiology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Sickle</w:t>
      </w:r>
      <w:r>
        <w:rPr>
          <w:spacing w:val="-3"/>
          <w:sz w:val="24"/>
        </w:rPr>
        <w:t> </w:t>
      </w:r>
      <w:r>
        <w:rPr>
          <w:sz w:val="24"/>
        </w:rPr>
        <w:t>Cell</w:t>
      </w:r>
      <w:r>
        <w:rPr>
          <w:spacing w:val="-5"/>
          <w:sz w:val="24"/>
        </w:rPr>
        <w:t> </w:t>
      </w:r>
      <w:r>
        <w:rPr>
          <w:sz w:val="24"/>
        </w:rPr>
        <w:t>Disease</w:t>
        <w:tab/>
        <w:t>14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9"/>
        </w:numPr>
        <w:tabs>
          <w:tab w:pos="1424" w:val="left" w:leader="none"/>
          <w:tab w:pos="1425" w:val="left" w:leader="none"/>
          <w:tab w:pos="9459" w:val="left" w:leader="none"/>
        </w:tabs>
        <w:spacing w:line="240" w:lineRule="auto" w:before="0" w:after="0"/>
        <w:ind w:left="1424" w:right="0" w:hanging="605"/>
        <w:jc w:val="left"/>
        <w:rPr>
          <w:sz w:val="24"/>
        </w:rPr>
      </w:pPr>
      <w:r>
        <w:rPr>
          <w:sz w:val="24"/>
        </w:rPr>
        <w:t>Variants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Sickle Cell</w:t>
      </w:r>
      <w:r>
        <w:rPr>
          <w:spacing w:val="-8"/>
          <w:sz w:val="24"/>
        </w:rPr>
        <w:t> </w:t>
      </w:r>
      <w:r>
        <w:rPr>
          <w:sz w:val="24"/>
        </w:rPr>
        <w:t>Disease of</w:t>
      </w:r>
      <w:r>
        <w:rPr>
          <w:spacing w:val="-7"/>
          <w:sz w:val="24"/>
        </w:rPr>
        <w:t> </w:t>
      </w:r>
      <w:r>
        <w:rPr>
          <w:sz w:val="24"/>
        </w:rPr>
        <w:t>Patients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the Study</w:t>
        <w:tab/>
        <w:t>67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1"/>
          <w:numId w:val="9"/>
        </w:numPr>
        <w:tabs>
          <w:tab w:pos="1424" w:val="left" w:leader="none"/>
          <w:tab w:pos="1425" w:val="left" w:leader="none"/>
          <w:tab w:pos="9459" w:val="left" w:leader="none"/>
        </w:tabs>
        <w:spacing w:line="240" w:lineRule="auto" w:before="1" w:after="0"/>
        <w:ind w:left="1424" w:right="0" w:hanging="605"/>
        <w:jc w:val="left"/>
        <w:rPr>
          <w:sz w:val="24"/>
        </w:rPr>
      </w:pPr>
      <w:r>
        <w:rPr>
          <w:sz w:val="24"/>
        </w:rPr>
        <w:t>Mean</w:t>
      </w:r>
      <w:r>
        <w:rPr>
          <w:spacing w:val="-6"/>
          <w:sz w:val="24"/>
        </w:rPr>
        <w:t> </w:t>
      </w:r>
      <w:r>
        <w:rPr>
          <w:sz w:val="24"/>
        </w:rPr>
        <w:t>ages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4"/>
          <w:sz w:val="24"/>
        </w:rPr>
        <w:t> </w:t>
      </w:r>
      <w:r>
        <w:rPr>
          <w:sz w:val="24"/>
        </w:rPr>
        <w:t>Diagnosis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Sickle</w:t>
      </w:r>
      <w:r>
        <w:rPr>
          <w:spacing w:val="-2"/>
          <w:sz w:val="24"/>
        </w:rPr>
        <w:t> </w:t>
      </w:r>
      <w:r>
        <w:rPr>
          <w:sz w:val="24"/>
        </w:rPr>
        <w:t>Cell</w:t>
      </w:r>
      <w:r>
        <w:rPr>
          <w:spacing w:val="-9"/>
          <w:sz w:val="24"/>
        </w:rPr>
        <w:t> </w:t>
      </w:r>
      <w:r>
        <w:rPr>
          <w:sz w:val="24"/>
        </w:rPr>
        <w:t>Disease</w:t>
        <w:tab/>
        <w:t>73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1"/>
          <w:numId w:val="9"/>
        </w:numPr>
        <w:tabs>
          <w:tab w:pos="1424" w:val="left" w:leader="none"/>
          <w:tab w:pos="1425" w:val="left" w:leader="none"/>
          <w:tab w:pos="9459" w:val="left" w:leader="none"/>
        </w:tabs>
        <w:spacing w:line="240" w:lineRule="auto" w:before="1" w:after="0"/>
        <w:ind w:left="1424" w:right="0" w:hanging="605"/>
        <w:jc w:val="left"/>
        <w:rPr>
          <w:sz w:val="24"/>
        </w:rPr>
      </w:pPr>
      <w:r>
        <w:rPr>
          <w:sz w:val="24"/>
        </w:rPr>
        <w:t>Clinical</w:t>
      </w:r>
      <w:r>
        <w:rPr>
          <w:spacing w:val="1"/>
          <w:sz w:val="24"/>
        </w:rPr>
        <w:t> </w:t>
      </w:r>
      <w:r>
        <w:rPr>
          <w:sz w:val="24"/>
        </w:rPr>
        <w:t>Features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Sickle</w:t>
      </w:r>
      <w:r>
        <w:rPr>
          <w:spacing w:val="-1"/>
          <w:sz w:val="24"/>
        </w:rPr>
        <w:t> </w:t>
      </w:r>
      <w:r>
        <w:rPr>
          <w:sz w:val="24"/>
        </w:rPr>
        <w:t>Cell</w:t>
      </w:r>
      <w:r>
        <w:rPr>
          <w:spacing w:val="-9"/>
          <w:sz w:val="24"/>
        </w:rPr>
        <w:t> </w:t>
      </w:r>
      <w:r>
        <w:rPr>
          <w:sz w:val="24"/>
        </w:rPr>
        <w:t>Disease</w:t>
      </w:r>
      <w:r>
        <w:rPr>
          <w:spacing w:val="-1"/>
          <w:sz w:val="24"/>
        </w:rPr>
        <w:t> </w:t>
      </w:r>
      <w:r>
        <w:rPr>
          <w:sz w:val="24"/>
        </w:rPr>
        <w:t>Patients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Study</w:t>
        <w:tab/>
        <w:t>74</w:t>
      </w:r>
    </w:p>
    <w:p>
      <w:pPr>
        <w:pStyle w:val="BodyText"/>
        <w:rPr>
          <w:sz w:val="29"/>
        </w:rPr>
      </w:pPr>
    </w:p>
    <w:p>
      <w:pPr>
        <w:pStyle w:val="ListParagraph"/>
        <w:numPr>
          <w:ilvl w:val="1"/>
          <w:numId w:val="9"/>
        </w:numPr>
        <w:tabs>
          <w:tab w:pos="1424" w:val="left" w:leader="none"/>
          <w:tab w:pos="1425" w:val="left" w:leader="none"/>
          <w:tab w:pos="9459" w:val="left" w:leader="none"/>
        </w:tabs>
        <w:spacing w:line="240" w:lineRule="auto" w:before="0" w:after="0"/>
        <w:ind w:left="1424" w:right="0" w:hanging="605"/>
        <w:jc w:val="left"/>
        <w:rPr>
          <w:sz w:val="24"/>
        </w:rPr>
      </w:pPr>
      <w:r>
        <w:rPr>
          <w:sz w:val="24"/>
        </w:rPr>
        <w:t>Most</w:t>
      </w:r>
      <w:r>
        <w:rPr>
          <w:spacing w:val="-3"/>
          <w:sz w:val="24"/>
        </w:rPr>
        <w:t> </w:t>
      </w:r>
      <w:r>
        <w:rPr>
          <w:sz w:val="24"/>
        </w:rPr>
        <w:t>Common</w:t>
      </w:r>
      <w:r>
        <w:rPr>
          <w:spacing w:val="-7"/>
          <w:sz w:val="24"/>
        </w:rPr>
        <w:t> </w:t>
      </w:r>
      <w:r>
        <w:rPr>
          <w:sz w:val="24"/>
        </w:rPr>
        <w:t>Presentations</w:t>
      </w:r>
      <w:r>
        <w:rPr>
          <w:spacing w:val="-5"/>
          <w:sz w:val="24"/>
        </w:rPr>
        <w:t> </w:t>
      </w:r>
      <w:r>
        <w:rPr>
          <w:sz w:val="24"/>
        </w:rPr>
        <w:t>during</w:t>
      </w:r>
      <w:r>
        <w:rPr>
          <w:spacing w:val="-2"/>
          <w:sz w:val="24"/>
        </w:rPr>
        <w:t> </w:t>
      </w:r>
      <w:r>
        <w:rPr>
          <w:sz w:val="24"/>
        </w:rPr>
        <w:t>Hospital</w:t>
      </w:r>
      <w:r>
        <w:rPr>
          <w:spacing w:val="-6"/>
          <w:sz w:val="24"/>
        </w:rPr>
        <w:t> </w:t>
      </w:r>
      <w:r>
        <w:rPr>
          <w:sz w:val="24"/>
        </w:rPr>
        <w:t>Admissions</w:t>
        <w:tab/>
        <w:t>77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9"/>
        </w:numPr>
        <w:tabs>
          <w:tab w:pos="1424" w:val="left" w:leader="none"/>
          <w:tab w:pos="1425" w:val="left" w:leader="none"/>
          <w:tab w:pos="9459" w:val="left" w:leader="none"/>
        </w:tabs>
        <w:spacing w:line="240" w:lineRule="auto" w:before="0" w:after="0"/>
        <w:ind w:left="1424" w:right="0" w:hanging="605"/>
        <w:jc w:val="left"/>
        <w:rPr>
          <w:sz w:val="24"/>
        </w:rPr>
      </w:pP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Blood</w:t>
      </w:r>
      <w:r>
        <w:rPr>
          <w:spacing w:val="-2"/>
          <w:sz w:val="24"/>
        </w:rPr>
        <w:t> </w:t>
      </w:r>
      <w:r>
        <w:rPr>
          <w:sz w:val="24"/>
        </w:rPr>
        <w:t>Transfusions</w:t>
      </w:r>
      <w:r>
        <w:rPr>
          <w:spacing w:val="1"/>
          <w:sz w:val="24"/>
        </w:rPr>
        <w:t> </w:t>
      </w:r>
      <w:r>
        <w:rPr>
          <w:sz w:val="24"/>
        </w:rPr>
        <w:t>had</w:t>
      </w:r>
      <w:r>
        <w:rPr>
          <w:spacing w:val="3"/>
          <w:sz w:val="24"/>
        </w:rPr>
        <w:t> </w:t>
      </w:r>
      <w:r>
        <w:rPr>
          <w:sz w:val="24"/>
        </w:rPr>
        <w:t>by</w:t>
      </w:r>
      <w:r>
        <w:rPr>
          <w:spacing w:val="-11"/>
          <w:sz w:val="24"/>
        </w:rPr>
        <w:t> </w:t>
      </w:r>
      <w:r>
        <w:rPr>
          <w:sz w:val="24"/>
        </w:rPr>
        <w:t>Sickle</w:t>
      </w:r>
      <w:r>
        <w:rPr>
          <w:spacing w:val="-3"/>
          <w:sz w:val="24"/>
        </w:rPr>
        <w:t> </w:t>
      </w:r>
      <w:r>
        <w:rPr>
          <w:sz w:val="24"/>
        </w:rPr>
        <w:t>Cell</w:t>
      </w:r>
      <w:r>
        <w:rPr>
          <w:spacing w:val="-5"/>
          <w:sz w:val="24"/>
        </w:rPr>
        <w:t> </w:t>
      </w:r>
      <w:r>
        <w:rPr>
          <w:sz w:val="24"/>
        </w:rPr>
        <w:t>Disease</w:t>
      </w:r>
      <w:r>
        <w:rPr>
          <w:spacing w:val="-3"/>
          <w:sz w:val="24"/>
        </w:rPr>
        <w:t> </w:t>
      </w:r>
      <w:r>
        <w:rPr>
          <w:sz w:val="24"/>
        </w:rPr>
        <w:t>Patients</w:t>
        <w:tab/>
        <w:t>78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1"/>
          <w:numId w:val="9"/>
        </w:numPr>
        <w:tabs>
          <w:tab w:pos="1424" w:val="left" w:leader="none"/>
          <w:tab w:pos="1425" w:val="left" w:leader="none"/>
          <w:tab w:pos="9459" w:val="left" w:leader="none"/>
        </w:tabs>
        <w:spacing w:line="240" w:lineRule="auto" w:before="1" w:after="0"/>
        <w:ind w:left="1424" w:right="0" w:hanging="605"/>
        <w:jc w:val="left"/>
        <w:rPr>
          <w:sz w:val="24"/>
        </w:rPr>
      </w:pPr>
      <w:r>
        <w:rPr>
          <w:sz w:val="24"/>
        </w:rPr>
        <w:t>Co-Morbid</w:t>
      </w:r>
      <w:r>
        <w:rPr>
          <w:spacing w:val="-2"/>
          <w:sz w:val="24"/>
        </w:rPr>
        <w:t> </w:t>
      </w:r>
      <w:r>
        <w:rPr>
          <w:sz w:val="24"/>
        </w:rPr>
        <w:t>Illnesses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Sickle</w:t>
      </w:r>
      <w:r>
        <w:rPr>
          <w:spacing w:val="-2"/>
          <w:sz w:val="24"/>
        </w:rPr>
        <w:t> </w:t>
      </w:r>
      <w:r>
        <w:rPr>
          <w:sz w:val="24"/>
        </w:rPr>
        <w:t>Cell</w:t>
      </w:r>
      <w:r>
        <w:rPr>
          <w:spacing w:val="-5"/>
          <w:sz w:val="24"/>
        </w:rPr>
        <w:t> </w:t>
      </w:r>
      <w:r>
        <w:rPr>
          <w:sz w:val="24"/>
        </w:rPr>
        <w:t>Disease</w:t>
      </w:r>
      <w:r>
        <w:rPr>
          <w:spacing w:val="-3"/>
          <w:sz w:val="24"/>
        </w:rPr>
        <w:t> </w:t>
      </w:r>
      <w:r>
        <w:rPr>
          <w:sz w:val="24"/>
        </w:rPr>
        <w:t>Patients</w:t>
        <w:tab/>
        <w:t>79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1"/>
          <w:numId w:val="9"/>
        </w:numPr>
        <w:tabs>
          <w:tab w:pos="1361" w:val="left" w:leader="none"/>
          <w:tab w:pos="1362" w:val="left" w:leader="none"/>
        </w:tabs>
        <w:spacing w:line="240" w:lineRule="auto" w:before="1" w:after="0"/>
        <w:ind w:left="1361" w:right="0" w:hanging="542"/>
        <w:jc w:val="left"/>
        <w:rPr>
          <w:sz w:val="24"/>
        </w:rPr>
      </w:pPr>
      <w:r>
        <w:rPr>
          <w:sz w:val="24"/>
        </w:rPr>
        <w:t>Routine</w:t>
      </w:r>
      <w:r>
        <w:rPr>
          <w:spacing w:val="-5"/>
          <w:sz w:val="24"/>
        </w:rPr>
        <w:t> </w:t>
      </w:r>
      <w:r>
        <w:rPr>
          <w:sz w:val="24"/>
        </w:rPr>
        <w:t>Drugs/Interventions</w:t>
      </w:r>
      <w:r>
        <w:rPr>
          <w:spacing w:val="-5"/>
          <w:sz w:val="24"/>
        </w:rPr>
        <w:t> </w:t>
      </w:r>
      <w:r>
        <w:rPr>
          <w:sz w:val="24"/>
        </w:rPr>
        <w:t>used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Management</w:t>
      </w:r>
      <w:r>
        <w:rPr>
          <w:spacing w:val="2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9459" w:val="left" w:leader="none"/>
        </w:tabs>
        <w:spacing w:before="1"/>
        <w:ind w:left="1362"/>
      </w:pPr>
      <w:r>
        <w:rPr/>
        <w:t>Sickle</w:t>
      </w:r>
      <w:r>
        <w:rPr>
          <w:spacing w:val="-1"/>
        </w:rPr>
        <w:t> </w:t>
      </w:r>
      <w:r>
        <w:rPr/>
        <w:t>Cell</w:t>
      </w:r>
      <w:r>
        <w:rPr>
          <w:spacing w:val="-4"/>
        </w:rPr>
        <w:t> </w:t>
      </w:r>
      <w:r>
        <w:rPr/>
        <w:t>Disease</w:t>
      </w:r>
      <w:r>
        <w:rPr>
          <w:spacing w:val="-1"/>
        </w:rPr>
        <w:t> </w:t>
      </w:r>
      <w:r>
        <w:rPr/>
        <w:t>Patients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  <w:tab/>
        <w:t>81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1"/>
          <w:numId w:val="9"/>
        </w:numPr>
        <w:tabs>
          <w:tab w:pos="1305" w:val="left" w:leader="none"/>
          <w:tab w:pos="9459" w:val="left" w:leader="none"/>
        </w:tabs>
        <w:spacing w:line="240" w:lineRule="auto" w:before="1" w:after="0"/>
        <w:ind w:left="1304" w:right="0" w:hanging="485"/>
        <w:jc w:val="left"/>
        <w:rPr>
          <w:sz w:val="24"/>
        </w:rPr>
      </w:pPr>
      <w:r>
        <w:rPr>
          <w:sz w:val="24"/>
        </w:rPr>
        <w:t>Vitamin/Antioxidant</w:t>
      </w:r>
      <w:r>
        <w:rPr>
          <w:spacing w:val="3"/>
          <w:sz w:val="24"/>
        </w:rPr>
        <w:t> </w:t>
      </w:r>
      <w:r>
        <w:rPr>
          <w:sz w:val="24"/>
        </w:rPr>
        <w:t>use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Sickle</w:t>
      </w:r>
      <w:r>
        <w:rPr>
          <w:spacing w:val="-2"/>
          <w:sz w:val="24"/>
        </w:rPr>
        <w:t> </w:t>
      </w:r>
      <w:r>
        <w:rPr>
          <w:sz w:val="24"/>
        </w:rPr>
        <w:t>Cell</w:t>
      </w:r>
      <w:r>
        <w:rPr>
          <w:spacing w:val="-4"/>
          <w:sz w:val="24"/>
        </w:rPr>
        <w:t> </w:t>
      </w:r>
      <w:r>
        <w:rPr>
          <w:sz w:val="24"/>
        </w:rPr>
        <w:t>Disease</w:t>
      </w:r>
      <w:r>
        <w:rPr>
          <w:spacing w:val="-2"/>
          <w:sz w:val="24"/>
        </w:rPr>
        <w:t> </w:t>
      </w:r>
      <w:r>
        <w:rPr>
          <w:sz w:val="24"/>
        </w:rPr>
        <w:t>Patients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Study</w:t>
        <w:tab/>
        <w:t>82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1"/>
          <w:numId w:val="9"/>
        </w:numPr>
        <w:tabs>
          <w:tab w:pos="1361" w:val="left" w:leader="none"/>
          <w:tab w:pos="1362" w:val="left" w:leader="none"/>
          <w:tab w:pos="9459" w:val="left" w:leader="none"/>
        </w:tabs>
        <w:spacing w:line="240" w:lineRule="auto" w:before="0" w:after="0"/>
        <w:ind w:left="1361" w:right="0" w:hanging="542"/>
        <w:jc w:val="left"/>
        <w:rPr>
          <w:sz w:val="24"/>
        </w:rPr>
      </w:pPr>
      <w:r>
        <w:rPr>
          <w:sz w:val="24"/>
        </w:rPr>
        <w:t>Analgesic</w:t>
      </w:r>
      <w:r>
        <w:rPr>
          <w:spacing w:val="-2"/>
          <w:sz w:val="24"/>
        </w:rPr>
        <w:t> </w:t>
      </w:r>
      <w:r>
        <w:rPr>
          <w:sz w:val="24"/>
        </w:rPr>
        <w:t>used of</w:t>
      </w:r>
      <w:r>
        <w:rPr>
          <w:spacing w:val="-8"/>
          <w:sz w:val="24"/>
        </w:rPr>
        <w:t> </w:t>
      </w:r>
      <w:r>
        <w:rPr>
          <w:sz w:val="24"/>
        </w:rPr>
        <w:t>Sickle</w:t>
      </w:r>
      <w:r>
        <w:rPr>
          <w:spacing w:val="-1"/>
          <w:sz w:val="24"/>
        </w:rPr>
        <w:t> </w:t>
      </w:r>
      <w:r>
        <w:rPr>
          <w:sz w:val="24"/>
        </w:rPr>
        <w:t>Cell</w:t>
      </w:r>
      <w:r>
        <w:rPr>
          <w:spacing w:val="-4"/>
          <w:sz w:val="24"/>
        </w:rPr>
        <w:t> </w:t>
      </w:r>
      <w:r>
        <w:rPr>
          <w:sz w:val="24"/>
        </w:rPr>
        <w:t>Disease</w:t>
      </w:r>
      <w:r>
        <w:rPr>
          <w:spacing w:val="-2"/>
          <w:sz w:val="24"/>
        </w:rPr>
        <w:t> </w:t>
      </w:r>
      <w:r>
        <w:rPr>
          <w:sz w:val="24"/>
        </w:rPr>
        <w:t>Patients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Study</w:t>
        <w:tab/>
        <w:t>83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9"/>
        </w:numPr>
        <w:tabs>
          <w:tab w:pos="1424" w:val="left" w:leader="none"/>
        </w:tabs>
        <w:spacing w:line="240" w:lineRule="auto" w:before="0" w:after="0"/>
        <w:ind w:left="1423" w:right="0" w:hanging="604"/>
        <w:jc w:val="left"/>
        <w:rPr>
          <w:sz w:val="24"/>
        </w:rPr>
      </w:pPr>
      <w:r>
        <w:rPr>
          <w:sz w:val="24"/>
        </w:rPr>
        <w:t>Routine</w:t>
      </w:r>
      <w:r>
        <w:rPr>
          <w:spacing w:val="-3"/>
          <w:sz w:val="24"/>
        </w:rPr>
        <w:t> </w:t>
      </w:r>
      <w:r>
        <w:rPr>
          <w:sz w:val="24"/>
        </w:rPr>
        <w:t>Drug/Intervention</w:t>
      </w:r>
      <w:r>
        <w:rPr>
          <w:spacing w:val="-6"/>
          <w:sz w:val="24"/>
        </w:rPr>
        <w:t> </w:t>
      </w:r>
      <w:r>
        <w:rPr>
          <w:sz w:val="24"/>
        </w:rPr>
        <w:t>Utilisation</w:t>
      </w:r>
      <w:r>
        <w:rPr>
          <w:spacing w:val="-7"/>
          <w:sz w:val="24"/>
        </w:rPr>
        <w:t> </w:t>
      </w:r>
      <w:r>
        <w:rPr>
          <w:sz w:val="24"/>
        </w:rPr>
        <w:t>Pattern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Sickle</w:t>
      </w:r>
      <w:r>
        <w:rPr>
          <w:spacing w:val="-3"/>
          <w:sz w:val="24"/>
        </w:rPr>
        <w:t> </w:t>
      </w:r>
      <w:r>
        <w:rPr>
          <w:sz w:val="24"/>
        </w:rPr>
        <w:t>Cell</w:t>
      </w:r>
      <w:r>
        <w:rPr>
          <w:spacing w:val="-5"/>
          <w:sz w:val="24"/>
        </w:rPr>
        <w:t> </w:t>
      </w:r>
      <w:r>
        <w:rPr>
          <w:sz w:val="24"/>
        </w:rPr>
        <w:t>Disease</w:t>
      </w:r>
      <w:r>
        <w:rPr>
          <w:spacing w:val="-3"/>
          <w:sz w:val="24"/>
        </w:rPr>
        <w:t> </w:t>
      </w:r>
      <w:r>
        <w:rPr>
          <w:sz w:val="24"/>
        </w:rPr>
        <w:t>patients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9459" w:val="left" w:leader="none"/>
        </w:tabs>
        <w:ind w:left="1362"/>
      </w:pPr>
      <w:r>
        <w:rPr/>
        <w:t>Grouped</w:t>
      </w:r>
      <w:r>
        <w:rPr>
          <w:spacing w:val="-1"/>
        </w:rPr>
        <w:t> </w:t>
      </w:r>
      <w:r>
        <w:rPr/>
        <w:t>by</w:t>
      </w:r>
      <w:r>
        <w:rPr>
          <w:spacing w:val="-11"/>
        </w:rPr>
        <w:t> </w:t>
      </w:r>
      <w:r>
        <w:rPr/>
        <w:t>Haemoglobin</w:t>
      </w:r>
      <w:r>
        <w:rPr>
          <w:spacing w:val="-6"/>
        </w:rPr>
        <w:t> </w:t>
      </w:r>
      <w:r>
        <w:rPr/>
        <w:t>Variant</w:t>
        <w:tab/>
        <w:t>84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9"/>
        </w:numPr>
        <w:tabs>
          <w:tab w:pos="1424" w:val="left" w:leader="none"/>
        </w:tabs>
        <w:spacing w:line="240" w:lineRule="auto" w:before="0" w:after="0"/>
        <w:ind w:left="1423" w:right="0" w:hanging="604"/>
        <w:jc w:val="left"/>
        <w:rPr>
          <w:sz w:val="24"/>
        </w:rPr>
      </w:pPr>
      <w:r>
        <w:rPr>
          <w:sz w:val="24"/>
        </w:rPr>
        <w:t>Vitamin/Antioxidant</w:t>
      </w:r>
      <w:r>
        <w:rPr>
          <w:spacing w:val="2"/>
          <w:sz w:val="24"/>
        </w:rPr>
        <w:t> </w:t>
      </w:r>
      <w:r>
        <w:rPr>
          <w:sz w:val="24"/>
        </w:rPr>
        <w:t>Utilisation</w:t>
      </w:r>
      <w:r>
        <w:rPr>
          <w:spacing w:val="-7"/>
          <w:sz w:val="24"/>
        </w:rPr>
        <w:t> </w:t>
      </w:r>
      <w:r>
        <w:rPr>
          <w:sz w:val="24"/>
        </w:rPr>
        <w:t>Pattern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Sickle</w:t>
      </w:r>
      <w:r>
        <w:rPr>
          <w:spacing w:val="-3"/>
          <w:sz w:val="24"/>
        </w:rPr>
        <w:t> </w:t>
      </w:r>
      <w:r>
        <w:rPr>
          <w:sz w:val="24"/>
        </w:rPr>
        <w:t>Cell</w:t>
      </w:r>
      <w:r>
        <w:rPr>
          <w:spacing w:val="-6"/>
          <w:sz w:val="24"/>
        </w:rPr>
        <w:t> </w:t>
      </w:r>
      <w:r>
        <w:rPr>
          <w:sz w:val="24"/>
        </w:rPr>
        <w:t>Disease</w:t>
      </w:r>
      <w:r>
        <w:rPr>
          <w:spacing w:val="-3"/>
          <w:sz w:val="24"/>
        </w:rPr>
        <w:t> </w:t>
      </w:r>
      <w:r>
        <w:rPr>
          <w:sz w:val="24"/>
        </w:rPr>
        <w:t>Patients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9459" w:val="left" w:leader="none"/>
        </w:tabs>
        <w:ind w:left="1482"/>
      </w:pPr>
      <w:r>
        <w:rPr/>
        <w:t>Grouped</w:t>
      </w:r>
      <w:r>
        <w:rPr>
          <w:spacing w:val="-1"/>
        </w:rPr>
        <w:t> </w:t>
      </w:r>
      <w:r>
        <w:rPr/>
        <w:t>by</w:t>
      </w:r>
      <w:r>
        <w:rPr>
          <w:spacing w:val="-11"/>
        </w:rPr>
        <w:t> </w:t>
      </w:r>
      <w:r>
        <w:rPr/>
        <w:t>Haemoglobin</w:t>
      </w:r>
      <w:r>
        <w:rPr>
          <w:spacing w:val="-6"/>
        </w:rPr>
        <w:t> </w:t>
      </w:r>
      <w:r>
        <w:rPr/>
        <w:t>Variant</w:t>
        <w:tab/>
        <w:t>85</w:t>
      </w:r>
    </w:p>
    <w:p>
      <w:pPr>
        <w:pStyle w:val="BodyText"/>
        <w:rPr>
          <w:sz w:val="29"/>
        </w:rPr>
      </w:pPr>
    </w:p>
    <w:p>
      <w:pPr>
        <w:pStyle w:val="ListParagraph"/>
        <w:numPr>
          <w:ilvl w:val="1"/>
          <w:numId w:val="9"/>
        </w:numPr>
        <w:tabs>
          <w:tab w:pos="1424" w:val="left" w:leader="none"/>
          <w:tab w:pos="9459" w:val="left" w:leader="none"/>
        </w:tabs>
        <w:spacing w:line="535" w:lineRule="auto" w:before="0" w:after="0"/>
        <w:ind w:left="1482" w:right="1918" w:hanging="663"/>
        <w:jc w:val="left"/>
        <w:rPr>
          <w:sz w:val="24"/>
        </w:rPr>
      </w:pPr>
      <w:r>
        <w:rPr>
          <w:sz w:val="24"/>
        </w:rPr>
        <w:t>Analgesic</w:t>
      </w:r>
      <w:r>
        <w:rPr>
          <w:spacing w:val="7"/>
          <w:sz w:val="24"/>
        </w:rPr>
        <w:t> </w:t>
      </w:r>
      <w:r>
        <w:rPr>
          <w:sz w:val="24"/>
        </w:rPr>
        <w:t>Utilisation</w:t>
      </w:r>
      <w:r>
        <w:rPr>
          <w:spacing w:val="4"/>
          <w:sz w:val="24"/>
        </w:rPr>
        <w:t> </w:t>
      </w:r>
      <w:r>
        <w:rPr>
          <w:sz w:val="24"/>
        </w:rPr>
        <w:t>Pattern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Sickle</w:t>
      </w:r>
      <w:r>
        <w:rPr>
          <w:spacing w:val="8"/>
          <w:sz w:val="24"/>
        </w:rPr>
        <w:t> </w:t>
      </w:r>
      <w:r>
        <w:rPr>
          <w:sz w:val="24"/>
        </w:rPr>
        <w:t>Cell</w:t>
      </w:r>
      <w:r>
        <w:rPr>
          <w:spacing w:val="4"/>
          <w:sz w:val="24"/>
        </w:rPr>
        <w:t> </w:t>
      </w:r>
      <w:r>
        <w:rPr>
          <w:sz w:val="24"/>
        </w:rPr>
        <w:t>Disease</w:t>
      </w:r>
      <w:r>
        <w:rPr>
          <w:spacing w:val="8"/>
          <w:sz w:val="24"/>
        </w:rPr>
        <w:t> </w:t>
      </w:r>
      <w:r>
        <w:rPr>
          <w:sz w:val="24"/>
        </w:rPr>
        <w:t>Patients</w:t>
      </w:r>
      <w:r>
        <w:rPr>
          <w:spacing w:val="6"/>
          <w:sz w:val="24"/>
        </w:rPr>
        <w:t> </w:t>
      </w:r>
      <w:r>
        <w:rPr>
          <w:sz w:val="24"/>
        </w:rPr>
        <w:t>grouped</w:t>
      </w:r>
      <w:r>
        <w:rPr>
          <w:spacing w:val="9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Haemoglobin</w:t>
      </w:r>
      <w:r>
        <w:rPr>
          <w:spacing w:val="-8"/>
          <w:sz w:val="24"/>
        </w:rPr>
        <w:t> </w:t>
      </w:r>
      <w:r>
        <w:rPr>
          <w:sz w:val="24"/>
        </w:rPr>
        <w:t>Variant</w:t>
        <w:tab/>
      </w:r>
      <w:r>
        <w:rPr>
          <w:spacing w:val="-3"/>
          <w:sz w:val="24"/>
        </w:rPr>
        <w:t>86</w:t>
      </w:r>
    </w:p>
    <w:p>
      <w:pPr>
        <w:pStyle w:val="ListParagraph"/>
        <w:numPr>
          <w:ilvl w:val="1"/>
          <w:numId w:val="9"/>
        </w:numPr>
        <w:tabs>
          <w:tab w:pos="1424" w:val="left" w:leader="none"/>
        </w:tabs>
        <w:spacing w:line="274" w:lineRule="exact" w:before="0" w:after="0"/>
        <w:ind w:left="1423" w:right="0" w:hanging="604"/>
        <w:jc w:val="left"/>
        <w:rPr>
          <w:sz w:val="24"/>
        </w:rPr>
      </w:pPr>
      <w:r>
        <w:rPr>
          <w:sz w:val="24"/>
        </w:rPr>
        <w:t>Amoxicillin</w:t>
      </w:r>
      <w:r>
        <w:rPr>
          <w:spacing w:val="-6"/>
          <w:sz w:val="24"/>
        </w:rPr>
        <w:t> </w:t>
      </w:r>
      <w:r>
        <w:rPr>
          <w:sz w:val="24"/>
        </w:rPr>
        <w:t>Utilisation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Sickle</w:t>
      </w:r>
      <w:r>
        <w:rPr>
          <w:spacing w:val="-2"/>
          <w:sz w:val="24"/>
        </w:rPr>
        <w:t> </w:t>
      </w:r>
      <w:r>
        <w:rPr>
          <w:sz w:val="24"/>
        </w:rPr>
        <w:t>Cell</w:t>
      </w:r>
      <w:r>
        <w:rPr>
          <w:spacing w:val="-9"/>
          <w:sz w:val="24"/>
        </w:rPr>
        <w:t> </w:t>
      </w:r>
      <w:r>
        <w:rPr>
          <w:sz w:val="24"/>
        </w:rPr>
        <w:t>Disease</w:t>
      </w:r>
      <w:r>
        <w:rPr>
          <w:spacing w:val="-2"/>
          <w:sz w:val="24"/>
        </w:rPr>
        <w:t> </w:t>
      </w:r>
      <w:r>
        <w:rPr>
          <w:sz w:val="24"/>
        </w:rPr>
        <w:t>Patients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9459" w:val="left" w:leader="none"/>
        </w:tabs>
        <w:ind w:left="1424"/>
      </w:pPr>
      <w:r>
        <w:rPr/>
        <w:t>Study</w:t>
      </w:r>
      <w:r>
        <w:rPr>
          <w:spacing w:val="-10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with</w:t>
      </w:r>
      <w:r>
        <w:rPr>
          <w:spacing w:val="-5"/>
        </w:rPr>
        <w:t> </w:t>
      </w:r>
      <w:r>
        <w:rPr/>
        <w:t>their</w:t>
      </w:r>
      <w:r>
        <w:rPr>
          <w:spacing w:val="1"/>
        </w:rPr>
        <w:t> </w:t>
      </w:r>
      <w:r>
        <w:rPr/>
        <w:t>White</w:t>
      </w:r>
      <w:r>
        <w:rPr>
          <w:spacing w:val="-1"/>
        </w:rPr>
        <w:t> </w:t>
      </w:r>
      <w:r>
        <w:rPr/>
        <w:t>Blood</w:t>
      </w:r>
      <w:r>
        <w:rPr>
          <w:spacing w:val="-1"/>
        </w:rPr>
        <w:t> </w:t>
      </w:r>
      <w:r>
        <w:rPr/>
        <w:t>Cell</w:t>
      </w:r>
      <w:r>
        <w:rPr>
          <w:spacing w:val="3"/>
        </w:rPr>
        <w:t> </w:t>
      </w:r>
      <w:r>
        <w:rPr/>
        <w:t>Counts</w:t>
        <w:tab/>
        <w:t>87</w:t>
      </w:r>
    </w:p>
    <w:p>
      <w:pPr>
        <w:spacing w:after="0"/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jc w:val="left"/>
      </w:pP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TABLES</w:t>
      </w:r>
    </w:p>
    <w:p>
      <w:pPr>
        <w:pStyle w:val="ListParagraph"/>
        <w:numPr>
          <w:ilvl w:val="1"/>
          <w:numId w:val="10"/>
        </w:numPr>
        <w:tabs>
          <w:tab w:pos="1424" w:val="left" w:leader="none"/>
          <w:tab w:pos="1425" w:val="left" w:leader="none"/>
          <w:tab w:pos="9699" w:val="right" w:leader="none"/>
        </w:tabs>
        <w:spacing w:line="240" w:lineRule="auto" w:before="333" w:after="0"/>
        <w:ind w:left="1424" w:right="0" w:hanging="605"/>
        <w:jc w:val="left"/>
        <w:rPr>
          <w:sz w:val="24"/>
        </w:rPr>
      </w:pPr>
      <w:r>
        <w:rPr>
          <w:sz w:val="24"/>
        </w:rPr>
        <w:t>Sex</w:t>
      </w:r>
      <w:r>
        <w:rPr>
          <w:spacing w:val="-4"/>
          <w:sz w:val="24"/>
        </w:rPr>
        <w:t> </w:t>
      </w:r>
      <w:r>
        <w:rPr>
          <w:sz w:val="24"/>
        </w:rPr>
        <w:t>Distribution,</w:t>
      </w:r>
      <w:r>
        <w:rPr>
          <w:spacing w:val="4"/>
          <w:sz w:val="24"/>
        </w:rPr>
        <w:t> </w:t>
      </w:r>
      <w:r>
        <w:rPr>
          <w:sz w:val="24"/>
        </w:rPr>
        <w:t>Marital</w:t>
      </w:r>
      <w:r>
        <w:rPr>
          <w:spacing w:val="-7"/>
          <w:sz w:val="24"/>
        </w:rPr>
        <w:t> </w:t>
      </w:r>
      <w:r>
        <w:rPr>
          <w:sz w:val="24"/>
        </w:rPr>
        <w:t>Status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Religion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Study</w:t>
      </w:r>
      <w:r>
        <w:rPr>
          <w:spacing w:val="-8"/>
          <w:sz w:val="24"/>
        </w:rPr>
        <w:t> </w:t>
      </w:r>
      <w:r>
        <w:rPr>
          <w:sz w:val="24"/>
        </w:rPr>
        <w:t>Group</w:t>
        <w:tab/>
        <w:t>68</w:t>
      </w:r>
    </w:p>
    <w:p>
      <w:pPr>
        <w:pStyle w:val="ListParagraph"/>
        <w:numPr>
          <w:ilvl w:val="1"/>
          <w:numId w:val="10"/>
        </w:numPr>
        <w:tabs>
          <w:tab w:pos="1424" w:val="left" w:leader="none"/>
          <w:tab w:pos="1425" w:val="left" w:leader="none"/>
          <w:tab w:pos="9699" w:val="right" w:leader="none"/>
        </w:tabs>
        <w:spacing w:line="240" w:lineRule="auto" w:before="339" w:after="0"/>
        <w:ind w:left="1424" w:right="0" w:hanging="605"/>
        <w:jc w:val="left"/>
        <w:rPr>
          <w:sz w:val="24"/>
        </w:rPr>
      </w:pPr>
      <w:r>
        <w:rPr>
          <w:sz w:val="24"/>
        </w:rPr>
        <w:t>Mean</w:t>
      </w:r>
      <w:r>
        <w:rPr>
          <w:spacing w:val="-4"/>
          <w:sz w:val="24"/>
        </w:rPr>
        <w:t> </w:t>
      </w:r>
      <w:r>
        <w:rPr>
          <w:sz w:val="24"/>
        </w:rPr>
        <w:t>Ages and</w:t>
      </w:r>
      <w:r>
        <w:rPr>
          <w:spacing w:val="2"/>
          <w:sz w:val="24"/>
        </w:rPr>
        <w:t> </w:t>
      </w:r>
      <w:r>
        <w:rPr>
          <w:sz w:val="24"/>
        </w:rPr>
        <w:t>Weights 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Groups</w:t>
        <w:tab/>
        <w:t>69</w:t>
      </w:r>
    </w:p>
    <w:p>
      <w:pPr>
        <w:pStyle w:val="ListParagraph"/>
        <w:numPr>
          <w:ilvl w:val="1"/>
          <w:numId w:val="10"/>
        </w:numPr>
        <w:tabs>
          <w:tab w:pos="1424" w:val="left" w:leader="none"/>
          <w:tab w:pos="1425" w:val="left" w:leader="none"/>
        </w:tabs>
        <w:spacing w:line="240" w:lineRule="auto" w:before="338" w:after="0"/>
        <w:ind w:left="1424" w:right="0" w:hanging="605"/>
        <w:jc w:val="left"/>
        <w:rPr>
          <w:sz w:val="24"/>
        </w:rPr>
      </w:pPr>
      <w:r>
        <w:rPr>
          <w:sz w:val="24"/>
        </w:rPr>
        <w:t>Occupation,</w:t>
      </w:r>
      <w:r>
        <w:rPr>
          <w:spacing w:val="-3"/>
          <w:sz w:val="24"/>
        </w:rPr>
        <w:t> </w:t>
      </w:r>
      <w:r>
        <w:rPr>
          <w:sz w:val="24"/>
        </w:rPr>
        <w:t>Highest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-7"/>
          <w:sz w:val="24"/>
        </w:rPr>
        <w:t> </w:t>
      </w:r>
      <w:r>
        <w:rPr>
          <w:sz w:val="24"/>
        </w:rPr>
        <w:t>Level</w:t>
      </w:r>
      <w:r>
        <w:rPr>
          <w:spacing w:val="-5"/>
          <w:sz w:val="24"/>
        </w:rPr>
        <w:t> </w:t>
      </w:r>
      <w:r>
        <w:rPr>
          <w:sz w:val="24"/>
        </w:rPr>
        <w:t>Attained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Tribe</w:t>
      </w:r>
    </w:p>
    <w:p>
      <w:pPr>
        <w:pStyle w:val="BodyText"/>
        <w:tabs>
          <w:tab w:pos="9699" w:val="right" w:leader="none"/>
        </w:tabs>
        <w:spacing w:before="339"/>
        <w:ind w:left="1420"/>
      </w:pP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-8"/>
        </w:rPr>
        <w:t> </w:t>
      </w:r>
      <w:r>
        <w:rPr/>
        <w:t>Population</w:t>
        <w:tab/>
        <w:t>70</w:t>
      </w:r>
    </w:p>
    <w:p>
      <w:pPr>
        <w:pStyle w:val="ListParagraph"/>
        <w:numPr>
          <w:ilvl w:val="1"/>
          <w:numId w:val="10"/>
        </w:numPr>
        <w:tabs>
          <w:tab w:pos="1361" w:val="left" w:leader="none"/>
          <w:tab w:pos="1362" w:val="left" w:leader="none"/>
        </w:tabs>
        <w:spacing w:line="240" w:lineRule="auto" w:before="338" w:after="0"/>
        <w:ind w:left="1361" w:right="0" w:hanging="542"/>
        <w:jc w:val="left"/>
        <w:rPr>
          <w:sz w:val="24"/>
        </w:rPr>
      </w:pPr>
      <w:r>
        <w:rPr>
          <w:sz w:val="24"/>
        </w:rPr>
        <w:t>Average</w:t>
      </w:r>
      <w:r>
        <w:rPr>
          <w:spacing w:val="-3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Crises</w:t>
      </w:r>
      <w:r>
        <w:rPr>
          <w:spacing w:val="-4"/>
          <w:sz w:val="24"/>
        </w:rPr>
        <w:t> </w:t>
      </w:r>
      <w:r>
        <w:rPr>
          <w:sz w:val="24"/>
        </w:rPr>
        <w:t>per</w:t>
      </w:r>
      <w:r>
        <w:rPr>
          <w:spacing w:val="4"/>
          <w:sz w:val="24"/>
        </w:rPr>
        <w:t> </w:t>
      </w:r>
      <w:r>
        <w:rPr>
          <w:sz w:val="24"/>
        </w:rPr>
        <w:t>year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Most</w:t>
      </w:r>
    </w:p>
    <w:p>
      <w:pPr>
        <w:pStyle w:val="BodyText"/>
        <w:tabs>
          <w:tab w:pos="9699" w:val="right" w:leader="none"/>
        </w:tabs>
        <w:spacing w:before="334"/>
        <w:ind w:left="1362"/>
      </w:pPr>
      <w:r>
        <w:rPr/>
        <w:t>Common</w:t>
      </w:r>
      <w:r>
        <w:rPr>
          <w:spacing w:val="-4"/>
        </w:rPr>
        <w:t> </w:t>
      </w:r>
      <w:r>
        <w:rPr/>
        <w:t>Presentations of</w:t>
      </w:r>
      <w:r>
        <w:rPr>
          <w:spacing w:val="-6"/>
        </w:rPr>
        <w:t> </w:t>
      </w:r>
      <w:r>
        <w:rPr/>
        <w:t>Sickle Cell</w:t>
      </w:r>
      <w:r>
        <w:rPr>
          <w:spacing w:val="-2"/>
        </w:rPr>
        <w:t> </w:t>
      </w:r>
      <w:r>
        <w:rPr/>
        <w:t>Disease</w:t>
      </w:r>
      <w:r>
        <w:rPr>
          <w:spacing w:val="1"/>
        </w:rPr>
        <w:t> </w:t>
      </w:r>
      <w:r>
        <w:rPr/>
        <w:t>Patients</w:t>
        <w:tab/>
        <w:t>75</w:t>
      </w:r>
    </w:p>
    <w:p>
      <w:pPr>
        <w:pStyle w:val="ListParagraph"/>
        <w:numPr>
          <w:ilvl w:val="1"/>
          <w:numId w:val="10"/>
        </w:numPr>
        <w:tabs>
          <w:tab w:pos="1424" w:val="left" w:leader="none"/>
          <w:tab w:pos="1425" w:val="left" w:leader="none"/>
          <w:tab w:pos="9699" w:val="right" w:leader="none"/>
        </w:tabs>
        <w:spacing w:line="240" w:lineRule="auto" w:before="338" w:after="0"/>
        <w:ind w:left="1424" w:right="0" w:hanging="605"/>
        <w:jc w:val="left"/>
        <w:rPr>
          <w:sz w:val="24"/>
        </w:rPr>
      </w:pPr>
      <w:r>
        <w:rPr>
          <w:sz w:val="24"/>
        </w:rPr>
        <w:t>Average Number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Hospital</w:t>
      </w:r>
      <w:r>
        <w:rPr>
          <w:spacing w:val="-7"/>
          <w:sz w:val="24"/>
        </w:rPr>
        <w:t> </w:t>
      </w:r>
      <w:r>
        <w:rPr>
          <w:sz w:val="24"/>
        </w:rPr>
        <w:t>Admissions</w:t>
      </w:r>
      <w:r>
        <w:rPr>
          <w:spacing w:val="-1"/>
          <w:sz w:val="24"/>
        </w:rPr>
        <w:t> </w:t>
      </w:r>
      <w:r>
        <w:rPr>
          <w:sz w:val="24"/>
        </w:rPr>
        <w:t>per</w:t>
      </w:r>
      <w:r>
        <w:rPr>
          <w:spacing w:val="3"/>
          <w:sz w:val="24"/>
        </w:rPr>
        <w:t> </w:t>
      </w:r>
      <w:r>
        <w:rPr>
          <w:sz w:val="24"/>
        </w:rPr>
        <w:t>year</w:t>
        <w:tab/>
        <w:t>76</w:t>
      </w:r>
    </w:p>
    <w:p>
      <w:pPr>
        <w:pStyle w:val="ListParagraph"/>
        <w:numPr>
          <w:ilvl w:val="1"/>
          <w:numId w:val="10"/>
        </w:numPr>
        <w:tabs>
          <w:tab w:pos="1424" w:val="left" w:leader="none"/>
          <w:tab w:pos="1425" w:val="left" w:leader="none"/>
          <w:tab w:pos="9699" w:val="right" w:leader="none"/>
        </w:tabs>
        <w:spacing w:line="240" w:lineRule="auto" w:before="338" w:after="0"/>
        <w:ind w:left="1424" w:right="0" w:hanging="605"/>
        <w:jc w:val="left"/>
        <w:rPr>
          <w:sz w:val="24"/>
        </w:rPr>
      </w:pPr>
      <w:r>
        <w:rPr>
          <w:sz w:val="24"/>
        </w:rPr>
        <w:t>Mean</w:t>
      </w:r>
      <w:r>
        <w:rPr>
          <w:spacing w:val="-4"/>
          <w:sz w:val="24"/>
        </w:rPr>
        <w:t> </w:t>
      </w:r>
      <w:r>
        <w:rPr>
          <w:sz w:val="24"/>
        </w:rPr>
        <w:t>Haematological</w:t>
      </w:r>
      <w:r>
        <w:rPr>
          <w:spacing w:val="-7"/>
          <w:sz w:val="24"/>
        </w:rPr>
        <w:t> </w:t>
      </w:r>
      <w:r>
        <w:rPr>
          <w:sz w:val="24"/>
        </w:rPr>
        <w:t>Parameters of</w:t>
      </w:r>
      <w:r>
        <w:rPr>
          <w:spacing w:val="-6"/>
          <w:sz w:val="24"/>
        </w:rPr>
        <w:t> </w:t>
      </w:r>
      <w:r>
        <w:rPr>
          <w:sz w:val="24"/>
        </w:rPr>
        <w:t>all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Groups</w:t>
        <w:tab/>
        <w:t>89</w:t>
      </w:r>
    </w:p>
    <w:p>
      <w:pPr>
        <w:pStyle w:val="ListParagraph"/>
        <w:numPr>
          <w:ilvl w:val="1"/>
          <w:numId w:val="10"/>
        </w:numPr>
        <w:tabs>
          <w:tab w:pos="1424" w:val="left" w:leader="none"/>
          <w:tab w:pos="1425" w:val="left" w:leader="none"/>
          <w:tab w:pos="9699" w:val="right" w:leader="none"/>
        </w:tabs>
        <w:spacing w:line="240" w:lineRule="auto" w:before="339" w:after="0"/>
        <w:ind w:left="1424" w:right="0" w:hanging="605"/>
        <w:jc w:val="left"/>
        <w:rPr>
          <w:sz w:val="24"/>
        </w:rPr>
      </w:pPr>
      <w:r>
        <w:rPr>
          <w:sz w:val="24"/>
        </w:rPr>
        <w:t>Mean</w:t>
      </w:r>
      <w:r>
        <w:rPr>
          <w:spacing w:val="-4"/>
          <w:sz w:val="24"/>
        </w:rPr>
        <w:t> </w:t>
      </w:r>
      <w:r>
        <w:rPr>
          <w:sz w:val="24"/>
        </w:rPr>
        <w:t>Plasma Micronutrient</w:t>
      </w:r>
      <w:r>
        <w:rPr>
          <w:spacing w:val="7"/>
          <w:sz w:val="24"/>
        </w:rPr>
        <w:t> </w:t>
      </w:r>
      <w:r>
        <w:rPr>
          <w:sz w:val="24"/>
        </w:rPr>
        <w:t>Levels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all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Groups</w:t>
        <w:tab/>
        <w:t>91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spacing w:before="76"/>
        <w:jc w:val="left"/>
      </w:pPr>
      <w:r>
        <w:rPr/>
        <w:t>LIST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APPENDICES</w:t>
      </w:r>
    </w:p>
    <w:p>
      <w:pPr>
        <w:pStyle w:val="ListParagraph"/>
        <w:numPr>
          <w:ilvl w:val="0"/>
          <w:numId w:val="11"/>
        </w:numPr>
        <w:tabs>
          <w:tab w:pos="1563" w:val="left" w:leader="none"/>
          <w:tab w:pos="1564" w:val="left" w:leader="none"/>
          <w:tab w:pos="9459" w:val="left" w:leader="none"/>
        </w:tabs>
        <w:spacing w:line="240" w:lineRule="auto" w:before="195" w:after="0"/>
        <w:ind w:left="1563" w:right="0" w:hanging="744"/>
        <w:jc w:val="left"/>
        <w:rPr>
          <w:sz w:val="24"/>
        </w:rPr>
      </w:pPr>
      <w:r>
        <w:rPr>
          <w:sz w:val="24"/>
        </w:rPr>
        <w:t>Ethical</w:t>
      </w:r>
      <w:r>
        <w:rPr>
          <w:spacing w:val="-6"/>
          <w:sz w:val="24"/>
        </w:rPr>
        <w:t> </w:t>
      </w:r>
      <w:r>
        <w:rPr>
          <w:sz w:val="24"/>
        </w:rPr>
        <w:t>Certificate</w:t>
        <w:tab/>
        <w:t>134</w:t>
      </w:r>
    </w:p>
    <w:p>
      <w:pPr>
        <w:pStyle w:val="ListParagraph"/>
        <w:numPr>
          <w:ilvl w:val="0"/>
          <w:numId w:val="11"/>
        </w:numPr>
        <w:tabs>
          <w:tab w:pos="1582" w:val="left" w:leader="none"/>
          <w:tab w:pos="1583" w:val="left" w:leader="none"/>
          <w:tab w:pos="9459" w:val="left" w:leader="none"/>
        </w:tabs>
        <w:spacing w:line="240" w:lineRule="auto" w:before="199" w:after="0"/>
        <w:ind w:left="1582" w:right="0" w:hanging="763"/>
        <w:jc w:val="left"/>
        <w:rPr>
          <w:sz w:val="24"/>
        </w:rPr>
      </w:pPr>
      <w:r>
        <w:rPr>
          <w:sz w:val="24"/>
        </w:rPr>
        <w:t>Patients’</w:t>
      </w:r>
      <w:r>
        <w:rPr>
          <w:spacing w:val="-5"/>
          <w:sz w:val="24"/>
        </w:rPr>
        <w:t> </w:t>
      </w:r>
      <w:r>
        <w:rPr>
          <w:sz w:val="24"/>
        </w:rPr>
        <w:t>Consent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3"/>
          <w:sz w:val="24"/>
        </w:rPr>
        <w:t> </w:t>
      </w:r>
      <w:r>
        <w:rPr>
          <w:sz w:val="24"/>
        </w:rPr>
        <w:t>Form</w:t>
        <w:tab/>
        <w:t>135</w:t>
      </w:r>
    </w:p>
    <w:p>
      <w:pPr>
        <w:pStyle w:val="ListParagraph"/>
        <w:numPr>
          <w:ilvl w:val="0"/>
          <w:numId w:val="11"/>
        </w:numPr>
        <w:tabs>
          <w:tab w:pos="1544" w:val="left" w:leader="none"/>
          <w:tab w:pos="1545" w:val="left" w:leader="none"/>
          <w:tab w:pos="9459" w:val="left" w:leader="none"/>
        </w:tabs>
        <w:spacing w:line="240" w:lineRule="auto" w:before="199" w:after="0"/>
        <w:ind w:left="1544" w:right="0" w:hanging="725"/>
        <w:jc w:val="left"/>
        <w:rPr>
          <w:sz w:val="24"/>
        </w:rPr>
      </w:pPr>
      <w:r>
        <w:rPr>
          <w:sz w:val="24"/>
        </w:rPr>
        <w:t>ANOVA:</w:t>
      </w:r>
      <w:r>
        <w:rPr>
          <w:spacing w:val="-1"/>
          <w:sz w:val="24"/>
        </w:rPr>
        <w:t> </w:t>
      </w:r>
      <w:r>
        <w:rPr>
          <w:sz w:val="24"/>
        </w:rPr>
        <w:t>Single</w:t>
      </w:r>
      <w:r>
        <w:rPr>
          <w:spacing w:val="-1"/>
          <w:sz w:val="24"/>
        </w:rPr>
        <w:t> </w:t>
      </w:r>
      <w:r>
        <w:rPr>
          <w:sz w:val="24"/>
        </w:rPr>
        <w:t>Factor:</w:t>
      </w:r>
      <w:r>
        <w:rPr>
          <w:spacing w:val="-4"/>
          <w:sz w:val="24"/>
        </w:rPr>
        <w:t> </w:t>
      </w:r>
      <w:r>
        <w:rPr>
          <w:sz w:val="24"/>
        </w:rPr>
        <w:t>Mean Age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  <w:tab/>
        <w:t>139</w:t>
      </w:r>
    </w:p>
    <w:p>
      <w:pPr>
        <w:pStyle w:val="ListParagraph"/>
        <w:numPr>
          <w:ilvl w:val="0"/>
          <w:numId w:val="11"/>
        </w:numPr>
        <w:tabs>
          <w:tab w:pos="1558" w:val="left" w:leader="none"/>
          <w:tab w:pos="1559" w:val="left" w:leader="none"/>
          <w:tab w:pos="9459" w:val="left" w:leader="none"/>
        </w:tabs>
        <w:spacing w:line="240" w:lineRule="auto" w:before="204" w:after="0"/>
        <w:ind w:left="1558" w:right="0" w:hanging="739"/>
        <w:jc w:val="left"/>
        <w:rPr>
          <w:sz w:val="24"/>
        </w:rPr>
      </w:pPr>
      <w:r>
        <w:rPr>
          <w:sz w:val="24"/>
        </w:rPr>
        <w:t>ANOVA:</w:t>
      </w:r>
      <w:r>
        <w:rPr>
          <w:spacing w:val="-2"/>
          <w:sz w:val="24"/>
        </w:rPr>
        <w:t> </w:t>
      </w:r>
      <w:r>
        <w:rPr>
          <w:sz w:val="24"/>
        </w:rPr>
        <w:t>Single</w:t>
      </w:r>
      <w:r>
        <w:rPr>
          <w:spacing w:val="3"/>
          <w:sz w:val="24"/>
        </w:rPr>
        <w:t> </w:t>
      </w:r>
      <w:r>
        <w:rPr>
          <w:sz w:val="24"/>
        </w:rPr>
        <w:t>Factor:</w:t>
      </w:r>
      <w:r>
        <w:rPr>
          <w:spacing w:val="-5"/>
          <w:sz w:val="24"/>
        </w:rPr>
        <w:t> </w:t>
      </w:r>
      <w:r>
        <w:rPr>
          <w:sz w:val="24"/>
        </w:rPr>
        <w:t>Mean</w:t>
      </w:r>
      <w:r>
        <w:rPr>
          <w:spacing w:val="-1"/>
          <w:sz w:val="24"/>
        </w:rPr>
        <w:t> </w:t>
      </w:r>
      <w:r>
        <w:rPr>
          <w:sz w:val="24"/>
        </w:rPr>
        <w:t>Weights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Groups</w:t>
        <w:tab/>
        <w:t>140</w:t>
      </w:r>
    </w:p>
    <w:p>
      <w:pPr>
        <w:pStyle w:val="ListParagraph"/>
        <w:numPr>
          <w:ilvl w:val="0"/>
          <w:numId w:val="11"/>
        </w:numPr>
        <w:tabs>
          <w:tab w:pos="772" w:val="left" w:leader="none"/>
          <w:tab w:pos="773" w:val="left" w:leader="none"/>
        </w:tabs>
        <w:spacing w:line="240" w:lineRule="auto" w:before="200" w:after="0"/>
        <w:ind w:left="1592" w:right="3571" w:hanging="1593"/>
        <w:jc w:val="right"/>
        <w:rPr>
          <w:sz w:val="24"/>
        </w:rPr>
      </w:pPr>
      <w:r>
        <w:rPr>
          <w:sz w:val="24"/>
        </w:rPr>
        <w:t>t-Test:</w:t>
      </w:r>
      <w:r>
        <w:rPr>
          <w:spacing w:val="-4"/>
          <w:sz w:val="24"/>
        </w:rPr>
        <w:t> </w:t>
      </w:r>
      <w:r>
        <w:rPr>
          <w:sz w:val="24"/>
        </w:rPr>
        <w:t>Mean</w:t>
      </w:r>
      <w:r>
        <w:rPr>
          <w:spacing w:val="-1"/>
          <w:sz w:val="24"/>
        </w:rPr>
        <w:t> </w:t>
      </w:r>
      <w:r>
        <w:rPr>
          <w:sz w:val="24"/>
        </w:rPr>
        <w:t>Weights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SCD Patients</w:t>
      </w:r>
      <w:r>
        <w:rPr>
          <w:spacing w:val="2"/>
          <w:sz w:val="24"/>
        </w:rPr>
        <w:t> </w:t>
      </w:r>
      <w:r>
        <w:rPr>
          <w:sz w:val="24"/>
        </w:rPr>
        <w:t>in Crises</w:t>
      </w:r>
      <w:r>
        <w:rPr>
          <w:spacing w:val="-2"/>
          <w:sz w:val="24"/>
        </w:rPr>
        <w:t> </w:t>
      </w:r>
      <w:r>
        <w:rPr>
          <w:sz w:val="24"/>
        </w:rPr>
        <w:t>and HbAA</w:t>
      </w:r>
      <w:r>
        <w:rPr>
          <w:spacing w:val="-5"/>
          <w:sz w:val="24"/>
        </w:rPr>
        <w:t> </w:t>
      </w:r>
      <w:r>
        <w:rPr>
          <w:sz w:val="24"/>
        </w:rPr>
        <w:t>Group;</w:t>
      </w:r>
    </w:p>
    <w:p>
      <w:pPr>
        <w:pStyle w:val="BodyText"/>
        <w:spacing w:before="199"/>
        <w:ind w:right="3636"/>
        <w:jc w:val="right"/>
      </w:pPr>
      <w:r>
        <w:rPr/>
        <w:t>SCD</w:t>
      </w:r>
      <w:r>
        <w:rPr>
          <w:spacing w:val="-1"/>
        </w:rPr>
        <w:t> </w:t>
      </w:r>
      <w:r>
        <w:rPr/>
        <w:t>Patients</w:t>
      </w:r>
      <w:r>
        <w:rPr>
          <w:spacing w:val="3"/>
        </w:rPr>
        <w:t> </w:t>
      </w:r>
      <w:r>
        <w:rPr/>
        <w:t>in</w:t>
      </w:r>
      <w:r>
        <w:rPr>
          <w:spacing w:val="-5"/>
        </w:rPr>
        <w:t> </w:t>
      </w:r>
      <w:r>
        <w:rPr/>
        <w:t>Steady</w:t>
      </w:r>
      <w:r>
        <w:rPr>
          <w:spacing w:val="-9"/>
        </w:rPr>
        <w:t> </w:t>
      </w:r>
      <w:r>
        <w:rPr/>
        <w:t>State</w:t>
      </w:r>
      <w:r>
        <w:rPr>
          <w:spacing w:val="-6"/>
        </w:rPr>
        <w:t> </w:t>
      </w:r>
      <w:r>
        <w:rPr/>
        <w:t>and HbAA</w:t>
      </w:r>
      <w:r>
        <w:rPr>
          <w:spacing w:val="-5"/>
        </w:rPr>
        <w:t> </w:t>
      </w:r>
      <w:r>
        <w:rPr/>
        <w:t>Group;</w:t>
      </w:r>
      <w:r>
        <w:rPr>
          <w:spacing w:val="-4"/>
        </w:rPr>
        <w:t> </w:t>
      </w:r>
      <w:r>
        <w:rPr/>
        <w:t>and SCD Patients</w:t>
      </w:r>
    </w:p>
    <w:p>
      <w:pPr>
        <w:pStyle w:val="BodyText"/>
        <w:tabs>
          <w:tab w:pos="9459" w:val="left" w:leader="none"/>
        </w:tabs>
        <w:spacing w:before="199"/>
        <w:ind w:left="1602"/>
      </w:pPr>
      <w:r>
        <w:rPr/>
        <w:t>in</w:t>
      </w:r>
      <w:r>
        <w:rPr>
          <w:spacing w:val="-4"/>
        </w:rPr>
        <w:t> </w:t>
      </w:r>
      <w:r>
        <w:rPr/>
        <w:t>Crises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SCD</w:t>
      </w:r>
      <w:r>
        <w:rPr>
          <w:spacing w:val="1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Steady</w:t>
      </w:r>
      <w:r>
        <w:rPr>
          <w:spacing w:val="-8"/>
        </w:rPr>
        <w:t> </w:t>
      </w:r>
      <w:r>
        <w:rPr/>
        <w:t>State</w:t>
        <w:tab/>
        <w:t>141</w:t>
      </w:r>
    </w:p>
    <w:p>
      <w:pPr>
        <w:pStyle w:val="ListParagraph"/>
        <w:numPr>
          <w:ilvl w:val="0"/>
          <w:numId w:val="11"/>
        </w:numPr>
        <w:tabs>
          <w:tab w:pos="1558" w:val="left" w:leader="none"/>
          <w:tab w:pos="1559" w:val="left" w:leader="none"/>
          <w:tab w:pos="9459" w:val="left" w:leader="none"/>
        </w:tabs>
        <w:spacing w:line="240" w:lineRule="auto" w:before="199" w:after="0"/>
        <w:ind w:left="1558" w:right="0" w:hanging="739"/>
        <w:jc w:val="left"/>
        <w:rPr>
          <w:sz w:val="24"/>
        </w:rPr>
      </w:pPr>
      <w:r>
        <w:rPr>
          <w:sz w:val="24"/>
        </w:rPr>
        <w:t>ANOVA:</w:t>
      </w:r>
      <w:r>
        <w:rPr>
          <w:spacing w:val="-2"/>
          <w:sz w:val="24"/>
        </w:rPr>
        <w:t> </w:t>
      </w:r>
      <w:r>
        <w:rPr>
          <w:sz w:val="24"/>
        </w:rPr>
        <w:t>Single</w:t>
      </w:r>
      <w:r>
        <w:rPr>
          <w:spacing w:val="3"/>
          <w:sz w:val="24"/>
        </w:rPr>
        <w:t> </w:t>
      </w:r>
      <w:r>
        <w:rPr>
          <w:sz w:val="24"/>
        </w:rPr>
        <w:t>Factor:</w:t>
      </w:r>
      <w:r>
        <w:rPr>
          <w:spacing w:val="-5"/>
          <w:sz w:val="24"/>
        </w:rPr>
        <w:t> </w:t>
      </w:r>
      <w:r>
        <w:rPr>
          <w:sz w:val="24"/>
        </w:rPr>
        <w:t>Mean</w:t>
      </w:r>
      <w:r>
        <w:rPr>
          <w:spacing w:val="-6"/>
          <w:sz w:val="24"/>
        </w:rPr>
        <w:t> </w:t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4"/>
          <w:sz w:val="24"/>
        </w:rPr>
        <w:t> </w:t>
      </w:r>
      <w:r>
        <w:rPr>
          <w:sz w:val="24"/>
        </w:rPr>
        <w:t>Diagnosis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Groups</w:t>
        <w:tab/>
        <w:t>142</w:t>
      </w:r>
    </w:p>
    <w:p>
      <w:pPr>
        <w:pStyle w:val="ListParagraph"/>
        <w:numPr>
          <w:ilvl w:val="0"/>
          <w:numId w:val="11"/>
        </w:numPr>
        <w:tabs>
          <w:tab w:pos="1453" w:val="left" w:leader="none"/>
          <w:tab w:pos="1454" w:val="left" w:leader="none"/>
        </w:tabs>
        <w:spacing w:line="417" w:lineRule="auto" w:before="199" w:after="0"/>
        <w:ind w:left="1540" w:right="4517" w:hanging="720"/>
        <w:jc w:val="left"/>
        <w:rPr>
          <w:sz w:val="24"/>
        </w:rPr>
      </w:pPr>
      <w:r>
        <w:rPr>
          <w:sz w:val="24"/>
        </w:rPr>
        <w:t>t-Test:</w:t>
      </w:r>
      <w:r>
        <w:rPr>
          <w:spacing w:val="-7"/>
          <w:sz w:val="24"/>
        </w:rPr>
        <w:t> </w:t>
      </w:r>
      <w:r>
        <w:rPr>
          <w:sz w:val="24"/>
        </w:rPr>
        <w:t>Two</w:t>
      </w:r>
      <w:r>
        <w:rPr>
          <w:spacing w:val="-3"/>
          <w:sz w:val="24"/>
        </w:rPr>
        <w:t> </w:t>
      </w:r>
      <w:r>
        <w:rPr>
          <w:sz w:val="24"/>
        </w:rPr>
        <w:t>Sample</w:t>
      </w:r>
      <w:r>
        <w:rPr>
          <w:spacing w:val="-4"/>
          <w:sz w:val="24"/>
        </w:rPr>
        <w:t> </w:t>
      </w:r>
      <w:r>
        <w:rPr>
          <w:sz w:val="24"/>
        </w:rPr>
        <w:t>assuming</w:t>
      </w:r>
      <w:r>
        <w:rPr>
          <w:spacing w:val="-2"/>
          <w:sz w:val="24"/>
        </w:rPr>
        <w:t> </w:t>
      </w:r>
      <w:r>
        <w:rPr>
          <w:sz w:val="24"/>
        </w:rPr>
        <w:t>Unequal</w:t>
      </w:r>
      <w:r>
        <w:rPr>
          <w:spacing w:val="-7"/>
          <w:sz w:val="24"/>
        </w:rPr>
        <w:t> </w:t>
      </w:r>
      <w:r>
        <w:rPr>
          <w:sz w:val="24"/>
        </w:rPr>
        <w:t>Variance:</w:t>
      </w:r>
      <w:r>
        <w:rPr>
          <w:spacing w:val="-3"/>
          <w:sz w:val="24"/>
        </w:rPr>
        <w:t> </w:t>
      </w:r>
      <w:r>
        <w:rPr>
          <w:sz w:val="24"/>
        </w:rPr>
        <w:t>Showing</w:t>
      </w:r>
      <w:r>
        <w:rPr>
          <w:spacing w:val="-57"/>
          <w:sz w:val="24"/>
        </w:rPr>
        <w:t> </w:t>
      </w:r>
      <w:r>
        <w:rPr>
          <w:sz w:val="24"/>
        </w:rPr>
        <w:t>White</w:t>
      </w:r>
      <w:r>
        <w:rPr>
          <w:spacing w:val="-2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Cell</w:t>
      </w:r>
      <w:r>
        <w:rPr>
          <w:spacing w:val="-5"/>
          <w:sz w:val="24"/>
        </w:rPr>
        <w:t> </w:t>
      </w:r>
      <w:r>
        <w:rPr>
          <w:sz w:val="24"/>
        </w:rPr>
        <w:t>Counts</w:t>
      </w:r>
      <w:r>
        <w:rPr>
          <w:spacing w:val="-3"/>
          <w:sz w:val="24"/>
        </w:rPr>
        <w:t> </w:t>
      </w:r>
      <w:r>
        <w:rPr>
          <w:sz w:val="24"/>
        </w:rPr>
        <w:t>(</w:t>
      </w:r>
      <w:r>
        <w:rPr>
          <w:rFonts w:ascii="Cambria Math" w:hAnsi="Cambria Math"/>
          <w:sz w:val="24"/>
        </w:rPr>
        <w:t>×</w:t>
      </w:r>
      <w:r>
        <w:rPr>
          <w:rFonts w:ascii="Cambria Math" w:hAnsi="Cambria Math"/>
          <w:spacing w:val="44"/>
          <w:sz w:val="24"/>
        </w:rPr>
        <w:t> </w:t>
      </w:r>
      <w:r>
        <w:rPr>
          <w:sz w:val="24"/>
        </w:rPr>
        <w:t>10</w:t>
      </w:r>
      <w:r>
        <w:rPr>
          <w:sz w:val="24"/>
          <w:vertAlign w:val="superscript"/>
        </w:rPr>
        <w:t>9</w:t>
      </w:r>
      <w:r>
        <w:rPr>
          <w:sz w:val="24"/>
          <w:vertAlign w:val="baseline"/>
        </w:rPr>
        <w:t>)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SCD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Patients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as</w:t>
      </w:r>
    </w:p>
    <w:p>
      <w:pPr>
        <w:pStyle w:val="BodyText"/>
        <w:tabs>
          <w:tab w:pos="9459" w:val="left" w:leader="none"/>
        </w:tabs>
        <w:spacing w:line="266" w:lineRule="exact"/>
        <w:ind w:left="1540"/>
      </w:pPr>
      <w:r>
        <w:rPr/>
        <w:t>compared</w:t>
      </w:r>
      <w:r>
        <w:rPr>
          <w:spacing w:val="-2"/>
        </w:rPr>
        <w:t> </w:t>
      </w:r>
      <w:r>
        <w:rPr/>
        <w:t>with</w:t>
      </w:r>
      <w:r>
        <w:rPr>
          <w:spacing w:val="-6"/>
        </w:rPr>
        <w:t> </w:t>
      </w:r>
      <w:r>
        <w:rPr/>
        <w:t>their</w:t>
      </w:r>
      <w:r>
        <w:rPr>
          <w:spacing w:val="-1"/>
        </w:rPr>
        <w:t> </w:t>
      </w:r>
      <w:r>
        <w:rPr/>
        <w:t>Amoxicillin</w:t>
      </w:r>
      <w:r>
        <w:rPr>
          <w:spacing w:val="-6"/>
        </w:rPr>
        <w:t> </w:t>
      </w:r>
      <w:r>
        <w:rPr/>
        <w:t>Utilisation</w:t>
        <w:tab/>
        <w:t>143</w:t>
      </w:r>
    </w:p>
    <w:p>
      <w:pPr>
        <w:pStyle w:val="ListParagraph"/>
        <w:numPr>
          <w:ilvl w:val="0"/>
          <w:numId w:val="11"/>
        </w:numPr>
        <w:tabs>
          <w:tab w:pos="1660" w:val="left" w:leader="none"/>
          <w:tab w:pos="9459" w:val="left" w:leader="none"/>
        </w:tabs>
        <w:spacing w:line="240" w:lineRule="auto" w:before="200" w:after="0"/>
        <w:ind w:left="1659" w:right="0" w:hanging="840"/>
        <w:jc w:val="both"/>
        <w:rPr>
          <w:sz w:val="24"/>
        </w:rPr>
      </w:pPr>
      <w:r>
        <w:rPr>
          <w:sz w:val="24"/>
        </w:rPr>
        <w:t>ANOVA:</w:t>
      </w:r>
      <w:r>
        <w:rPr>
          <w:spacing w:val="-2"/>
          <w:sz w:val="24"/>
        </w:rPr>
        <w:t> </w:t>
      </w:r>
      <w:r>
        <w:rPr>
          <w:sz w:val="24"/>
        </w:rPr>
        <w:t>Single</w:t>
      </w:r>
      <w:r>
        <w:rPr>
          <w:spacing w:val="-3"/>
          <w:sz w:val="24"/>
        </w:rPr>
        <w:t> </w:t>
      </w:r>
      <w:r>
        <w:rPr>
          <w:sz w:val="24"/>
        </w:rPr>
        <w:t>Factor:</w:t>
      </w:r>
      <w:r>
        <w:rPr>
          <w:spacing w:val="-2"/>
          <w:sz w:val="24"/>
        </w:rPr>
        <w:t> </w:t>
      </w:r>
      <w:r>
        <w:rPr>
          <w:sz w:val="24"/>
        </w:rPr>
        <w:t>Platelet</w:t>
      </w:r>
      <w:r>
        <w:rPr>
          <w:spacing w:val="3"/>
          <w:sz w:val="24"/>
        </w:rPr>
        <w:t> </w:t>
      </w:r>
      <w:r>
        <w:rPr>
          <w:sz w:val="24"/>
        </w:rPr>
        <w:t>Count of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Groups</w:t>
        <w:tab/>
        <w:t>144</w:t>
      </w:r>
    </w:p>
    <w:p>
      <w:pPr>
        <w:pStyle w:val="ListParagraph"/>
        <w:numPr>
          <w:ilvl w:val="0"/>
          <w:numId w:val="11"/>
        </w:numPr>
        <w:tabs>
          <w:tab w:pos="1435" w:val="left" w:leader="none"/>
        </w:tabs>
        <w:spacing w:line="415" w:lineRule="auto" w:before="199" w:after="0"/>
        <w:ind w:left="1602" w:right="3676" w:hanging="783"/>
        <w:jc w:val="both"/>
        <w:rPr>
          <w:sz w:val="24"/>
        </w:rPr>
      </w:pPr>
      <w:r>
        <w:rPr>
          <w:sz w:val="24"/>
        </w:rPr>
        <w:t>t-Test: Two Sample assuming Unequal Variance: Showing Platelet</w:t>
      </w:r>
      <w:r>
        <w:rPr>
          <w:spacing w:val="1"/>
          <w:sz w:val="24"/>
        </w:rPr>
        <w:t> </w:t>
      </w:r>
      <w:r>
        <w:rPr>
          <w:sz w:val="24"/>
        </w:rPr>
        <w:t>Count of SCD Patients in Crises and HbAA Group, SCD Patients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Steady</w:t>
      </w:r>
      <w:r>
        <w:rPr>
          <w:spacing w:val="-9"/>
          <w:sz w:val="24"/>
        </w:rPr>
        <w:t> </w:t>
      </w: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and HbAA</w:t>
      </w:r>
      <w:r>
        <w:rPr>
          <w:spacing w:val="-5"/>
          <w:sz w:val="24"/>
        </w:rPr>
        <w:t> </w:t>
      </w:r>
      <w:r>
        <w:rPr>
          <w:sz w:val="24"/>
        </w:rPr>
        <w:t>Group;</w:t>
      </w:r>
      <w:r>
        <w:rPr>
          <w:spacing w:val="-5"/>
          <w:sz w:val="24"/>
        </w:rPr>
        <w:t> </w:t>
      </w:r>
      <w:r>
        <w:rPr>
          <w:sz w:val="24"/>
        </w:rPr>
        <w:t>and SCD</w:t>
      </w:r>
      <w:r>
        <w:rPr>
          <w:spacing w:val="-1"/>
          <w:sz w:val="24"/>
        </w:rPr>
        <w:t> </w:t>
      </w:r>
      <w:r>
        <w:rPr>
          <w:sz w:val="24"/>
        </w:rPr>
        <w:t>Patients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Crises</w:t>
      </w:r>
      <w:r>
        <w:rPr>
          <w:spacing w:val="-2"/>
          <w:sz w:val="24"/>
        </w:rPr>
        <w:t> </w:t>
      </w:r>
      <w:r>
        <w:rPr>
          <w:sz w:val="24"/>
        </w:rPr>
        <w:t>and</w:t>
      </w:r>
    </w:p>
    <w:p>
      <w:pPr>
        <w:pStyle w:val="BodyText"/>
        <w:tabs>
          <w:tab w:pos="9459" w:val="left" w:leader="none"/>
        </w:tabs>
        <w:spacing w:line="274" w:lineRule="exact"/>
        <w:ind w:left="1602"/>
        <w:jc w:val="both"/>
      </w:pPr>
      <w:r>
        <w:rPr/>
        <w:t>SCD</w:t>
      </w:r>
      <w:r>
        <w:rPr>
          <w:spacing w:val="1"/>
        </w:rPr>
        <w:t> </w:t>
      </w:r>
      <w:r>
        <w:rPr/>
        <w:t>Patients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Steady</w:t>
      </w:r>
      <w:r>
        <w:rPr>
          <w:spacing w:val="-8"/>
        </w:rPr>
        <w:t> </w:t>
      </w:r>
      <w:r>
        <w:rPr/>
        <w:t>State</w:t>
        <w:tab/>
        <w:t>145</w:t>
      </w:r>
    </w:p>
    <w:p>
      <w:pPr>
        <w:pStyle w:val="ListParagraph"/>
        <w:numPr>
          <w:ilvl w:val="0"/>
          <w:numId w:val="11"/>
        </w:numPr>
        <w:tabs>
          <w:tab w:pos="1477" w:val="left" w:leader="none"/>
          <w:tab w:pos="1478" w:val="left" w:leader="none"/>
          <w:tab w:pos="9459" w:val="left" w:leader="none"/>
        </w:tabs>
        <w:spacing w:line="240" w:lineRule="auto" w:before="199" w:after="0"/>
        <w:ind w:left="1477" w:right="0" w:hanging="658"/>
        <w:jc w:val="left"/>
        <w:rPr>
          <w:sz w:val="24"/>
        </w:rPr>
      </w:pPr>
      <w:r>
        <w:rPr>
          <w:sz w:val="24"/>
        </w:rPr>
        <w:t>ANOVA:</w:t>
      </w:r>
      <w:r>
        <w:rPr>
          <w:spacing w:val="-2"/>
          <w:sz w:val="24"/>
        </w:rPr>
        <w:t> </w:t>
      </w:r>
      <w:r>
        <w:rPr>
          <w:sz w:val="24"/>
        </w:rPr>
        <w:t>Single</w:t>
      </w:r>
      <w:r>
        <w:rPr>
          <w:spacing w:val="-3"/>
          <w:sz w:val="24"/>
        </w:rPr>
        <w:t> </w:t>
      </w:r>
      <w:r>
        <w:rPr>
          <w:sz w:val="24"/>
        </w:rPr>
        <w:t>Factor:</w:t>
      </w:r>
      <w:r>
        <w:rPr>
          <w:spacing w:val="-6"/>
          <w:sz w:val="24"/>
        </w:rPr>
        <w:t> </w:t>
      </w:r>
      <w:r>
        <w:rPr>
          <w:sz w:val="24"/>
        </w:rPr>
        <w:t>White</w:t>
      </w:r>
      <w:r>
        <w:rPr>
          <w:spacing w:val="-3"/>
          <w:sz w:val="24"/>
        </w:rPr>
        <w:t> </w:t>
      </w:r>
      <w:r>
        <w:rPr>
          <w:sz w:val="24"/>
        </w:rPr>
        <w:t>Blood</w:t>
      </w:r>
      <w:r>
        <w:rPr>
          <w:spacing w:val="-2"/>
          <w:sz w:val="24"/>
        </w:rPr>
        <w:t> </w:t>
      </w:r>
      <w:r>
        <w:rPr>
          <w:sz w:val="24"/>
        </w:rPr>
        <w:t>Cell</w:t>
      </w:r>
      <w:r>
        <w:rPr>
          <w:spacing w:val="-1"/>
          <w:sz w:val="24"/>
        </w:rPr>
        <w:t> </w:t>
      </w:r>
      <w:r>
        <w:rPr>
          <w:sz w:val="24"/>
        </w:rPr>
        <w:t>Count</w:t>
        <w:tab/>
        <w:t>146</w:t>
      </w:r>
    </w:p>
    <w:p>
      <w:pPr>
        <w:pStyle w:val="ListParagraph"/>
        <w:numPr>
          <w:ilvl w:val="0"/>
          <w:numId w:val="11"/>
        </w:numPr>
        <w:tabs>
          <w:tab w:pos="1674" w:val="left" w:leader="none"/>
          <w:tab w:pos="1675" w:val="left" w:leader="none"/>
        </w:tabs>
        <w:spacing w:line="412" w:lineRule="auto" w:before="199" w:after="0"/>
        <w:ind w:left="1544" w:right="4160" w:hanging="725"/>
        <w:jc w:val="left"/>
        <w:rPr>
          <w:sz w:val="24"/>
        </w:rPr>
      </w:pPr>
      <w:r>
        <w:rPr/>
        <w:tab/>
      </w:r>
      <w:r>
        <w:rPr>
          <w:sz w:val="24"/>
        </w:rPr>
        <w:t>t- Test: Two Sample Assuming Unequal Variance: showing</w:t>
      </w:r>
      <w:r>
        <w:rPr>
          <w:spacing w:val="-57"/>
          <w:sz w:val="24"/>
        </w:rPr>
        <w:t> </w:t>
      </w:r>
      <w:r>
        <w:rPr>
          <w:sz w:val="24"/>
        </w:rPr>
        <w:t>WBC of SCD Patients in Crises and HbAA Group; SCD</w:t>
      </w:r>
      <w:r>
        <w:rPr>
          <w:spacing w:val="1"/>
          <w:sz w:val="24"/>
        </w:rPr>
        <w:t> </w:t>
      </w:r>
      <w:r>
        <w:rPr>
          <w:sz w:val="24"/>
        </w:rPr>
        <w:t>Patients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Steady</w:t>
      </w:r>
      <w:r>
        <w:rPr>
          <w:spacing w:val="-9"/>
          <w:sz w:val="24"/>
        </w:rPr>
        <w:t> </w:t>
      </w: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and HbAA</w:t>
      </w:r>
      <w:r>
        <w:rPr>
          <w:spacing w:val="-5"/>
          <w:sz w:val="24"/>
        </w:rPr>
        <w:t> </w:t>
      </w:r>
      <w:r>
        <w:rPr>
          <w:sz w:val="24"/>
        </w:rPr>
        <w:t>Group;</w:t>
      </w:r>
      <w:r>
        <w:rPr>
          <w:spacing w:val="-4"/>
          <w:sz w:val="24"/>
        </w:rPr>
        <w:t> </w:t>
      </w:r>
      <w:r>
        <w:rPr>
          <w:sz w:val="24"/>
        </w:rPr>
        <w:t>and SCD Patients</w:t>
      </w:r>
    </w:p>
    <w:p>
      <w:pPr>
        <w:pStyle w:val="BodyText"/>
        <w:tabs>
          <w:tab w:pos="9459" w:val="left" w:leader="none"/>
        </w:tabs>
        <w:spacing w:before="7"/>
        <w:ind w:left="1602"/>
      </w:pPr>
      <w:r>
        <w:rPr/>
        <w:t>in</w:t>
      </w:r>
      <w:r>
        <w:rPr>
          <w:spacing w:val="-4"/>
        </w:rPr>
        <w:t> </w:t>
      </w:r>
      <w:r>
        <w:rPr/>
        <w:t>Crises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SCD</w:t>
      </w:r>
      <w:r>
        <w:rPr>
          <w:spacing w:val="1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Steady</w:t>
      </w:r>
      <w:r>
        <w:rPr>
          <w:spacing w:val="-8"/>
        </w:rPr>
        <w:t> </w:t>
      </w:r>
      <w:r>
        <w:rPr/>
        <w:t>State</w:t>
        <w:tab/>
        <w:t>147</w:t>
      </w:r>
    </w:p>
    <w:p>
      <w:pPr>
        <w:pStyle w:val="ListParagraph"/>
        <w:numPr>
          <w:ilvl w:val="0"/>
          <w:numId w:val="11"/>
        </w:numPr>
        <w:tabs>
          <w:tab w:pos="1636" w:val="left" w:leader="none"/>
          <w:tab w:pos="9459" w:val="left" w:leader="none"/>
        </w:tabs>
        <w:spacing w:line="240" w:lineRule="auto" w:before="199" w:after="0"/>
        <w:ind w:left="1635" w:right="0" w:hanging="816"/>
        <w:jc w:val="both"/>
        <w:rPr>
          <w:sz w:val="24"/>
        </w:rPr>
      </w:pPr>
      <w:r>
        <w:rPr>
          <w:sz w:val="24"/>
        </w:rPr>
        <w:t>ANOVA:</w:t>
      </w:r>
      <w:r>
        <w:rPr>
          <w:spacing w:val="-3"/>
          <w:sz w:val="24"/>
        </w:rPr>
        <w:t> </w:t>
      </w:r>
      <w:r>
        <w:rPr>
          <w:sz w:val="24"/>
        </w:rPr>
        <w:t>Single</w:t>
      </w:r>
      <w:r>
        <w:rPr>
          <w:spacing w:val="-4"/>
          <w:sz w:val="24"/>
        </w:rPr>
        <w:t> </w:t>
      </w:r>
      <w:r>
        <w:rPr>
          <w:sz w:val="24"/>
        </w:rPr>
        <w:t>Factor:</w:t>
      </w:r>
      <w:r>
        <w:rPr>
          <w:spacing w:val="-3"/>
          <w:sz w:val="24"/>
        </w:rPr>
        <w:t> </w:t>
      </w:r>
      <w:r>
        <w:rPr>
          <w:sz w:val="24"/>
        </w:rPr>
        <w:t>Neutrophil</w:t>
      </w:r>
      <w:r>
        <w:rPr>
          <w:spacing w:val="-7"/>
          <w:sz w:val="24"/>
        </w:rPr>
        <w:t> </w:t>
      </w:r>
      <w:r>
        <w:rPr>
          <w:sz w:val="24"/>
        </w:rPr>
        <w:t>Count</w:t>
        <w:tab/>
        <w:t>148</w:t>
      </w:r>
    </w:p>
    <w:p>
      <w:pPr>
        <w:pStyle w:val="ListParagraph"/>
        <w:numPr>
          <w:ilvl w:val="0"/>
          <w:numId w:val="11"/>
        </w:numPr>
        <w:tabs>
          <w:tab w:pos="1654" w:val="left" w:leader="none"/>
          <w:tab w:pos="1656" w:val="left" w:leader="none"/>
        </w:tabs>
        <w:spacing w:line="412" w:lineRule="auto" w:before="674" w:after="0"/>
        <w:ind w:left="1602" w:right="3131" w:hanging="783"/>
        <w:jc w:val="left"/>
        <w:rPr>
          <w:sz w:val="24"/>
        </w:rPr>
      </w:pPr>
      <w:r>
        <w:rPr/>
        <w:tab/>
      </w:r>
      <w:r>
        <w:rPr>
          <w:sz w:val="24"/>
        </w:rPr>
        <w:t>t-</w:t>
      </w:r>
      <w:r>
        <w:rPr>
          <w:spacing w:val="-7"/>
          <w:sz w:val="24"/>
        </w:rPr>
        <w:t> </w:t>
      </w:r>
      <w:r>
        <w:rPr>
          <w:sz w:val="24"/>
        </w:rPr>
        <w:t>Test:</w:t>
      </w:r>
      <w:r>
        <w:rPr>
          <w:spacing w:val="-7"/>
          <w:sz w:val="24"/>
        </w:rPr>
        <w:t> </w:t>
      </w:r>
      <w:r>
        <w:rPr>
          <w:sz w:val="24"/>
        </w:rPr>
        <w:t>Two</w:t>
      </w:r>
      <w:r>
        <w:rPr>
          <w:spacing w:val="-3"/>
          <w:sz w:val="24"/>
        </w:rPr>
        <w:t> </w:t>
      </w:r>
      <w:r>
        <w:rPr>
          <w:sz w:val="24"/>
        </w:rPr>
        <w:t>Sample Assuming</w:t>
      </w:r>
      <w:r>
        <w:rPr>
          <w:spacing w:val="-4"/>
          <w:sz w:val="24"/>
        </w:rPr>
        <w:t> </w:t>
      </w:r>
      <w:r>
        <w:rPr>
          <w:sz w:val="24"/>
        </w:rPr>
        <w:t>Unequal</w:t>
      </w:r>
      <w:r>
        <w:rPr>
          <w:spacing w:val="-2"/>
          <w:sz w:val="24"/>
        </w:rPr>
        <w:t> </w:t>
      </w:r>
      <w:r>
        <w:rPr>
          <w:sz w:val="24"/>
        </w:rPr>
        <w:t>Variance:</w:t>
      </w:r>
      <w:r>
        <w:rPr>
          <w:spacing w:val="-4"/>
          <w:sz w:val="24"/>
        </w:rPr>
        <w:t> </w:t>
      </w:r>
      <w:r>
        <w:rPr>
          <w:sz w:val="24"/>
        </w:rPr>
        <w:t>showing</w:t>
      </w:r>
      <w:r>
        <w:rPr>
          <w:spacing w:val="-3"/>
          <w:sz w:val="24"/>
        </w:rPr>
        <w:t> </w:t>
      </w:r>
      <w:r>
        <w:rPr>
          <w:sz w:val="24"/>
        </w:rPr>
        <w:t>Neutrophil</w:t>
      </w:r>
      <w:r>
        <w:rPr>
          <w:spacing w:val="-57"/>
          <w:sz w:val="24"/>
        </w:rPr>
        <w:t> </w:t>
      </w:r>
      <w:r>
        <w:rPr>
          <w:sz w:val="24"/>
        </w:rPr>
        <w:t>Count in SCD Patients in Crises and HbAA individuals; SCD Patients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Steady</w:t>
      </w:r>
      <w:r>
        <w:rPr>
          <w:spacing w:val="-9"/>
          <w:sz w:val="24"/>
        </w:rPr>
        <w:t> </w:t>
      </w:r>
      <w:r>
        <w:rPr>
          <w:sz w:val="24"/>
        </w:rPr>
        <w:t>State and HbAA</w:t>
      </w:r>
      <w:r>
        <w:rPr>
          <w:spacing w:val="-4"/>
          <w:sz w:val="24"/>
        </w:rPr>
        <w:t> </w:t>
      </w:r>
      <w:r>
        <w:rPr>
          <w:sz w:val="24"/>
        </w:rPr>
        <w:t>Group;</w:t>
      </w:r>
      <w:r>
        <w:rPr>
          <w:spacing w:val="-3"/>
          <w:sz w:val="24"/>
        </w:rPr>
        <w:t> </w:t>
      </w:r>
      <w:r>
        <w:rPr>
          <w:sz w:val="24"/>
        </w:rPr>
        <w:t>and SCD</w:t>
      </w:r>
      <w:r>
        <w:rPr>
          <w:spacing w:val="1"/>
          <w:sz w:val="24"/>
        </w:rPr>
        <w:t> </w:t>
      </w:r>
      <w:r>
        <w:rPr>
          <w:sz w:val="24"/>
        </w:rPr>
        <w:t>Patients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Crises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spacing w:after="0" w:line="412" w:lineRule="auto"/>
        <w:jc w:val="left"/>
        <w:rPr>
          <w:sz w:val="24"/>
        </w:rPr>
        <w:sectPr>
          <w:pgSz w:w="12240" w:h="15840"/>
          <w:pgMar w:header="0" w:footer="1017" w:top="1360" w:bottom="1200" w:left="620" w:right="0"/>
        </w:sectPr>
      </w:pPr>
    </w:p>
    <w:tbl>
      <w:tblPr>
        <w:tblW w:w="0" w:type="auto"/>
        <w:jc w:val="left"/>
        <w:tblInd w:w="7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47"/>
        <w:gridCol w:w="662"/>
        <w:gridCol w:w="589"/>
      </w:tblGrid>
      <w:tr>
        <w:trPr>
          <w:trHeight w:val="370" w:hRule="atLeast"/>
        </w:trPr>
        <w:tc>
          <w:tcPr>
            <w:tcW w:w="7847" w:type="dxa"/>
          </w:tcPr>
          <w:p>
            <w:pPr>
              <w:pStyle w:val="TableParagraph"/>
              <w:spacing w:line="266" w:lineRule="exact"/>
              <w:ind w:left="832"/>
              <w:rPr>
                <w:sz w:val="24"/>
              </w:rPr>
            </w:pPr>
            <w:r>
              <w:rPr>
                <w:sz w:val="24"/>
              </w:rPr>
              <w:t>SCD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Patients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Steady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spacing w:line="266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>
        <w:trPr>
          <w:trHeight w:val="475" w:hRule="atLeast"/>
        </w:trPr>
        <w:tc>
          <w:tcPr>
            <w:tcW w:w="7847" w:type="dxa"/>
          </w:tcPr>
          <w:p>
            <w:pPr>
              <w:pStyle w:val="TableParagraph"/>
              <w:tabs>
                <w:tab w:pos="779" w:val="left" w:leader="none"/>
              </w:tabs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XIV</w:t>
              <w:tab/>
              <w:t>ANOVA: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Single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Factor: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Lymphocyte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Count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spacing w:before="94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>
        <w:trPr>
          <w:trHeight w:val="475" w:hRule="atLeast"/>
        </w:trPr>
        <w:tc>
          <w:tcPr>
            <w:tcW w:w="7847" w:type="dxa"/>
          </w:tcPr>
          <w:p>
            <w:pPr>
              <w:pStyle w:val="TableParagraph"/>
              <w:tabs>
                <w:tab w:pos="702" w:val="left" w:leader="none"/>
              </w:tabs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XV</w:t>
              <w:tab/>
              <w:t>ANOVA: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Single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Factor: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PCV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Levels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spacing w:before="94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</w:tr>
      <w:tr>
        <w:trPr>
          <w:trHeight w:val="477" w:hRule="atLeast"/>
        </w:trPr>
        <w:tc>
          <w:tcPr>
            <w:tcW w:w="7847" w:type="dxa"/>
          </w:tcPr>
          <w:p>
            <w:pPr>
              <w:pStyle w:val="TableParagraph"/>
              <w:tabs>
                <w:tab w:pos="894" w:val="left" w:leader="none"/>
              </w:tabs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XVI</w:t>
              <w:tab/>
              <w:t>t-Test: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Assuming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Unequal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Variance: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showing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PCVs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7" w:hRule="atLeast"/>
        </w:trPr>
        <w:tc>
          <w:tcPr>
            <w:tcW w:w="7847" w:type="dxa"/>
          </w:tcPr>
          <w:p>
            <w:pPr>
              <w:pStyle w:val="TableParagraph"/>
              <w:spacing w:before="97"/>
              <w:ind w:left="827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SCD Patients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Crises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HbAA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Individuals;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PCVs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HbAA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5" w:hRule="atLeast"/>
        </w:trPr>
        <w:tc>
          <w:tcPr>
            <w:tcW w:w="7847" w:type="dxa"/>
          </w:tcPr>
          <w:p>
            <w:pPr>
              <w:pStyle w:val="TableParagraph"/>
              <w:spacing w:before="94"/>
              <w:ind w:left="832"/>
              <w:rPr>
                <w:sz w:val="24"/>
              </w:rPr>
            </w:pPr>
            <w:r>
              <w:rPr>
                <w:sz w:val="24"/>
              </w:rPr>
              <w:t>individuals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 SCD Patients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Steady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State;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PCVs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SCD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5" w:hRule="atLeast"/>
        </w:trPr>
        <w:tc>
          <w:tcPr>
            <w:tcW w:w="7847" w:type="dxa"/>
          </w:tcPr>
          <w:p>
            <w:pPr>
              <w:pStyle w:val="TableParagraph"/>
              <w:spacing w:before="94"/>
              <w:ind w:left="832"/>
              <w:rPr>
                <w:sz w:val="24"/>
              </w:rPr>
            </w:pPr>
            <w:r>
              <w:rPr>
                <w:sz w:val="24"/>
              </w:rPr>
              <w:t>Patients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Crises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SCD Patients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Steady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spacing w:before="94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>
        <w:trPr>
          <w:trHeight w:val="475" w:hRule="atLeast"/>
        </w:trPr>
        <w:tc>
          <w:tcPr>
            <w:tcW w:w="7847" w:type="dxa"/>
          </w:tcPr>
          <w:p>
            <w:pPr>
              <w:pStyle w:val="TableParagraph"/>
              <w:tabs>
                <w:tab w:pos="860" w:val="left" w:leader="none"/>
              </w:tabs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XVII</w:t>
              <w:tab/>
              <w:t>ANOVA: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Single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Factor: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Magnesium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Assay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spacing w:before="94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>
        <w:trPr>
          <w:trHeight w:val="475" w:hRule="atLeast"/>
        </w:trPr>
        <w:tc>
          <w:tcPr>
            <w:tcW w:w="7847" w:type="dxa"/>
          </w:tcPr>
          <w:p>
            <w:pPr>
              <w:pStyle w:val="TableParagraph"/>
              <w:tabs>
                <w:tab w:pos="875" w:val="left" w:leader="none"/>
              </w:tabs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XVIII</w:t>
              <w:tab/>
              <w:t>t-Test: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Showing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Plasma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Magnesium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Levels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SCD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Patients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7" w:hRule="atLeast"/>
        </w:trPr>
        <w:tc>
          <w:tcPr>
            <w:tcW w:w="7847" w:type="dxa"/>
          </w:tcPr>
          <w:p>
            <w:pPr>
              <w:pStyle w:val="TableParagraph"/>
              <w:spacing w:before="94"/>
              <w:ind w:left="832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Crises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HbAA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Individuals;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SCD Patients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Steady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7" w:hRule="atLeast"/>
        </w:trPr>
        <w:tc>
          <w:tcPr>
            <w:tcW w:w="7847" w:type="dxa"/>
          </w:tcPr>
          <w:p>
            <w:pPr>
              <w:pStyle w:val="TableParagraph"/>
              <w:spacing w:before="97"/>
              <w:ind w:left="832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HbAA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Individuals;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Patients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Crises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SCD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5" w:hRule="atLeast"/>
        </w:trPr>
        <w:tc>
          <w:tcPr>
            <w:tcW w:w="7847" w:type="dxa"/>
          </w:tcPr>
          <w:p>
            <w:pPr>
              <w:pStyle w:val="TableParagraph"/>
              <w:spacing w:before="94"/>
              <w:ind w:left="832"/>
              <w:rPr>
                <w:sz w:val="24"/>
              </w:rPr>
            </w:pPr>
            <w:r>
              <w:rPr>
                <w:sz w:val="24"/>
              </w:rPr>
              <w:t>Patients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Steady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spacing w:before="94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</w:tr>
      <w:tr>
        <w:trPr>
          <w:trHeight w:val="475" w:hRule="atLeast"/>
        </w:trPr>
        <w:tc>
          <w:tcPr>
            <w:tcW w:w="7847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XIX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ANOVA: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Single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Factor: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Plasma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Zinc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Levels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spacing w:before="94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>
        <w:trPr>
          <w:trHeight w:val="475" w:hRule="atLeast"/>
        </w:trPr>
        <w:tc>
          <w:tcPr>
            <w:tcW w:w="7847" w:type="dxa"/>
          </w:tcPr>
          <w:p>
            <w:pPr>
              <w:pStyle w:val="TableParagraph"/>
              <w:tabs>
                <w:tab w:pos="760" w:val="left" w:leader="none"/>
              </w:tabs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XX</w:t>
              <w:tab/>
              <w:t>ANOVA: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Single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Factor: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Plasma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Copper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Levels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spacing w:before="94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  <w:tr>
        <w:trPr>
          <w:trHeight w:val="475" w:hRule="atLeast"/>
        </w:trPr>
        <w:tc>
          <w:tcPr>
            <w:tcW w:w="7847" w:type="dxa"/>
          </w:tcPr>
          <w:p>
            <w:pPr>
              <w:pStyle w:val="TableParagraph"/>
              <w:tabs>
                <w:tab w:pos="899" w:val="left" w:leader="none"/>
              </w:tabs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XXI</w:t>
              <w:tab/>
              <w:t>ANOVA: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Single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Factor: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Plasma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Iron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Levels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spacing w:before="94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  <w:tr>
        <w:trPr>
          <w:trHeight w:val="477" w:hRule="atLeast"/>
        </w:trPr>
        <w:tc>
          <w:tcPr>
            <w:tcW w:w="7847" w:type="dxa"/>
          </w:tcPr>
          <w:p>
            <w:pPr>
              <w:pStyle w:val="TableParagraph"/>
              <w:tabs>
                <w:tab w:pos="856" w:val="left" w:leader="none"/>
              </w:tabs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XXII</w:t>
              <w:tab/>
              <w:t>t-Test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showing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Plasma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Iron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levels in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SCD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Patients in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Crises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HbAA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7" w:hRule="atLeast"/>
        </w:trPr>
        <w:tc>
          <w:tcPr>
            <w:tcW w:w="7847" w:type="dxa"/>
          </w:tcPr>
          <w:p>
            <w:pPr>
              <w:pStyle w:val="TableParagraph"/>
              <w:spacing w:before="97"/>
              <w:ind w:left="832"/>
              <w:rPr>
                <w:sz w:val="24"/>
              </w:rPr>
            </w:pPr>
            <w:r>
              <w:rPr>
                <w:sz w:val="24"/>
              </w:rPr>
              <w:t>Individuals;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SCD Patients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Steady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 HbAA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Individuals;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0" w:hRule="atLeast"/>
        </w:trPr>
        <w:tc>
          <w:tcPr>
            <w:tcW w:w="7847" w:type="dxa"/>
          </w:tcPr>
          <w:p>
            <w:pPr>
              <w:pStyle w:val="TableParagraph"/>
              <w:spacing w:line="256" w:lineRule="exact" w:before="94"/>
              <w:ind w:left="832"/>
              <w:rPr>
                <w:sz w:val="24"/>
              </w:rPr>
            </w:pPr>
            <w:r>
              <w:rPr>
                <w:sz w:val="24"/>
              </w:rPr>
              <w:t>SCD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Patients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Crises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SCD Patients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Steady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662" w:type="dxa"/>
          </w:tcPr>
          <w:p>
            <w:pPr>
              <w:pStyle w:val="TableParagraph"/>
              <w:spacing w:line="256" w:lineRule="exact" w:before="94"/>
              <w:ind w:left="122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589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1017" w:top="1440" w:bottom="1200" w:left="620" w:right="0"/>
        </w:sectPr>
      </w:pPr>
    </w:p>
    <w:p>
      <w:pPr>
        <w:pStyle w:val="Heading1"/>
        <w:jc w:val="left"/>
      </w:pPr>
      <w:r>
        <w:rPr/>
        <w:t>GLOSSARY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SYMBOLS</w:t>
      </w:r>
    </w:p>
    <w:p>
      <w:pPr>
        <w:pStyle w:val="BodyText"/>
        <w:rPr>
          <w:b/>
          <w:sz w:val="29"/>
        </w:rPr>
      </w:pPr>
    </w:p>
    <w:p>
      <w:pPr>
        <w:pStyle w:val="BodyText"/>
        <w:tabs>
          <w:tab w:pos="2399" w:val="left" w:leader="none"/>
        </w:tabs>
        <w:ind w:left="820"/>
      </w:pPr>
      <w:r>
        <w:rPr/>
        <w:t>&lt;</w:t>
        <w:tab/>
        <w:t>Less</w:t>
      </w:r>
      <w:r>
        <w:rPr>
          <w:spacing w:val="-4"/>
        </w:rPr>
        <w:t> </w:t>
      </w:r>
      <w:r>
        <w:rPr/>
        <w:t>than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399" w:val="left" w:leader="none"/>
        </w:tabs>
        <w:ind w:left="820"/>
      </w:pPr>
      <w:r>
        <w:rPr/>
        <w:t>&gt;</w:t>
        <w:tab/>
        <w:t>Greater</w:t>
      </w:r>
      <w:r>
        <w:rPr>
          <w:spacing w:val="-7"/>
        </w:rPr>
        <w:t> </w:t>
      </w:r>
      <w:r>
        <w:rPr/>
        <w:t>than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399" w:val="left" w:leader="none"/>
        </w:tabs>
        <w:ind w:left="820"/>
      </w:pPr>
      <w:r>
        <w:rPr/>
        <w:t>=</w:t>
        <w:tab/>
        <w:t>Equal</w:t>
      </w:r>
      <w:r>
        <w:rPr>
          <w:spacing w:val="-8"/>
        </w:rPr>
        <w:t> </w:t>
      </w:r>
      <w:r>
        <w:rPr/>
        <w:t>to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2399" w:val="left" w:leader="none"/>
        </w:tabs>
        <w:spacing w:line="535" w:lineRule="auto" w:before="1"/>
        <w:ind w:left="2442" w:right="4105" w:hanging="1623"/>
      </w:pPr>
      <w:r>
        <w:rPr/>
        <w:t>5-Br-PAPS</w:t>
        <w:tab/>
        <w:t>2-(5-Bromo-2-pyridiylazo)-5-[N-n-propyl-N-(3-</w:t>
      </w:r>
      <w:r>
        <w:rPr>
          <w:spacing w:val="1"/>
        </w:rPr>
        <w:t> </w:t>
      </w:r>
      <w:r>
        <w:rPr/>
        <w:t>sulfopropyl)</w:t>
      </w:r>
      <w:r>
        <w:rPr>
          <w:spacing w:val="-5"/>
        </w:rPr>
        <w:t> </w:t>
      </w:r>
      <w:r>
        <w:rPr/>
        <w:t>amino]</w:t>
      </w:r>
      <w:r>
        <w:rPr>
          <w:spacing w:val="-4"/>
        </w:rPr>
        <w:t> </w:t>
      </w:r>
      <w:r>
        <w:rPr/>
        <w:t>phenol,</w:t>
      </w:r>
      <w:r>
        <w:rPr>
          <w:spacing w:val="-3"/>
        </w:rPr>
        <w:t> </w:t>
      </w:r>
      <w:r>
        <w:rPr/>
        <w:t>disodium</w:t>
      </w:r>
      <w:r>
        <w:rPr>
          <w:spacing w:val="-9"/>
        </w:rPr>
        <w:t> </w:t>
      </w:r>
      <w:r>
        <w:rPr/>
        <w:t>salt,</w:t>
      </w:r>
      <w:r>
        <w:rPr>
          <w:spacing w:val="-3"/>
        </w:rPr>
        <w:t> </w:t>
      </w:r>
      <w:r>
        <w:rPr/>
        <w:t>dihydrate</w:t>
      </w:r>
    </w:p>
    <w:p>
      <w:pPr>
        <w:pStyle w:val="BodyText"/>
        <w:tabs>
          <w:tab w:pos="2442" w:val="left" w:leader="none"/>
        </w:tabs>
        <w:spacing w:line="269" w:lineRule="exact"/>
        <w:ind w:left="820"/>
      </w:pPr>
      <w:r>
        <w:rPr/>
        <w:t>DiBr-PAESA</w:t>
        <w:tab/>
        <w:t>[4-(3,</w:t>
      </w:r>
      <w:r>
        <w:rPr>
          <w:spacing w:val="-13"/>
        </w:rPr>
        <w:t> </w:t>
      </w:r>
      <w:r>
        <w:rPr/>
        <w:t>5-dibromo-2-pyridylazo)-N-ethyl-N.sulfo-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1"/>
        <w:ind w:left="2442"/>
      </w:pPr>
      <w:r>
        <w:rPr/>
        <w:t>propylaniline]</w:t>
      </w:r>
      <w:r>
        <w:rPr>
          <w:spacing w:val="-4"/>
        </w:rPr>
        <w:t> </w:t>
      </w:r>
      <w:r>
        <w:rPr/>
        <w:t>α-</w:t>
      </w:r>
      <w:r>
        <w:rPr>
          <w:spacing w:val="-3"/>
        </w:rPr>
        <w:t> </w:t>
      </w:r>
      <w:r>
        <w:rPr/>
        <w:t>Alpha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2437" w:val="left" w:leader="none"/>
        </w:tabs>
        <w:spacing w:before="1"/>
        <w:ind w:left="820"/>
      </w:pPr>
      <w:r>
        <w:rPr/>
        <w:t>A</w:t>
        <w:tab/>
        <w:t>Absorbance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2423" w:val="left" w:leader="none"/>
        </w:tabs>
        <w:ind w:left="820"/>
      </w:pPr>
      <w:r>
        <w:rPr/>
        <w:t>AAG</w:t>
        <w:tab/>
        <w:t>Lysine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432" w:val="left" w:leader="none"/>
        </w:tabs>
        <w:spacing w:line="535" w:lineRule="auto"/>
        <w:ind w:left="820" w:right="4883"/>
        <w:jc w:val="both"/>
      </w:pPr>
      <w:r>
        <w:rPr/>
        <w:t>ABUTH</w:t>
        <w:tab/>
        <w:t>Ahmadu</w:t>
      </w:r>
      <w:r>
        <w:rPr>
          <w:spacing w:val="-5"/>
        </w:rPr>
        <w:t> </w:t>
      </w:r>
      <w:r>
        <w:rPr/>
        <w:t>Bello University</w:t>
      </w:r>
      <w:r>
        <w:rPr>
          <w:spacing w:val="-9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Hospital</w:t>
      </w:r>
      <w:r>
        <w:rPr>
          <w:spacing w:val="-58"/>
        </w:rPr>
        <w:t> </w:t>
      </w:r>
      <w:r>
        <w:rPr/>
        <w:t>ACS</w:t>
        <w:tab/>
        <w:t>Acute Chest</w:t>
      </w:r>
      <w:r>
        <w:rPr>
          <w:spacing w:val="6"/>
        </w:rPr>
        <w:t> </w:t>
      </w:r>
      <w:r>
        <w:rPr/>
        <w:t>Syndrome</w:t>
      </w:r>
    </w:p>
    <w:p>
      <w:pPr>
        <w:pStyle w:val="BodyText"/>
        <w:tabs>
          <w:tab w:pos="2403" w:val="left" w:leader="none"/>
        </w:tabs>
        <w:spacing w:line="535" w:lineRule="auto"/>
        <w:ind w:left="820" w:right="5291"/>
        <w:jc w:val="both"/>
      </w:pPr>
      <w:r>
        <w:rPr/>
        <w:t>ADHD</w:t>
        <w:tab/>
        <w:t>Attention</w:t>
      </w:r>
      <w:r>
        <w:rPr>
          <w:spacing w:val="-8"/>
        </w:rPr>
        <w:t> </w:t>
      </w:r>
      <w:r>
        <w:rPr/>
        <w:t>Deficit</w:t>
      </w:r>
      <w:r>
        <w:rPr>
          <w:spacing w:val="1"/>
        </w:rPr>
        <w:t> </w:t>
      </w:r>
      <w:r>
        <w:rPr/>
        <w:t>Hyperactivity</w:t>
      </w:r>
      <w:r>
        <w:rPr>
          <w:spacing w:val="-12"/>
        </w:rPr>
        <w:t> </w:t>
      </w:r>
      <w:r>
        <w:rPr/>
        <w:t>Disorder</w:t>
      </w:r>
      <w:r>
        <w:rPr>
          <w:spacing w:val="-58"/>
        </w:rPr>
        <w:t> </w:t>
      </w:r>
      <w:r>
        <w:rPr/>
        <w:t>AIDS</w:t>
        <w:tab/>
        <w:t>Acquired Immune Deficiency Syndrome</w:t>
      </w:r>
      <w:r>
        <w:rPr>
          <w:spacing w:val="-57"/>
        </w:rPr>
        <w:t> </w:t>
      </w:r>
      <w:r>
        <w:rPr/>
        <w:t>ANOVA</w:t>
        <w:tab/>
        <w:t>Analysis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Variance</w:t>
      </w:r>
    </w:p>
    <w:p>
      <w:pPr>
        <w:pStyle w:val="BodyText"/>
        <w:tabs>
          <w:tab w:pos="2456" w:val="left" w:leader="none"/>
        </w:tabs>
        <w:spacing w:line="273" w:lineRule="exact"/>
        <w:ind w:left="820"/>
        <w:jc w:val="both"/>
      </w:pPr>
      <w:r>
        <w:rPr/>
        <w:t>ATH</w:t>
        <w:tab/>
        <w:t>Adeno</w:t>
      </w:r>
      <w:r>
        <w:rPr>
          <w:spacing w:val="-1"/>
        </w:rPr>
        <w:t> </w:t>
      </w:r>
      <w:r>
        <w:rPr/>
        <w:t>Tonsillar</w:t>
      </w:r>
      <w:r>
        <w:rPr>
          <w:spacing w:val="-4"/>
        </w:rPr>
        <w:t> </w:t>
      </w:r>
      <w:r>
        <w:rPr/>
        <w:t>Hypertrophy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tabs>
          <w:tab w:pos="2475" w:val="left" w:leader="none"/>
        </w:tabs>
        <w:ind w:left="820"/>
      </w:pPr>
      <w:r>
        <w:rPr/>
        <w:t>ATP</w:t>
        <w:tab/>
        <w:t>Adenosine</w:t>
      </w:r>
      <w:r>
        <w:rPr>
          <w:spacing w:val="-6"/>
        </w:rPr>
        <w:t> </w:t>
      </w:r>
      <w:r>
        <w:rPr/>
        <w:t>Tri-Phosphate</w:t>
      </w:r>
    </w:p>
    <w:p>
      <w:pPr>
        <w:pStyle w:val="BodyText"/>
        <w:rPr>
          <w:sz w:val="29"/>
        </w:rPr>
      </w:pPr>
    </w:p>
    <w:p>
      <w:pPr>
        <w:pStyle w:val="BodyText"/>
        <w:tabs>
          <w:tab w:pos="2423" w:val="left" w:leader="none"/>
        </w:tabs>
        <w:ind w:left="820"/>
      </w:pPr>
      <w:r>
        <w:rPr/>
        <w:t>AVN</w:t>
        <w:tab/>
        <w:t>Avascular</w:t>
      </w:r>
      <w:r>
        <w:rPr>
          <w:spacing w:val="-6"/>
        </w:rPr>
        <w:t> </w:t>
      </w:r>
      <w:r>
        <w:rPr/>
        <w:t>Necrosis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423" w:val="left" w:leader="none"/>
        </w:tabs>
        <w:ind w:left="820"/>
      </w:pPr>
      <w:r>
        <w:rPr/>
        <w:t>Β</w:t>
        <w:tab/>
        <w:t>Beta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1539" w:val="left" w:leader="none"/>
          <w:tab w:pos="2404" w:val="left" w:leader="none"/>
        </w:tabs>
        <w:spacing w:line="535" w:lineRule="auto"/>
        <w:ind w:left="820" w:right="7726"/>
      </w:pPr>
      <w:r>
        <w:rPr/>
        <w:t>BC</w:t>
        <w:tab/>
        <w:tab/>
        <w:t>Before Christ</w:t>
      </w:r>
      <w:r>
        <w:rPr>
          <w:spacing w:val="1"/>
        </w:rPr>
        <w:t> </w:t>
      </w:r>
      <w:r>
        <w:rPr/>
        <w:t>BCG</w:t>
        <w:tab/>
        <w:t>Bacille</w:t>
      </w:r>
      <w:r>
        <w:rPr>
          <w:spacing w:val="-12"/>
        </w:rPr>
        <w:t> </w:t>
      </w:r>
      <w:r>
        <w:rPr/>
        <w:t>Calmette-Guerin</w:t>
      </w:r>
    </w:p>
    <w:p>
      <w:pPr>
        <w:spacing w:after="0" w:line="535" w:lineRule="auto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tabs>
          <w:tab w:pos="2423" w:val="left" w:leader="none"/>
        </w:tabs>
        <w:spacing w:before="67"/>
        <w:ind w:left="820"/>
      </w:pPr>
      <w:r>
        <w:rPr/>
        <w:t>BMT</w:t>
        <w:tab/>
        <w:t>Bone</w:t>
      </w:r>
      <w:r>
        <w:rPr>
          <w:spacing w:val="-5"/>
        </w:rPr>
        <w:t> </w:t>
      </w:r>
      <w:r>
        <w:rPr/>
        <w:t>Marrow</w:t>
      </w:r>
      <w:r>
        <w:rPr>
          <w:spacing w:val="-7"/>
        </w:rPr>
        <w:t> </w:t>
      </w:r>
      <w:r>
        <w:rPr/>
        <w:t>Transplant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399" w:val="left" w:leader="none"/>
        </w:tabs>
        <w:ind w:left="820"/>
      </w:pPr>
      <w:r>
        <w:rPr/>
        <w:t>Ca</w:t>
      </w:r>
      <w:r>
        <w:rPr>
          <w:vertAlign w:val="superscript"/>
        </w:rPr>
        <w:t>2+</w:t>
      </w:r>
      <w:r>
        <w:rPr>
          <w:vertAlign w:val="baseline"/>
        </w:rPr>
        <w:tab/>
        <w:t>Calcium</w:t>
      </w:r>
      <w:r>
        <w:rPr>
          <w:spacing w:val="-6"/>
          <w:vertAlign w:val="baseline"/>
        </w:rPr>
        <w:t> </w:t>
      </w:r>
      <w:r>
        <w:rPr>
          <w:vertAlign w:val="baseline"/>
        </w:rPr>
        <w:t>ion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413" w:val="left" w:leader="none"/>
        </w:tabs>
        <w:ind w:left="820"/>
      </w:pPr>
      <w:r>
        <w:rPr/>
        <w:t>CAG</w:t>
        <w:tab/>
        <w:t>Glutamine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442" w:val="left" w:leader="none"/>
        </w:tabs>
        <w:ind w:left="820"/>
      </w:pPr>
      <w:r>
        <w:rPr/>
        <w:t>CAL.</w:t>
        <w:tab/>
        <w:t>Calibrator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2399" w:val="left" w:leader="none"/>
        </w:tabs>
        <w:spacing w:before="1"/>
        <w:ind w:left="820"/>
      </w:pPr>
      <w:r>
        <w:rPr/>
        <w:t>CAR</w:t>
        <w:tab/>
        <w:t>Central</w:t>
      </w:r>
      <w:r>
        <w:rPr>
          <w:spacing w:val="-8"/>
        </w:rPr>
        <w:t> </w:t>
      </w:r>
      <w:r>
        <w:rPr/>
        <w:t>African</w:t>
      </w:r>
      <w:r>
        <w:rPr>
          <w:spacing w:val="-8"/>
        </w:rPr>
        <w:t> </w:t>
      </w:r>
      <w:r>
        <w:rPr/>
        <w:t>Republic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2384" w:val="left" w:leader="none"/>
        </w:tabs>
        <w:spacing w:before="1"/>
        <w:ind w:left="820"/>
      </w:pPr>
      <w:r>
        <w:rPr/>
        <w:t>CAT</w:t>
        <w:tab/>
        <w:t>Computed</w:t>
      </w:r>
      <w:r>
        <w:rPr>
          <w:spacing w:val="-2"/>
        </w:rPr>
        <w:t> </w:t>
      </w:r>
      <w:r>
        <w:rPr/>
        <w:t>Axial</w:t>
      </w:r>
      <w:r>
        <w:rPr>
          <w:spacing w:val="-10"/>
        </w:rPr>
        <w:t> </w:t>
      </w:r>
      <w:r>
        <w:rPr/>
        <w:t>Tomography</w:t>
      </w:r>
    </w:p>
    <w:p>
      <w:pPr>
        <w:pStyle w:val="BodyText"/>
        <w:rPr>
          <w:sz w:val="29"/>
        </w:rPr>
      </w:pPr>
    </w:p>
    <w:p>
      <w:pPr>
        <w:pStyle w:val="BodyText"/>
        <w:tabs>
          <w:tab w:pos="2384" w:val="left" w:leader="none"/>
        </w:tabs>
        <w:ind w:left="820"/>
      </w:pPr>
      <w:r>
        <w:rPr/>
        <w:t>CBC</w:t>
        <w:tab/>
        <w:t>Complete</w:t>
      </w:r>
      <w:r>
        <w:rPr>
          <w:spacing w:val="-5"/>
        </w:rPr>
        <w:t> </w:t>
      </w:r>
      <w:r>
        <w:rPr/>
        <w:t>blood</w:t>
      </w:r>
      <w:r>
        <w:rPr>
          <w:spacing w:val="-5"/>
        </w:rPr>
        <w:t> </w:t>
      </w:r>
      <w:r>
        <w:rPr/>
        <w:t>count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423" w:val="left" w:leader="none"/>
        </w:tabs>
        <w:spacing w:line="535" w:lineRule="auto"/>
        <w:ind w:left="820" w:right="3801"/>
      </w:pPr>
      <w:r>
        <w:rPr/>
        <w:t>CEMAT</w:t>
        <w:tab/>
        <w:t>Canadian</w:t>
      </w:r>
      <w:r>
        <w:rPr>
          <w:spacing w:val="-9"/>
        </w:rPr>
        <w:t> </w:t>
      </w:r>
      <w:r>
        <w:rPr/>
        <w:t>Early</w:t>
      </w:r>
      <w:r>
        <w:rPr>
          <w:spacing w:val="-8"/>
        </w:rPr>
        <w:t> </w:t>
      </w:r>
      <w:r>
        <w:rPr/>
        <w:t>and</w:t>
      </w:r>
      <w:r>
        <w:rPr>
          <w:spacing w:val="-3"/>
        </w:rPr>
        <w:t> </w:t>
      </w:r>
      <w:r>
        <w:rPr/>
        <w:t>Mid-Trimester</w:t>
      </w:r>
      <w:r>
        <w:rPr>
          <w:spacing w:val="-3"/>
        </w:rPr>
        <w:t> </w:t>
      </w:r>
      <w:r>
        <w:rPr/>
        <w:t>Aminocentesis</w:t>
      </w:r>
      <w:r>
        <w:rPr>
          <w:spacing w:val="-5"/>
        </w:rPr>
        <w:t> </w:t>
      </w:r>
      <w:r>
        <w:rPr/>
        <w:t>Trial</w:t>
      </w:r>
      <w:r>
        <w:rPr>
          <w:spacing w:val="-57"/>
        </w:rPr>
        <w:t> </w:t>
      </w:r>
      <w:r>
        <w:rPr/>
        <w:t>Cl</w:t>
      </w:r>
      <w:r>
        <w:rPr>
          <w:vertAlign w:val="superscript"/>
        </w:rPr>
        <w:t>-</w:t>
      </w:r>
      <w:r>
        <w:rPr>
          <w:vertAlign w:val="baseline"/>
        </w:rPr>
        <w:tab/>
        <w:t>Chloride</w:t>
      </w:r>
      <w:r>
        <w:rPr>
          <w:spacing w:val="5"/>
          <w:vertAlign w:val="baseline"/>
        </w:rPr>
        <w:t> </w:t>
      </w:r>
      <w:r>
        <w:rPr>
          <w:vertAlign w:val="baseline"/>
        </w:rPr>
        <w:t>ion</w:t>
      </w:r>
    </w:p>
    <w:p>
      <w:pPr>
        <w:pStyle w:val="BodyText"/>
        <w:tabs>
          <w:tab w:pos="2413" w:val="left" w:leader="none"/>
        </w:tabs>
        <w:spacing w:line="535" w:lineRule="auto"/>
        <w:ind w:left="820" w:right="5226"/>
      </w:pPr>
      <w:r>
        <w:rPr/>
        <w:t>CSSCD</w:t>
        <w:tab/>
        <w:t>Cooperative</w:t>
      </w:r>
      <w:r>
        <w:rPr>
          <w:spacing w:val="-3"/>
        </w:rPr>
        <w:t> </w:t>
      </w:r>
      <w:r>
        <w:rPr/>
        <w:t>Study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Sickle</w:t>
      </w:r>
      <w:r>
        <w:rPr>
          <w:spacing w:val="-3"/>
        </w:rPr>
        <w:t> </w:t>
      </w:r>
      <w:r>
        <w:rPr/>
        <w:t>Cell Disease</w:t>
      </w:r>
      <w:r>
        <w:rPr>
          <w:spacing w:val="-57"/>
        </w:rPr>
        <w:t> </w:t>
      </w:r>
      <w:r>
        <w:rPr/>
        <w:t>Cu</w:t>
      </w:r>
      <w:r>
        <w:rPr>
          <w:vertAlign w:val="superscript"/>
        </w:rPr>
        <w:t>2+</w:t>
      </w:r>
      <w:r>
        <w:rPr>
          <w:vertAlign w:val="baseline"/>
        </w:rPr>
        <w:tab/>
        <w:t>Copper</w:t>
      </w:r>
      <w:r>
        <w:rPr>
          <w:spacing w:val="2"/>
          <w:vertAlign w:val="baseline"/>
        </w:rPr>
        <w:t> </w:t>
      </w:r>
      <w:r>
        <w:rPr>
          <w:vertAlign w:val="baseline"/>
        </w:rPr>
        <w:t>ion</w:t>
      </w:r>
    </w:p>
    <w:p>
      <w:pPr>
        <w:pStyle w:val="BodyText"/>
        <w:tabs>
          <w:tab w:pos="2413" w:val="left" w:leader="none"/>
        </w:tabs>
        <w:spacing w:line="274" w:lineRule="exact"/>
        <w:ind w:left="820"/>
      </w:pPr>
      <w:r>
        <w:rPr/>
        <w:t>CVA</w:t>
        <w:tab/>
        <w:t>Cerebrovascular</w:t>
      </w:r>
      <w:r>
        <w:rPr>
          <w:spacing w:val="-7"/>
        </w:rPr>
        <w:t> </w:t>
      </w:r>
      <w:r>
        <w:rPr/>
        <w:t>Accident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tabs>
          <w:tab w:pos="2432" w:val="left" w:leader="none"/>
        </w:tabs>
        <w:spacing w:before="1"/>
        <w:ind w:left="820"/>
      </w:pPr>
      <w:r>
        <w:rPr/>
        <w:t>CVS</w:t>
        <w:tab/>
        <w:t>Chorionic</w:t>
      </w:r>
      <w:r>
        <w:rPr>
          <w:spacing w:val="-7"/>
        </w:rPr>
        <w:t> </w:t>
      </w:r>
      <w:r>
        <w:rPr/>
        <w:t>villous</w:t>
      </w:r>
      <w:r>
        <w:rPr>
          <w:spacing w:val="-8"/>
        </w:rPr>
        <w:t> </w:t>
      </w:r>
      <w:r>
        <w:rPr/>
        <w:t>sampling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2437" w:val="left" w:leader="none"/>
        </w:tabs>
        <w:spacing w:before="1"/>
        <w:ind w:left="820"/>
      </w:pPr>
      <w:r>
        <w:rPr/>
        <w:t>δ</w:t>
        <w:tab/>
        <w:t>Delta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2389" w:val="left" w:leader="none"/>
        </w:tabs>
        <w:ind w:left="820"/>
      </w:pPr>
      <w:r>
        <w:rPr/>
        <w:t>DALY</w:t>
        <w:tab/>
        <w:t>Disability</w:t>
      </w:r>
      <w:r>
        <w:rPr>
          <w:spacing w:val="-8"/>
        </w:rPr>
        <w:t> </w:t>
      </w:r>
      <w:r>
        <w:rPr/>
        <w:t>Adjusted</w:t>
      </w:r>
      <w:r>
        <w:rPr>
          <w:spacing w:val="-3"/>
        </w:rPr>
        <w:t> </w:t>
      </w:r>
      <w:r>
        <w:rPr/>
        <w:t>Life</w:t>
      </w:r>
      <w:r>
        <w:rPr>
          <w:spacing w:val="-4"/>
        </w:rPr>
        <w:t> </w:t>
      </w:r>
      <w:r>
        <w:rPr/>
        <w:t>Years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365" w:val="left" w:leader="none"/>
        </w:tabs>
        <w:ind w:left="820"/>
      </w:pPr>
      <w:r>
        <w:rPr/>
        <w:t>DNA</w:t>
        <w:tab/>
        <w:t>deoxyribonucleic</w:t>
      </w:r>
      <w:r>
        <w:rPr>
          <w:spacing w:val="-10"/>
        </w:rPr>
        <w:t> </w:t>
      </w:r>
      <w:r>
        <w:rPr/>
        <w:t>acid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355" w:val="left" w:leader="none"/>
        </w:tabs>
        <w:ind w:left="820"/>
      </w:pPr>
      <w:r>
        <w:rPr/>
        <w:t>DMSA</w:t>
        <w:tab/>
        <w:t>Dimercaptosuccinic</w:t>
      </w:r>
      <w:r>
        <w:rPr>
          <w:spacing w:val="-9"/>
        </w:rPr>
        <w:t> </w:t>
      </w:r>
      <w:r>
        <w:rPr/>
        <w:t>acid</w:t>
      </w:r>
    </w:p>
    <w:p>
      <w:pPr>
        <w:pStyle w:val="BodyText"/>
        <w:rPr>
          <w:sz w:val="29"/>
        </w:rPr>
      </w:pPr>
    </w:p>
    <w:p>
      <w:pPr>
        <w:pStyle w:val="BodyText"/>
        <w:tabs>
          <w:tab w:pos="2336" w:val="left" w:leader="none"/>
        </w:tabs>
        <w:spacing w:line="535" w:lineRule="auto" w:before="1"/>
        <w:ind w:left="820" w:right="4007"/>
      </w:pPr>
      <w:r>
        <w:rPr/>
        <w:t>DTwp</w:t>
        <w:tab/>
        <w:t>Diphtheria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tetanus</w:t>
      </w:r>
      <w:r>
        <w:rPr>
          <w:spacing w:val="-5"/>
        </w:rPr>
        <w:t> </w:t>
      </w:r>
      <w:r>
        <w:rPr/>
        <w:t>toxoid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whole</w:t>
      </w:r>
      <w:r>
        <w:rPr>
          <w:spacing w:val="-4"/>
        </w:rPr>
        <w:t> </w:t>
      </w:r>
      <w:r>
        <w:rPr/>
        <w:t>cell</w:t>
      </w:r>
      <w:r>
        <w:rPr>
          <w:spacing w:val="-11"/>
        </w:rPr>
        <w:t> </w:t>
      </w:r>
      <w:r>
        <w:rPr/>
        <w:t>pertussis</w:t>
      </w:r>
      <w:r>
        <w:rPr>
          <w:spacing w:val="-57"/>
        </w:rPr>
        <w:t> </w:t>
      </w:r>
      <w:r>
        <w:rPr/>
        <w:t>EDTA</w:t>
        <w:tab/>
        <w:t>Ethylene Diamine Tetra Acetic</w:t>
      </w:r>
      <w:r>
        <w:rPr>
          <w:spacing w:val="5"/>
        </w:rPr>
        <w:t> </w:t>
      </w:r>
      <w:r>
        <w:rPr/>
        <w:t>Acid</w:t>
      </w:r>
    </w:p>
    <w:p>
      <w:pPr>
        <w:pStyle w:val="BodyText"/>
        <w:tabs>
          <w:tab w:pos="2360" w:val="left" w:leader="none"/>
        </w:tabs>
        <w:spacing w:line="535" w:lineRule="auto"/>
        <w:ind w:left="820" w:right="5916"/>
      </w:pPr>
      <w:r>
        <w:rPr/>
        <w:t>EGTA</w:t>
        <w:tab/>
        <w:t>Ethylene</w:t>
      </w:r>
      <w:r>
        <w:rPr>
          <w:spacing w:val="-2"/>
        </w:rPr>
        <w:t> </w:t>
      </w:r>
      <w:r>
        <w:rPr/>
        <w:t>Glycol</w:t>
      </w:r>
      <w:r>
        <w:rPr>
          <w:spacing w:val="-9"/>
        </w:rPr>
        <w:t> </w:t>
      </w:r>
      <w:r>
        <w:rPr/>
        <w:t>Tetra</w:t>
      </w:r>
      <w:r>
        <w:rPr>
          <w:spacing w:val="-7"/>
        </w:rPr>
        <w:t> </w:t>
      </w:r>
      <w:r>
        <w:rPr/>
        <w:t>Acetic</w:t>
      </w:r>
      <w:r>
        <w:rPr>
          <w:spacing w:val="-1"/>
        </w:rPr>
        <w:t> </w:t>
      </w:r>
      <w:r>
        <w:rPr/>
        <w:t>Acid</w:t>
      </w:r>
      <w:r>
        <w:rPr>
          <w:spacing w:val="-57"/>
        </w:rPr>
        <w:t> </w:t>
      </w:r>
      <w:r>
        <w:rPr/>
        <w:t>Fe</w:t>
      </w:r>
      <w:r>
        <w:rPr>
          <w:vertAlign w:val="superscript"/>
        </w:rPr>
        <w:t>2+</w:t>
      </w:r>
      <w:r>
        <w:rPr>
          <w:vertAlign w:val="baseline"/>
        </w:rPr>
        <w:tab/>
        <w:t>Iron</w:t>
      </w:r>
      <w:r>
        <w:rPr>
          <w:spacing w:val="1"/>
          <w:vertAlign w:val="baseline"/>
        </w:rPr>
        <w:t> </w:t>
      </w:r>
      <w:r>
        <w:rPr>
          <w:vertAlign w:val="baseline"/>
        </w:rPr>
        <w:t>ion</w:t>
      </w:r>
    </w:p>
    <w:p>
      <w:pPr>
        <w:spacing w:after="0" w:line="535" w:lineRule="auto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tabs>
          <w:tab w:pos="2370" w:val="left" w:leader="none"/>
        </w:tabs>
        <w:spacing w:before="67"/>
        <w:ind w:left="820"/>
      </w:pPr>
      <w:r>
        <w:rPr/>
        <w:t>γ</w:t>
        <w:tab/>
        <w:t>Gamma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384" w:val="left" w:leader="none"/>
        </w:tabs>
        <w:ind w:left="820"/>
      </w:pPr>
      <w:r>
        <w:rPr/>
        <w:t>GDP</w:t>
        <w:tab/>
        <w:t>Gross</w:t>
      </w:r>
      <w:r>
        <w:rPr>
          <w:spacing w:val="-5"/>
        </w:rPr>
        <w:t> </w:t>
      </w:r>
      <w:r>
        <w:rPr/>
        <w:t>domestic</w:t>
      </w:r>
      <w:r>
        <w:rPr>
          <w:spacing w:val="-4"/>
        </w:rPr>
        <w:t> </w:t>
      </w:r>
      <w:r>
        <w:rPr/>
        <w:t>product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365" w:val="left" w:leader="none"/>
        </w:tabs>
        <w:ind w:left="820"/>
      </w:pPr>
      <w:r>
        <w:rPr/>
        <w:t>GAG</w:t>
        <w:tab/>
        <w:t>Glutamic</w:t>
      </w:r>
      <w:r>
        <w:rPr>
          <w:spacing w:val="-7"/>
        </w:rPr>
        <w:t> </w:t>
      </w:r>
      <w:r>
        <w:rPr/>
        <w:t>acid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399" w:val="left" w:leader="none"/>
        </w:tabs>
        <w:ind w:left="820"/>
      </w:pPr>
      <w:r>
        <w:rPr/>
        <w:t>GTG</w:t>
        <w:tab/>
        <w:t>Valine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2437" w:val="left" w:leader="none"/>
        </w:tabs>
        <w:spacing w:before="1"/>
        <w:ind w:left="820"/>
      </w:pPr>
      <w:r>
        <w:rPr/>
        <w:t>Hb</w:t>
        <w:tab/>
        <w:t>Haemoglobin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2369" w:val="left" w:leader="none"/>
        </w:tabs>
        <w:spacing w:before="1"/>
        <w:ind w:left="820"/>
      </w:pPr>
      <w:r>
        <w:rPr/>
        <w:t>HbA</w:t>
        <w:tab/>
        <w:t>Haemoglobin</w:t>
      </w:r>
      <w:r>
        <w:rPr>
          <w:spacing w:val="-10"/>
        </w:rPr>
        <w:t> </w:t>
      </w:r>
      <w:r>
        <w:rPr/>
        <w:t>A</w:t>
      </w:r>
    </w:p>
    <w:p>
      <w:pPr>
        <w:pStyle w:val="BodyText"/>
        <w:rPr>
          <w:sz w:val="29"/>
        </w:rPr>
      </w:pPr>
    </w:p>
    <w:p>
      <w:pPr>
        <w:pStyle w:val="BodyText"/>
        <w:tabs>
          <w:tab w:pos="2355" w:val="left" w:leader="none"/>
        </w:tabs>
        <w:ind w:left="820"/>
      </w:pPr>
      <w:r>
        <w:rPr/>
        <w:t>HbC</w:t>
        <w:tab/>
      </w:r>
      <w:r>
        <w:rPr>
          <w:spacing w:val="-1"/>
        </w:rPr>
        <w:t>Haemoglobin</w:t>
      </w:r>
      <w:r>
        <w:rPr>
          <w:spacing w:val="-5"/>
        </w:rPr>
        <w:t> </w:t>
      </w:r>
      <w:r>
        <w:rPr/>
        <w:t>C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370" w:val="left" w:leader="none"/>
        </w:tabs>
        <w:ind w:left="820"/>
      </w:pPr>
      <w:r>
        <w:rPr/>
        <w:t>HbD</w:t>
        <w:tab/>
        <w:t>Haemoglobin</w:t>
      </w:r>
      <w:r>
        <w:rPr>
          <w:spacing w:val="-15"/>
        </w:rPr>
        <w:t> </w:t>
      </w:r>
      <w:r>
        <w:rPr/>
        <w:t>D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2389" w:val="left" w:leader="none"/>
        </w:tabs>
        <w:spacing w:before="1"/>
        <w:ind w:left="820"/>
      </w:pPr>
      <w:r>
        <w:rPr/>
        <w:t>HbF</w:t>
        <w:tab/>
        <w:t>Haemoglobin</w:t>
      </w:r>
      <w:r>
        <w:rPr>
          <w:spacing w:val="-11"/>
        </w:rPr>
        <w:t> </w:t>
      </w:r>
      <w:r>
        <w:rPr/>
        <w:t>F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2370" w:val="left" w:leader="none"/>
        </w:tabs>
        <w:spacing w:before="1"/>
        <w:ind w:left="820"/>
      </w:pPr>
      <w:r>
        <w:rPr/>
        <w:t>HbH</w:t>
        <w:tab/>
        <w:t>Haemoglobin</w:t>
      </w:r>
      <w:r>
        <w:rPr>
          <w:spacing w:val="-15"/>
        </w:rPr>
        <w:t> </w:t>
      </w:r>
      <w:r>
        <w:rPr/>
        <w:t>H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2432" w:val="left" w:leader="none"/>
        </w:tabs>
        <w:spacing w:before="1"/>
        <w:ind w:left="820"/>
      </w:pPr>
      <w:r>
        <w:rPr/>
        <w:t>HbO</w:t>
        <w:tab/>
      </w:r>
      <w:r>
        <w:rPr>
          <w:spacing w:val="-1"/>
        </w:rPr>
        <w:t>Haemoglobin</w:t>
      </w:r>
      <w:r>
        <w:rPr>
          <w:spacing w:val="-9"/>
        </w:rPr>
        <w:t> </w:t>
      </w:r>
      <w:r>
        <w:rPr/>
        <w:t>O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2451" w:val="left" w:leader="none"/>
        </w:tabs>
        <w:spacing w:before="1"/>
        <w:ind w:left="820"/>
      </w:pPr>
      <w:r>
        <w:rPr/>
        <w:t>HbS</w:t>
        <w:tab/>
      </w:r>
      <w:r>
        <w:rPr>
          <w:spacing w:val="-1"/>
        </w:rPr>
        <w:t>Haemoglobin</w:t>
      </w:r>
      <w:r>
        <w:rPr>
          <w:spacing w:val="-9"/>
        </w:rPr>
        <w:t> </w:t>
      </w:r>
      <w:r>
        <w:rPr/>
        <w:t>S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2404" w:val="left" w:leader="none"/>
        </w:tabs>
        <w:ind w:left="820"/>
      </w:pPr>
      <w:r>
        <w:rPr/>
        <w:t>HDAC</w:t>
        <w:tab/>
        <w:t>Histone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Acetylase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399" w:val="left" w:leader="none"/>
        </w:tabs>
        <w:ind w:left="820"/>
      </w:pPr>
      <w:r>
        <w:rPr/>
        <w:t>HDL</w:t>
        <w:tab/>
        <w:t>High</w:t>
      </w:r>
      <w:r>
        <w:rPr>
          <w:spacing w:val="-7"/>
        </w:rPr>
        <w:t> </w:t>
      </w:r>
      <w:r>
        <w:rPr/>
        <w:t>density</w:t>
      </w:r>
      <w:r>
        <w:rPr>
          <w:spacing w:val="-7"/>
        </w:rPr>
        <w:t> </w:t>
      </w:r>
      <w:r>
        <w:rPr/>
        <w:t>lipoprotein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403" w:val="left" w:leader="none"/>
        </w:tabs>
        <w:ind w:left="820"/>
      </w:pPr>
      <w:r>
        <w:rPr/>
        <w:t>HepB</w:t>
        <w:tab/>
        <w:t>Hepatitis</w:t>
      </w:r>
      <w:r>
        <w:rPr>
          <w:spacing w:val="-4"/>
        </w:rPr>
        <w:t> </w:t>
      </w:r>
      <w:r>
        <w:rPr/>
        <w:t>B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451" w:val="left" w:leader="none"/>
        </w:tabs>
        <w:ind w:left="820"/>
      </w:pPr>
      <w:r>
        <w:rPr/>
        <w:t>HIV</w:t>
        <w:tab/>
        <w:t>Human</w:t>
      </w:r>
      <w:r>
        <w:rPr>
          <w:spacing w:val="-9"/>
        </w:rPr>
        <w:t> </w:t>
      </w:r>
      <w:r>
        <w:rPr/>
        <w:t>Immuno</w:t>
      </w:r>
      <w:r>
        <w:rPr>
          <w:spacing w:val="1"/>
        </w:rPr>
        <w:t> </w:t>
      </w:r>
      <w:r>
        <w:rPr/>
        <w:t>Deficiency</w:t>
      </w:r>
      <w:r>
        <w:rPr>
          <w:spacing w:val="-12"/>
        </w:rPr>
        <w:t> </w:t>
      </w:r>
      <w:r>
        <w:rPr/>
        <w:t>Virus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437" w:val="left" w:leader="none"/>
        </w:tabs>
        <w:ind w:left="820"/>
      </w:pPr>
      <w:r>
        <w:rPr/>
        <w:t>IM</w:t>
        <w:tab/>
        <w:t>Intramuscular</w:t>
      </w:r>
    </w:p>
    <w:p>
      <w:pPr>
        <w:pStyle w:val="BodyText"/>
        <w:rPr>
          <w:sz w:val="29"/>
        </w:rPr>
      </w:pPr>
    </w:p>
    <w:p>
      <w:pPr>
        <w:pStyle w:val="BodyText"/>
        <w:tabs>
          <w:tab w:pos="2427" w:val="left" w:leader="none"/>
        </w:tabs>
        <w:ind w:left="820"/>
      </w:pPr>
      <w:r>
        <w:rPr/>
        <w:t>ISCs</w:t>
        <w:tab/>
        <w:t>Irreversibly</w:t>
      </w:r>
      <w:r>
        <w:rPr>
          <w:spacing w:val="-13"/>
        </w:rPr>
        <w:t> </w:t>
      </w:r>
      <w:r>
        <w:rPr/>
        <w:t>Sickled</w:t>
      </w:r>
      <w:r>
        <w:rPr>
          <w:spacing w:val="-4"/>
        </w:rPr>
        <w:t> </w:t>
      </w:r>
      <w:r>
        <w:rPr/>
        <w:t>Cells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394" w:val="left" w:leader="none"/>
        </w:tabs>
        <w:ind w:left="820"/>
      </w:pPr>
      <w:r>
        <w:rPr/>
        <w:t>IV</w:t>
        <w:tab/>
        <w:t>Intravenous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408" w:val="left" w:leader="none"/>
        </w:tabs>
        <w:ind w:left="820"/>
      </w:pPr>
      <w:r>
        <w:rPr/>
        <w:t>K</w:t>
      </w:r>
      <w:r>
        <w:rPr>
          <w:vertAlign w:val="superscript"/>
        </w:rPr>
        <w:t>+</w:t>
      </w:r>
      <w:r>
        <w:rPr>
          <w:vertAlign w:val="baseline"/>
        </w:rPr>
        <w:tab/>
        <w:t>Potassium</w:t>
      </w:r>
      <w:r>
        <w:rPr>
          <w:spacing w:val="-6"/>
          <w:vertAlign w:val="baseline"/>
        </w:rPr>
        <w:t> </w:t>
      </w:r>
      <w:r>
        <w:rPr>
          <w:vertAlign w:val="baseline"/>
        </w:rPr>
        <w:t>ion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398" w:val="left" w:leader="none"/>
        </w:tabs>
        <w:ind w:left="820"/>
      </w:pPr>
      <w:r>
        <w:rPr/>
        <w:t>KCC</w:t>
        <w:tab/>
        <w:t>Potassium</w:t>
      </w:r>
      <w:r>
        <w:rPr>
          <w:spacing w:val="-7"/>
        </w:rPr>
        <w:t> </w:t>
      </w:r>
      <w:r>
        <w:rPr/>
        <w:t>chloride</w:t>
      </w:r>
      <w:r>
        <w:rPr>
          <w:spacing w:val="-5"/>
        </w:rPr>
        <w:t> </w:t>
      </w:r>
      <w:r>
        <w:rPr/>
        <w:t>co-transporter</w:t>
      </w:r>
    </w:p>
    <w:p>
      <w:pPr>
        <w:spacing w:after="0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tabs>
          <w:tab w:pos="2441" w:val="left" w:leader="none"/>
        </w:tabs>
        <w:spacing w:before="67"/>
        <w:ind w:left="820"/>
      </w:pPr>
      <w:r>
        <w:rPr/>
        <w:t>K-Cl</w:t>
        <w:tab/>
        <w:t>Potassium</w:t>
      </w:r>
      <w:r>
        <w:rPr>
          <w:spacing w:val="-8"/>
        </w:rPr>
        <w:t> </w:t>
      </w:r>
      <w:r>
        <w:rPr/>
        <w:t>chloride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423" w:val="left" w:leader="none"/>
        </w:tabs>
        <w:ind w:left="820"/>
      </w:pPr>
      <w:r>
        <w:rPr/>
        <w:t>KHCO</w:t>
      </w:r>
      <w:r>
        <w:rPr>
          <w:vertAlign w:val="subscript"/>
        </w:rPr>
        <w:t>3</w:t>
      </w:r>
      <w:r>
        <w:rPr>
          <w:vertAlign w:val="baseline"/>
        </w:rPr>
        <w:tab/>
        <w:t>Potassium</w:t>
      </w:r>
      <w:r>
        <w:rPr>
          <w:spacing w:val="-8"/>
          <w:vertAlign w:val="baseline"/>
        </w:rPr>
        <w:t> </w:t>
      </w:r>
      <w:r>
        <w:rPr>
          <w:vertAlign w:val="baseline"/>
        </w:rPr>
        <w:t>bicarbonate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432" w:val="left" w:leader="none"/>
        </w:tabs>
        <w:ind w:left="820"/>
      </w:pPr>
      <w:r>
        <w:rPr/>
        <w:t>LDL</w:t>
        <w:tab/>
        <w:t>low</w:t>
      </w:r>
      <w:r>
        <w:rPr>
          <w:spacing w:val="-4"/>
        </w:rPr>
        <w:t> </w:t>
      </w:r>
      <w:r>
        <w:rPr/>
        <w:t>density</w:t>
      </w:r>
      <w:r>
        <w:rPr>
          <w:spacing w:val="-8"/>
        </w:rPr>
        <w:t> </w:t>
      </w:r>
      <w:r>
        <w:rPr/>
        <w:t>lipoprotein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451" w:val="left" w:leader="none"/>
        </w:tabs>
        <w:ind w:left="820"/>
      </w:pPr>
      <w:r>
        <w:rPr/>
        <w:t>MCH</w:t>
        <w:tab/>
        <w:t>Mean</w:t>
      </w:r>
      <w:r>
        <w:rPr>
          <w:spacing w:val="-10"/>
        </w:rPr>
        <w:t> </w:t>
      </w:r>
      <w:r>
        <w:rPr/>
        <w:t>corpuscular</w:t>
      </w:r>
      <w:r>
        <w:rPr>
          <w:spacing w:val="-4"/>
        </w:rPr>
        <w:t> </w:t>
      </w:r>
      <w:r>
        <w:rPr/>
        <w:t>haemoglobin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2432" w:val="left" w:leader="none"/>
        </w:tabs>
        <w:spacing w:line="532" w:lineRule="auto" w:before="1"/>
        <w:ind w:left="820" w:right="4592"/>
      </w:pPr>
      <w:r>
        <w:rPr/>
        <w:t>MCHC</w:t>
        <w:tab/>
        <w:t>Mean corpuscular haemoglobin concentration</w:t>
      </w:r>
      <w:r>
        <w:rPr>
          <w:spacing w:val="1"/>
        </w:rPr>
        <w:t> </w:t>
      </w:r>
      <w:r>
        <w:rPr/>
        <w:t>MCV</w:t>
        <w:tab/>
        <w:t>Mean</w:t>
      </w:r>
      <w:r>
        <w:rPr>
          <w:spacing w:val="-8"/>
        </w:rPr>
        <w:t> </w:t>
      </w:r>
      <w:r>
        <w:rPr/>
        <w:t>Corpuscular</w:t>
      </w:r>
      <w:r>
        <w:rPr>
          <w:spacing w:val="-2"/>
        </w:rPr>
        <w:t> </w:t>
      </w:r>
      <w:r>
        <w:rPr/>
        <w:t>volume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mean</w:t>
      </w:r>
      <w:r>
        <w:rPr>
          <w:spacing w:val="-7"/>
        </w:rPr>
        <w:t> </w:t>
      </w:r>
      <w:r>
        <w:rPr/>
        <w:t>cell</w:t>
      </w:r>
      <w:r>
        <w:rPr>
          <w:spacing w:val="-7"/>
        </w:rPr>
        <w:t> </w:t>
      </w:r>
      <w:r>
        <w:rPr/>
        <w:t>volume</w:t>
      </w:r>
      <w:r>
        <w:rPr>
          <w:spacing w:val="-57"/>
        </w:rPr>
        <w:t> </w:t>
      </w:r>
      <w:r>
        <w:rPr/>
        <w:t>MenAC</w:t>
        <w:tab/>
        <w:t>Meningococcal</w:t>
      </w:r>
      <w:r>
        <w:rPr>
          <w:spacing w:val="-3"/>
        </w:rPr>
        <w:t> </w:t>
      </w:r>
      <w:r>
        <w:rPr/>
        <w:t>AC</w:t>
      </w:r>
    </w:p>
    <w:p>
      <w:pPr>
        <w:pStyle w:val="BodyText"/>
        <w:tabs>
          <w:tab w:pos="2417" w:val="left" w:leader="none"/>
          <w:tab w:pos="2466" w:val="left" w:leader="none"/>
        </w:tabs>
        <w:spacing w:line="535" w:lineRule="auto"/>
        <w:ind w:left="820" w:right="6939"/>
      </w:pPr>
      <w:r>
        <w:rPr/>
        <w:t>MenACWY</w:t>
        <w:tab/>
      </w:r>
      <w:r>
        <w:rPr>
          <w:spacing w:val="-1"/>
        </w:rPr>
        <w:t>Meningococcal </w:t>
      </w:r>
      <w:r>
        <w:rPr/>
        <w:t>ACWY</w:t>
      </w:r>
      <w:r>
        <w:rPr>
          <w:spacing w:val="-57"/>
        </w:rPr>
        <w:t> </w:t>
      </w:r>
      <w:r>
        <w:rPr/>
        <w:t>Mg</w:t>
      </w:r>
      <w:r>
        <w:rPr>
          <w:vertAlign w:val="superscript"/>
        </w:rPr>
        <w:t>2+</w:t>
      </w:r>
      <w:r>
        <w:rPr>
          <w:vertAlign w:val="baseline"/>
        </w:rPr>
        <w:tab/>
        <w:tab/>
        <w:t>Magnesium</w:t>
      </w:r>
      <w:r>
        <w:rPr>
          <w:spacing w:val="-3"/>
          <w:vertAlign w:val="baseline"/>
        </w:rPr>
        <w:t> </w:t>
      </w:r>
      <w:r>
        <w:rPr>
          <w:vertAlign w:val="baseline"/>
        </w:rPr>
        <w:t>ion</w:t>
      </w:r>
    </w:p>
    <w:p>
      <w:pPr>
        <w:pStyle w:val="BodyText"/>
        <w:tabs>
          <w:tab w:pos="2519" w:val="left" w:leader="none"/>
        </w:tabs>
        <w:spacing w:line="274" w:lineRule="exact"/>
        <w:ind w:left="820"/>
      </w:pPr>
      <w:r>
        <w:rPr/>
        <w:t>ml</w:t>
        <w:tab/>
        <w:t>Millilitres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475" w:val="left" w:leader="none"/>
        </w:tabs>
        <w:ind w:left="820"/>
      </w:pPr>
      <w:r>
        <w:rPr/>
        <w:t>MRI</w:t>
        <w:tab/>
        <w:t>Magnetic</w:t>
      </w:r>
      <w:r>
        <w:rPr>
          <w:spacing w:val="-11"/>
        </w:rPr>
        <w:t> </w:t>
      </w:r>
      <w:r>
        <w:rPr/>
        <w:t>Resonance</w:t>
      </w:r>
      <w:r>
        <w:rPr>
          <w:spacing w:val="-11"/>
        </w:rPr>
        <w:t> </w:t>
      </w:r>
      <w:r>
        <w:rPr/>
        <w:t>Imaging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509" w:val="left" w:leader="none"/>
        </w:tabs>
        <w:ind w:left="820"/>
      </w:pPr>
      <w:r>
        <w:rPr/>
        <w:t>NMR</w:t>
        <w:tab/>
        <w:t>Nuclear</w:t>
      </w:r>
      <w:r>
        <w:rPr>
          <w:spacing w:val="-9"/>
        </w:rPr>
        <w:t> </w:t>
      </w:r>
      <w:r>
        <w:rPr/>
        <w:t>Magnetic</w:t>
      </w:r>
      <w:r>
        <w:rPr>
          <w:spacing w:val="-11"/>
        </w:rPr>
        <w:t> </w:t>
      </w:r>
      <w:r>
        <w:rPr/>
        <w:t>Resonance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490" w:val="left" w:leader="none"/>
        </w:tabs>
        <w:ind w:left="820"/>
      </w:pPr>
      <w:r>
        <w:rPr/>
        <w:t>NO</w:t>
        <w:tab/>
        <w:t>Nitric</w:t>
      </w:r>
      <w:r>
        <w:rPr>
          <w:spacing w:val="-6"/>
        </w:rPr>
        <w:t> </w:t>
      </w:r>
      <w:r>
        <w:rPr/>
        <w:t>oxide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442" w:val="left" w:leader="none"/>
          <w:tab w:pos="2504" w:val="left" w:leader="none"/>
        </w:tabs>
        <w:spacing w:line="535" w:lineRule="auto"/>
        <w:ind w:left="820" w:right="5184"/>
      </w:pPr>
      <w:r>
        <w:rPr/>
        <w:t>NPO</w:t>
        <w:tab/>
        <w:t>“</w:t>
      </w:r>
      <w:r>
        <w:rPr>
          <w:i/>
        </w:rPr>
        <w:t>Nil</w:t>
      </w:r>
      <w:r>
        <w:rPr>
          <w:i/>
          <w:spacing w:val="-3"/>
        </w:rPr>
        <w:t> </w:t>
      </w:r>
      <w:r>
        <w:rPr>
          <w:i/>
        </w:rPr>
        <w:t>per</w:t>
      </w:r>
      <w:r>
        <w:rPr>
          <w:i/>
          <w:spacing w:val="-4"/>
        </w:rPr>
        <w:t> </w:t>
      </w:r>
      <w:r>
        <w:rPr>
          <w:i/>
        </w:rPr>
        <w:t>os</w:t>
      </w:r>
      <w:r>
        <w:rPr/>
        <w:t>”- Latin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Nothing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Mouth</w:t>
      </w:r>
      <w:r>
        <w:rPr>
          <w:spacing w:val="-57"/>
        </w:rPr>
        <w:t> </w:t>
      </w:r>
      <w:r>
        <w:rPr/>
        <w:t>NSAID</w:t>
        <w:tab/>
        <w:tab/>
        <w:t>Non Steroidal Anti Inflammatory Drug</w:t>
      </w:r>
      <w:r>
        <w:rPr>
          <w:spacing w:val="1"/>
        </w:rPr>
        <w:t> </w:t>
      </w:r>
      <w:r>
        <w:rPr/>
        <w:t>OPV</w:t>
        <w:tab/>
        <w:tab/>
        <w:t>Oral</w:t>
      </w:r>
      <w:r>
        <w:rPr>
          <w:spacing w:val="-8"/>
        </w:rPr>
        <w:t> </w:t>
      </w:r>
      <w:r>
        <w:rPr/>
        <w:t>polio</w:t>
      </w:r>
      <w:r>
        <w:rPr>
          <w:spacing w:val="10"/>
        </w:rPr>
        <w:t> </w:t>
      </w:r>
      <w:r>
        <w:rPr/>
        <w:t>vaccine</w:t>
      </w:r>
    </w:p>
    <w:p>
      <w:pPr>
        <w:pStyle w:val="BodyText"/>
        <w:tabs>
          <w:tab w:pos="2504" w:val="left" w:leader="none"/>
        </w:tabs>
        <w:spacing w:line="273" w:lineRule="exact"/>
        <w:ind w:left="820"/>
      </w:pPr>
      <w:r>
        <w:rPr/>
        <w:t>OSA</w:t>
        <w:tab/>
        <w:t>Obstructive</w:t>
      </w:r>
      <w:r>
        <w:rPr>
          <w:spacing w:val="-6"/>
        </w:rPr>
        <w:t> </w:t>
      </w:r>
      <w:r>
        <w:rPr/>
        <w:t>Sleep</w:t>
      </w:r>
      <w:r>
        <w:rPr>
          <w:spacing w:val="-5"/>
        </w:rPr>
        <w:t> </w:t>
      </w:r>
      <w:r>
        <w:rPr/>
        <w:t>Apnoea</w:t>
      </w:r>
    </w:p>
    <w:p>
      <w:pPr>
        <w:pStyle w:val="BodyText"/>
        <w:rPr>
          <w:sz w:val="29"/>
        </w:rPr>
      </w:pPr>
    </w:p>
    <w:p>
      <w:pPr>
        <w:pStyle w:val="BodyText"/>
        <w:tabs>
          <w:tab w:pos="2504" w:val="left" w:leader="none"/>
        </w:tabs>
        <w:ind w:left="820"/>
      </w:pPr>
      <w:r>
        <w:rPr/>
        <w:t>PAH</w:t>
        <w:tab/>
        <w:t>Pulmonary</w:t>
      </w:r>
      <w:r>
        <w:rPr>
          <w:spacing w:val="-11"/>
        </w:rPr>
        <w:t> </w:t>
      </w:r>
      <w:r>
        <w:rPr/>
        <w:t>Arterial</w:t>
      </w:r>
      <w:r>
        <w:rPr>
          <w:spacing w:val="-9"/>
        </w:rPr>
        <w:t> </w:t>
      </w:r>
      <w:r>
        <w:rPr/>
        <w:t>Hypertension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370" w:val="left" w:leader="none"/>
        </w:tabs>
        <w:ind w:left="820"/>
      </w:pPr>
      <w:r>
        <w:rPr/>
        <w:t>PaO</w:t>
      </w:r>
      <w:r>
        <w:rPr>
          <w:vertAlign w:val="subscript"/>
        </w:rPr>
        <w:t>2</w:t>
      </w:r>
      <w:r>
        <w:rPr>
          <w:vertAlign w:val="baseline"/>
        </w:rPr>
        <w:tab/>
        <w:t>Partial</w:t>
      </w:r>
      <w:r>
        <w:rPr>
          <w:spacing w:val="-3"/>
          <w:vertAlign w:val="baseline"/>
        </w:rPr>
        <w:t> </w:t>
      </w:r>
      <w:r>
        <w:rPr>
          <w:vertAlign w:val="baseline"/>
        </w:rPr>
        <w:t>pressure of</w:t>
      </w:r>
      <w:r>
        <w:rPr>
          <w:spacing w:val="-7"/>
          <w:vertAlign w:val="baseline"/>
        </w:rPr>
        <w:t> </w:t>
      </w:r>
      <w:r>
        <w:rPr>
          <w:vertAlign w:val="baseline"/>
        </w:rPr>
        <w:t>arterial</w:t>
      </w:r>
      <w:r>
        <w:rPr>
          <w:spacing w:val="-3"/>
          <w:vertAlign w:val="baseline"/>
        </w:rPr>
        <w:t> </w:t>
      </w:r>
      <w:r>
        <w:rPr>
          <w:vertAlign w:val="baseline"/>
        </w:rPr>
        <w:t>Oxygen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490" w:val="left" w:leader="none"/>
        </w:tabs>
        <w:ind w:left="820"/>
      </w:pPr>
      <w:r>
        <w:rPr/>
        <w:t>PCV</w:t>
        <w:tab/>
        <w:t>Packed</w:t>
      </w:r>
      <w:r>
        <w:rPr>
          <w:spacing w:val="-7"/>
        </w:rPr>
        <w:t> </w:t>
      </w:r>
      <w:r>
        <w:rPr/>
        <w:t>cell</w:t>
      </w:r>
      <w:r>
        <w:rPr>
          <w:spacing w:val="-6"/>
        </w:rPr>
        <w:t> </w:t>
      </w:r>
      <w:r>
        <w:rPr/>
        <w:t>volume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495" w:val="left" w:leader="none"/>
        </w:tabs>
        <w:ind w:left="820"/>
      </w:pPr>
      <w:r>
        <w:rPr/>
        <w:t>pH</w:t>
        <w:tab/>
        <w:t>Potential</w:t>
      </w:r>
      <w:r>
        <w:rPr>
          <w:spacing w:val="-9"/>
        </w:rPr>
        <w:t> </w:t>
      </w:r>
      <w:r>
        <w:rPr/>
        <w:t>Hydrogen</w:t>
      </w:r>
    </w:p>
    <w:p>
      <w:pPr>
        <w:spacing w:after="0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tabs>
          <w:tab w:pos="2519" w:val="left" w:leader="none"/>
        </w:tabs>
        <w:spacing w:line="412" w:lineRule="auto" w:before="72"/>
        <w:ind w:left="820" w:right="6187"/>
      </w:pPr>
      <w:r>
        <w:rPr/>
        <w:t>Pneumo_ps</w:t>
        <w:tab/>
      </w:r>
      <w:r>
        <w:rPr>
          <w:spacing w:val="-1"/>
        </w:rPr>
        <w:t>Pneumococcal </w:t>
      </w:r>
      <w:r>
        <w:rPr/>
        <w:t>polysaccharide</w:t>
      </w:r>
      <w:r>
        <w:rPr>
          <w:spacing w:val="-57"/>
        </w:rPr>
        <w:t> </w:t>
      </w:r>
      <w:r>
        <w:rPr/>
        <w:t>QOL</w:t>
        <w:tab/>
        <w:t>Quality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Life</w:t>
      </w:r>
    </w:p>
    <w:p>
      <w:pPr>
        <w:pStyle w:val="BodyText"/>
        <w:tabs>
          <w:tab w:pos="2538" w:val="left" w:leader="none"/>
        </w:tabs>
        <w:spacing w:before="1"/>
        <w:ind w:left="820"/>
      </w:pPr>
      <w:r>
        <w:rPr/>
        <w:t>RBCs</w:t>
        <w:tab/>
        <w:t>Red</w:t>
      </w:r>
      <w:r>
        <w:rPr>
          <w:spacing w:val="-5"/>
        </w:rPr>
        <w:t> </w:t>
      </w:r>
      <w:r>
        <w:rPr/>
        <w:t>Blood</w:t>
      </w:r>
      <w:r>
        <w:rPr>
          <w:spacing w:val="-5"/>
        </w:rPr>
        <w:t> </w:t>
      </w:r>
      <w:r>
        <w:rPr/>
        <w:t>Cells</w:t>
      </w:r>
    </w:p>
    <w:p>
      <w:pPr>
        <w:pStyle w:val="BodyText"/>
        <w:tabs>
          <w:tab w:pos="2523" w:val="left" w:leader="none"/>
        </w:tabs>
        <w:spacing w:before="199"/>
        <w:ind w:left="820"/>
      </w:pPr>
      <w:r>
        <w:rPr/>
        <w:t>RDW</w:t>
        <w:tab/>
        <w:t>Red</w:t>
      </w:r>
      <w:r>
        <w:rPr>
          <w:spacing w:val="-2"/>
        </w:rPr>
        <w:t> </w:t>
      </w:r>
      <w:r>
        <w:rPr/>
        <w:t>cell</w:t>
      </w:r>
      <w:r>
        <w:rPr>
          <w:spacing w:val="-4"/>
        </w:rPr>
        <w:t> </w:t>
      </w:r>
      <w:r>
        <w:rPr/>
        <w:t>distribution</w:t>
      </w:r>
      <w:r>
        <w:rPr>
          <w:spacing w:val="-6"/>
        </w:rPr>
        <w:t> </w:t>
      </w:r>
      <w:r>
        <w:rPr/>
        <w:t>width</w:t>
      </w:r>
    </w:p>
    <w:p>
      <w:pPr>
        <w:pStyle w:val="BodyText"/>
        <w:tabs>
          <w:tab w:pos="2523" w:val="left" w:leader="none"/>
        </w:tabs>
        <w:spacing w:before="204"/>
        <w:ind w:left="820"/>
      </w:pPr>
      <w:r>
        <w:rPr/>
        <w:t>RES</w:t>
        <w:tab/>
        <w:t>Reticuloendothelial</w:t>
      </w:r>
      <w:r>
        <w:rPr>
          <w:spacing w:val="-11"/>
        </w:rPr>
        <w:t> </w:t>
      </w:r>
      <w:r>
        <w:rPr/>
        <w:t>System</w:t>
      </w:r>
    </w:p>
    <w:p>
      <w:pPr>
        <w:pStyle w:val="BodyText"/>
        <w:tabs>
          <w:tab w:pos="2552" w:val="left" w:leader="none"/>
        </w:tabs>
        <w:spacing w:before="199"/>
        <w:ind w:left="820"/>
      </w:pPr>
      <w:r>
        <w:rPr/>
        <w:t>ROS</w:t>
        <w:tab/>
        <w:t>Reactive</w:t>
      </w:r>
      <w:r>
        <w:rPr>
          <w:spacing w:val="-5"/>
        </w:rPr>
        <w:t> </w:t>
      </w:r>
      <w:r>
        <w:rPr/>
        <w:t>Oxygen</w:t>
      </w:r>
      <w:r>
        <w:rPr>
          <w:spacing w:val="-7"/>
        </w:rPr>
        <w:t> </w:t>
      </w:r>
      <w:r>
        <w:rPr/>
        <w:t>Species</w:t>
      </w:r>
    </w:p>
    <w:p>
      <w:pPr>
        <w:pStyle w:val="BodyText"/>
        <w:tabs>
          <w:tab w:pos="2557" w:val="left" w:leader="none"/>
        </w:tabs>
        <w:spacing w:before="199"/>
        <w:ind w:left="820"/>
      </w:pPr>
      <w:r>
        <w:rPr/>
        <w:t>SC</w:t>
        <w:tab/>
        <w:t>Sickle</w:t>
      </w:r>
      <w:r>
        <w:rPr>
          <w:spacing w:val="-4"/>
        </w:rPr>
        <w:t> </w:t>
      </w:r>
      <w:r>
        <w:rPr/>
        <w:t>cell</w:t>
      </w:r>
    </w:p>
    <w:p>
      <w:pPr>
        <w:pStyle w:val="BodyText"/>
        <w:tabs>
          <w:tab w:pos="2557" w:val="left" w:leader="none"/>
        </w:tabs>
        <w:spacing w:before="200"/>
        <w:ind w:left="820"/>
      </w:pPr>
      <w:r>
        <w:rPr/>
        <w:t>SC</w:t>
        <w:tab/>
        <w:t>Subcutaneous</w:t>
      </w:r>
    </w:p>
    <w:p>
      <w:pPr>
        <w:pStyle w:val="BodyText"/>
        <w:tabs>
          <w:tab w:pos="2552" w:val="left" w:leader="none"/>
        </w:tabs>
        <w:spacing w:before="199"/>
        <w:ind w:left="820"/>
      </w:pPr>
      <w:r>
        <w:rPr/>
        <w:t>SCA</w:t>
        <w:tab/>
        <w:t>Sickle</w:t>
      </w:r>
      <w:r>
        <w:rPr>
          <w:spacing w:val="-7"/>
        </w:rPr>
        <w:t> </w:t>
      </w:r>
      <w:r>
        <w:rPr/>
        <w:t>Cell</w:t>
      </w:r>
      <w:r>
        <w:rPr>
          <w:spacing w:val="-6"/>
        </w:rPr>
        <w:t> </w:t>
      </w:r>
      <w:r>
        <w:rPr/>
        <w:t>Anaemia</w:t>
      </w:r>
    </w:p>
    <w:p>
      <w:pPr>
        <w:pStyle w:val="BodyText"/>
        <w:tabs>
          <w:tab w:pos="2529" w:val="left" w:leader="none"/>
        </w:tabs>
        <w:spacing w:before="199"/>
        <w:ind w:left="820"/>
      </w:pPr>
      <w:r>
        <w:rPr/>
        <w:t>SCAC</w:t>
        <w:tab/>
        <w:t>Sickle</w:t>
      </w:r>
      <w:r>
        <w:rPr>
          <w:spacing w:val="-3"/>
        </w:rPr>
        <w:t> </w:t>
      </w:r>
      <w:r>
        <w:rPr/>
        <w:t>Cell Advisory</w:t>
      </w:r>
      <w:r>
        <w:rPr>
          <w:spacing w:val="-11"/>
        </w:rPr>
        <w:t> </w:t>
      </w:r>
      <w:r>
        <w:rPr/>
        <w:t>Committee</w:t>
      </w:r>
    </w:p>
    <w:p>
      <w:pPr>
        <w:pStyle w:val="BodyText"/>
        <w:tabs>
          <w:tab w:pos="2552" w:val="left" w:leader="none"/>
        </w:tabs>
        <w:spacing w:before="204"/>
        <w:ind w:left="820"/>
      </w:pPr>
      <w:r>
        <w:rPr/>
        <w:t>SCD</w:t>
        <w:tab/>
        <w:t>Sickle</w:t>
      </w:r>
      <w:r>
        <w:rPr>
          <w:spacing w:val="-6"/>
        </w:rPr>
        <w:t> </w:t>
      </w:r>
      <w:r>
        <w:rPr/>
        <w:t>Cell</w:t>
      </w:r>
      <w:r>
        <w:rPr>
          <w:spacing w:val="-8"/>
        </w:rPr>
        <w:t> </w:t>
      </w:r>
      <w:r>
        <w:rPr/>
        <w:t>Disease</w:t>
      </w:r>
    </w:p>
    <w:p>
      <w:pPr>
        <w:pStyle w:val="BodyText"/>
        <w:tabs>
          <w:tab w:pos="2576" w:val="left" w:leader="none"/>
        </w:tabs>
        <w:spacing w:before="199"/>
        <w:ind w:left="820"/>
      </w:pPr>
      <w:r>
        <w:rPr/>
        <w:t>SEM</w:t>
        <w:tab/>
        <w:t>Standard Error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Mean</w:t>
      </w:r>
    </w:p>
    <w:p>
      <w:pPr>
        <w:pStyle w:val="BodyText"/>
        <w:tabs>
          <w:tab w:pos="2552" w:val="left" w:leader="none"/>
          <w:tab w:pos="2591" w:val="left" w:leader="none"/>
        </w:tabs>
        <w:spacing w:line="412" w:lineRule="auto" w:before="200"/>
        <w:ind w:left="820" w:right="3504"/>
      </w:pPr>
      <w:r>
        <w:rPr/>
        <w:t>S-HPFH</w:t>
        <w:tab/>
        <w:t>Sickle</w:t>
      </w:r>
      <w:r>
        <w:rPr>
          <w:spacing w:val="-1"/>
        </w:rPr>
        <w:t> </w:t>
      </w:r>
      <w:r>
        <w:rPr/>
        <w:t>Cell</w:t>
      </w:r>
      <w:r>
        <w:rPr>
          <w:spacing w:val="-9"/>
        </w:rPr>
        <w:t> </w:t>
      </w:r>
      <w:r>
        <w:rPr/>
        <w:t>Hereditary</w:t>
      </w:r>
      <w:r>
        <w:rPr>
          <w:spacing w:val="-10"/>
        </w:rPr>
        <w:t> </w:t>
      </w:r>
      <w:r>
        <w:rPr/>
        <w:t>Persistence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Foetal</w:t>
      </w:r>
      <w:r>
        <w:rPr>
          <w:spacing w:val="-8"/>
        </w:rPr>
        <w:t> </w:t>
      </w:r>
      <w:r>
        <w:rPr/>
        <w:t>Haemoglobin</w:t>
      </w:r>
      <w:r>
        <w:rPr>
          <w:spacing w:val="-57"/>
        </w:rPr>
        <w:t> </w:t>
      </w:r>
      <w:r>
        <w:rPr/>
        <w:t>SS</w:t>
        <w:tab/>
        <w:tab/>
        <w:t>Homozygous</w:t>
      </w:r>
      <w:r>
        <w:rPr>
          <w:spacing w:val="-1"/>
        </w:rPr>
        <w:t> </w:t>
      </w:r>
      <w:r>
        <w:rPr/>
        <w:t>sickle cell</w:t>
      </w:r>
      <w:r>
        <w:rPr>
          <w:spacing w:val="-2"/>
        </w:rPr>
        <w:t> </w:t>
      </w:r>
      <w:r>
        <w:rPr/>
        <w:t>disease</w:t>
      </w:r>
    </w:p>
    <w:p>
      <w:pPr>
        <w:pStyle w:val="BodyText"/>
        <w:tabs>
          <w:tab w:pos="2619" w:val="left" w:leader="none"/>
        </w:tabs>
        <w:spacing w:line="412" w:lineRule="auto" w:before="1"/>
        <w:ind w:left="820" w:right="4690"/>
      </w:pPr>
      <w:r>
        <w:rPr/>
        <w:t>TENS</w:t>
        <w:tab/>
        <w:t>Transcutaneous</w:t>
      </w:r>
      <w:r>
        <w:rPr>
          <w:spacing w:val="-5"/>
        </w:rPr>
        <w:t> </w:t>
      </w:r>
      <w:r>
        <w:rPr/>
        <w:t>Electrical</w:t>
      </w:r>
      <w:r>
        <w:rPr>
          <w:spacing w:val="-11"/>
        </w:rPr>
        <w:t> </w:t>
      </w:r>
      <w:r>
        <w:rPr/>
        <w:t>Nerve</w:t>
      </w:r>
      <w:r>
        <w:rPr>
          <w:spacing w:val="-3"/>
        </w:rPr>
        <w:t> </w:t>
      </w:r>
      <w:r>
        <w:rPr/>
        <w:t>Stimulation</w:t>
      </w:r>
      <w:r>
        <w:rPr>
          <w:spacing w:val="-57"/>
        </w:rPr>
        <w:t> </w:t>
      </w:r>
      <w:r>
        <w:rPr/>
        <w:t>Thal.</w:t>
        <w:tab/>
        <w:t>Thalassaemia</w:t>
      </w:r>
    </w:p>
    <w:p>
      <w:pPr>
        <w:pStyle w:val="BodyText"/>
        <w:tabs>
          <w:tab w:pos="2596" w:val="left" w:leader="none"/>
        </w:tabs>
        <w:spacing w:before="5"/>
        <w:ind w:left="820"/>
      </w:pPr>
      <w:r>
        <w:rPr/>
        <w:t>TPN</w:t>
        <w:tab/>
        <w:t>Total</w:t>
      </w:r>
      <w:r>
        <w:rPr>
          <w:spacing w:val="-8"/>
        </w:rPr>
        <w:t> </w:t>
      </w:r>
      <w:r>
        <w:rPr/>
        <w:t>Parenteral</w:t>
      </w:r>
      <w:r>
        <w:rPr>
          <w:spacing w:val="-7"/>
        </w:rPr>
        <w:t> </w:t>
      </w:r>
      <w:r>
        <w:rPr/>
        <w:t>Nutrition</w:t>
      </w:r>
    </w:p>
    <w:p>
      <w:pPr>
        <w:pStyle w:val="BodyText"/>
        <w:tabs>
          <w:tab w:pos="2605" w:val="left" w:leader="none"/>
        </w:tabs>
        <w:spacing w:before="200"/>
        <w:ind w:left="820"/>
      </w:pPr>
      <w:r>
        <w:rPr/>
        <w:t>UTI</w:t>
        <w:tab/>
        <w:t>Urinary</w:t>
      </w:r>
      <w:r>
        <w:rPr>
          <w:spacing w:val="-11"/>
        </w:rPr>
        <w:t> </w:t>
      </w:r>
      <w:r>
        <w:rPr/>
        <w:t>Tract</w:t>
      </w:r>
      <w:r>
        <w:rPr>
          <w:spacing w:val="-1"/>
        </w:rPr>
        <w:t> </w:t>
      </w:r>
      <w:r>
        <w:rPr/>
        <w:t>Infection</w:t>
      </w:r>
    </w:p>
    <w:p>
      <w:pPr>
        <w:pStyle w:val="BodyText"/>
        <w:tabs>
          <w:tab w:pos="2629" w:val="left" w:leader="none"/>
        </w:tabs>
        <w:spacing w:before="199"/>
        <w:ind w:left="820"/>
      </w:pPr>
      <w:r>
        <w:rPr/>
        <w:t>WBC</w:t>
        <w:tab/>
        <w:t>White</w:t>
      </w:r>
      <w:r>
        <w:rPr>
          <w:spacing w:val="-5"/>
        </w:rPr>
        <w:t> </w:t>
      </w:r>
      <w:r>
        <w:rPr/>
        <w:t>Blood</w:t>
      </w:r>
      <w:r>
        <w:rPr>
          <w:spacing w:val="-4"/>
        </w:rPr>
        <w:t> </w:t>
      </w:r>
      <w:r>
        <w:rPr/>
        <w:t>Cells</w:t>
      </w:r>
    </w:p>
    <w:p>
      <w:pPr>
        <w:pStyle w:val="BodyText"/>
        <w:tabs>
          <w:tab w:pos="2595" w:val="left" w:leader="none"/>
        </w:tabs>
        <w:spacing w:before="199"/>
        <w:ind w:left="820"/>
      </w:pPr>
      <w:r>
        <w:rPr/>
        <w:t>WHO</w:t>
        <w:tab/>
        <w:t>World</w:t>
      </w:r>
      <w:r>
        <w:rPr>
          <w:spacing w:val="-2"/>
        </w:rPr>
        <w:t> </w:t>
      </w:r>
      <w:r>
        <w:rPr/>
        <w:t>Health</w:t>
      </w:r>
      <w:r>
        <w:rPr>
          <w:spacing w:val="-7"/>
        </w:rPr>
        <w:t> </w:t>
      </w:r>
      <w:r>
        <w:rPr/>
        <w:t>Organisation</w:t>
      </w:r>
    </w:p>
    <w:p>
      <w:pPr>
        <w:pStyle w:val="BodyText"/>
        <w:tabs>
          <w:tab w:pos="2591" w:val="left" w:leader="none"/>
        </w:tabs>
        <w:spacing w:before="199"/>
        <w:ind w:left="820"/>
      </w:pPr>
      <w:r>
        <w:rPr/>
        <w:t>WR</w:t>
        <w:tab/>
        <w:t>Working</w:t>
      </w:r>
      <w:r>
        <w:rPr>
          <w:spacing w:val="-7"/>
        </w:rPr>
        <w:t> </w:t>
      </w:r>
      <w:r>
        <w:rPr/>
        <w:t>Reagent</w:t>
      </w:r>
    </w:p>
    <w:p>
      <w:pPr>
        <w:pStyle w:val="BodyText"/>
        <w:tabs>
          <w:tab w:pos="2581" w:val="left" w:leader="none"/>
        </w:tabs>
        <w:spacing w:before="195"/>
        <w:ind w:left="820"/>
      </w:pPr>
      <w:r>
        <w:rPr/>
        <w:t>Zn</w:t>
      </w:r>
      <w:r>
        <w:rPr>
          <w:vertAlign w:val="superscript"/>
        </w:rPr>
        <w:t>2+</w:t>
      </w:r>
      <w:r>
        <w:rPr>
          <w:vertAlign w:val="baseline"/>
        </w:rPr>
        <w:tab/>
        <w:t>Zinc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2586" w:val="left" w:leader="none"/>
        </w:tabs>
        <w:spacing w:before="1"/>
        <w:ind w:left="820"/>
      </w:pPr>
      <w:r>
        <w:rPr/>
        <w:t>ZICG</w:t>
        <w:tab/>
        <w:t>Zinc</w:t>
      </w:r>
      <w:r>
        <w:rPr>
          <w:spacing w:val="-5"/>
        </w:rPr>
        <w:t> </w:t>
      </w:r>
      <w:r>
        <w:rPr/>
        <w:t>Investigators’</w:t>
      </w:r>
      <w:r>
        <w:rPr>
          <w:spacing w:val="-5"/>
        </w:rPr>
        <w:t> </w:t>
      </w:r>
      <w:r>
        <w:rPr/>
        <w:t>Collaborative</w:t>
      </w:r>
      <w:r>
        <w:rPr>
          <w:spacing w:val="-4"/>
        </w:rPr>
        <w:t> </w:t>
      </w:r>
      <w:r>
        <w:rPr/>
        <w:t>Group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others</w:t>
      </w:r>
    </w:p>
    <w:p>
      <w:pPr>
        <w:spacing w:after="0"/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spacing w:line="535" w:lineRule="auto"/>
        <w:ind w:left="4539" w:right="5161" w:hanging="1"/>
        <w:jc w:val="center"/>
      </w:pPr>
      <w:r>
        <w:rPr/>
        <w:t>CHAPTER 1</w:t>
      </w:r>
      <w:r>
        <w:rPr>
          <w:spacing w:val="1"/>
        </w:rPr>
        <w:t> </w:t>
      </w:r>
      <w:r>
        <w:rPr>
          <w:spacing w:val="-1"/>
        </w:rPr>
        <w:t>INTRODUCTION</w:t>
      </w:r>
    </w:p>
    <w:p>
      <w:pPr>
        <w:pStyle w:val="Heading1"/>
        <w:numPr>
          <w:ilvl w:val="1"/>
          <w:numId w:val="12"/>
        </w:numPr>
        <w:tabs>
          <w:tab w:pos="5025" w:val="left" w:leader="none"/>
        </w:tabs>
        <w:spacing w:line="274" w:lineRule="exact" w:before="0" w:after="0"/>
        <w:ind w:left="5024" w:right="0" w:hanging="361"/>
        <w:jc w:val="left"/>
      </w:pPr>
      <w:bookmarkStart w:name="_TOC_250053" w:id="1"/>
      <w:bookmarkEnd w:id="1"/>
      <w:r>
        <w:rPr/>
        <w:t>Introduction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 w:before="1"/>
        <w:ind w:left="820" w:right="1437"/>
        <w:jc w:val="both"/>
      </w:pPr>
      <w:r>
        <w:rPr/>
        <w:t>Sickle cell anaemia (SCA) is a haemolytic anaemia characterized by abnormally shaped (sickled)</w:t>
      </w:r>
      <w:r>
        <w:rPr>
          <w:spacing w:val="-57"/>
        </w:rPr>
        <w:t> </w:t>
      </w:r>
      <w:r>
        <w:rPr/>
        <w:t>red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(RBCs)</w:t>
      </w:r>
      <w:r>
        <w:rPr>
          <w:spacing w:val="1"/>
        </w:rPr>
        <w:t> </w:t>
      </w:r>
      <w:r>
        <w:rPr/>
        <w:t>(Ballas,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homozygous</w:t>
      </w:r>
      <w:r>
        <w:rPr>
          <w:spacing w:val="1"/>
        </w:rPr>
        <w:t> </w:t>
      </w:r>
      <w:r>
        <w:rPr/>
        <w:t>state resulting</w:t>
      </w:r>
      <w:r>
        <w:rPr>
          <w:spacing w:val="1"/>
        </w:rPr>
        <w:t> </w:t>
      </w:r>
      <w:r>
        <w:rPr/>
        <w:t>from a</w:t>
      </w:r>
      <w:r>
        <w:rPr>
          <w:spacing w:val="1"/>
        </w:rPr>
        <w:t> </w:t>
      </w:r>
      <w:r>
        <w:rPr/>
        <w:t>lifelong</w:t>
      </w:r>
      <w:r>
        <w:rPr>
          <w:spacing w:val="1"/>
        </w:rPr>
        <w:t> </w:t>
      </w:r>
      <w:r>
        <w:rPr/>
        <w:t>condition in which periods of ill health (crises) intercept varying durations of apparent wellness</w:t>
      </w:r>
      <w:r>
        <w:rPr>
          <w:spacing w:val="1"/>
        </w:rPr>
        <w:t> </w:t>
      </w:r>
      <w:r>
        <w:rPr/>
        <w:t>(steady state). The basis of the clinical presentations of sickle cell disease (SCD) is linked to</w:t>
      </w:r>
      <w:r>
        <w:rPr>
          <w:spacing w:val="1"/>
        </w:rPr>
        <w:t> </w:t>
      </w:r>
      <w:r>
        <w:rPr/>
        <w:t>erythrocyte sickling and</w:t>
      </w:r>
      <w:r>
        <w:rPr>
          <w:spacing w:val="60"/>
        </w:rPr>
        <w:t> </w:t>
      </w:r>
      <w:r>
        <w:rPr/>
        <w:t>haemolysis (Serjeant and Serjeant 2001). The haemolysis is as a result</w:t>
      </w:r>
      <w:r>
        <w:rPr>
          <w:spacing w:val="1"/>
        </w:rPr>
        <w:t> </w:t>
      </w:r>
      <w:r>
        <w:rPr/>
        <w:t>of prolonged retention of the RBCs within the reticuloendothelial system (RES) which reduces</w:t>
      </w:r>
      <w:r>
        <w:rPr>
          <w:spacing w:val="1"/>
        </w:rPr>
        <w:t> </w:t>
      </w:r>
      <w:r>
        <w:rPr/>
        <w:t>the level of oxygen within the RBCs resulting in the adoption of the sickle shape. The sickle cell</w:t>
      </w:r>
      <w:r>
        <w:rPr>
          <w:spacing w:val="1"/>
        </w:rPr>
        <w:t> </w:t>
      </w:r>
      <w:r>
        <w:rPr/>
        <w:t>thus formed is a rigid cell which is susceptible to phagocytosis by cells of the RES. In conditions</w:t>
      </w:r>
      <w:r>
        <w:rPr>
          <w:spacing w:val="-57"/>
        </w:rPr>
        <w:t> </w:t>
      </w:r>
      <w:r>
        <w:rPr/>
        <w:t>associated with reduced blood oxygen tension, RBCs containing haemoglobin S (HbS) undergo</w:t>
      </w:r>
      <w:r>
        <w:rPr>
          <w:spacing w:val="1"/>
        </w:rPr>
        <w:t> </w:t>
      </w:r>
      <w:r>
        <w:rPr/>
        <w:t>polymerisation with an increase in stickiness of the RBC surface; this causes the RBCs to adhere</w:t>
      </w:r>
      <w:r>
        <w:rPr>
          <w:spacing w:val="1"/>
        </w:rPr>
        <w:t> </w:t>
      </w:r>
      <w:r>
        <w:rPr/>
        <w:t>to the endothelial surface causing a stockpiling of RBCs with resultant blockade of blood flow</w:t>
      </w:r>
      <w:r>
        <w:rPr>
          <w:spacing w:val="1"/>
        </w:rPr>
        <w:t> </w:t>
      </w:r>
      <w:r>
        <w:rPr/>
        <w:t>(vaso-occlusion) (Gladwin and</w:t>
      </w:r>
      <w:r>
        <w:rPr>
          <w:spacing w:val="1"/>
        </w:rPr>
        <w:t> </w:t>
      </w:r>
      <w:r>
        <w:rPr/>
        <w:t>Vinchinsky 2008). Repeated cycles of sickling</w:t>
      </w:r>
      <w:r>
        <w:rPr>
          <w:spacing w:val="60"/>
        </w:rPr>
        <w:t> </w:t>
      </w:r>
      <w:r>
        <w:rPr/>
        <w:t>and unsickling</w:t>
      </w:r>
      <w:r>
        <w:rPr>
          <w:spacing w:val="1"/>
        </w:rPr>
        <w:t> </w:t>
      </w:r>
      <w:r>
        <w:rPr/>
        <w:t>due to elevation and reduction in arterial oxygen tension ultimately produce the irreversibly</w:t>
      </w:r>
      <w:r>
        <w:rPr>
          <w:spacing w:val="1"/>
        </w:rPr>
        <w:t> </w:t>
      </w:r>
      <w:r>
        <w:rPr/>
        <w:t>sickled cells</w:t>
      </w:r>
      <w:r>
        <w:rPr>
          <w:spacing w:val="-1"/>
        </w:rPr>
        <w:t> </w:t>
      </w:r>
      <w:r>
        <w:rPr/>
        <w:t>(ISCs)</w:t>
      </w:r>
      <w:r>
        <w:rPr>
          <w:spacing w:val="2"/>
        </w:rPr>
        <w:t> </w:t>
      </w:r>
      <w:r>
        <w:rPr/>
        <w:t>which</w:t>
      </w:r>
      <w:r>
        <w:rPr>
          <w:spacing w:val="-4"/>
        </w:rPr>
        <w:t> </w:t>
      </w:r>
      <w:r>
        <w:rPr/>
        <w:t>are central</w:t>
      </w:r>
      <w:r>
        <w:rPr>
          <w:spacing w:val="-8"/>
        </w:rPr>
        <w:t> </w:t>
      </w:r>
      <w:r>
        <w:rPr/>
        <w:t>to</w:t>
      </w:r>
      <w:r>
        <w:rPr>
          <w:spacing w:val="1"/>
        </w:rPr>
        <w:t> </w:t>
      </w:r>
      <w:r>
        <w:rPr/>
        <w:t>vaso-occlusion</w:t>
      </w:r>
      <w:r>
        <w:rPr>
          <w:spacing w:val="-4"/>
        </w:rPr>
        <w:t> </w:t>
      </w:r>
      <w:r>
        <w:rPr/>
        <w:t>(Lew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Bookchin</w:t>
      </w:r>
      <w:r>
        <w:rPr>
          <w:spacing w:val="-2"/>
        </w:rPr>
        <w:t> </w:t>
      </w:r>
      <w:r>
        <w:rPr/>
        <w:t>2005).</w:t>
      </w:r>
    </w:p>
    <w:p>
      <w:pPr>
        <w:pStyle w:val="BodyText"/>
        <w:spacing w:line="360" w:lineRule="auto" w:before="199"/>
        <w:ind w:left="820" w:right="1439"/>
        <w:jc w:val="both"/>
      </w:pPr>
      <w:r>
        <w:rPr/>
        <w:t>The presentations of SCD are protean depending on age, social circumstances, background, and</w:t>
      </w:r>
      <w:r>
        <w:rPr>
          <w:spacing w:val="1"/>
        </w:rPr>
        <w:t> </w:t>
      </w:r>
      <w:r>
        <w:rPr/>
        <w:t>medical condition of the patient. In childhood, the hand and foot syndrome (dactylitis) is the</w:t>
      </w:r>
      <w:r>
        <w:rPr>
          <w:spacing w:val="1"/>
        </w:rPr>
        <w:t> </w:t>
      </w:r>
      <w:r>
        <w:rPr/>
        <w:t>commonest presentation due to a highly active marrow (Lonergan </w:t>
      </w:r>
      <w:r>
        <w:rPr>
          <w:i/>
        </w:rPr>
        <w:t>et al</w:t>
      </w:r>
      <w:r>
        <w:rPr/>
        <w:t>., 2001). With increase in</w:t>
      </w:r>
      <w:r>
        <w:rPr>
          <w:spacing w:val="1"/>
        </w:rPr>
        <w:t> </w:t>
      </w:r>
      <w:r>
        <w:rPr/>
        <w:t>age,</w:t>
      </w:r>
      <w:r>
        <w:rPr>
          <w:spacing w:val="1"/>
        </w:rPr>
        <w:t> </w:t>
      </w:r>
      <w:r>
        <w:rPr/>
        <w:t>bone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manifestations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restricted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axial</w:t>
      </w:r>
      <w:r>
        <w:rPr>
          <w:spacing w:val="1"/>
        </w:rPr>
        <w:t> </w:t>
      </w:r>
      <w:r>
        <w:rPr/>
        <w:t>skeleton.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outcomes of SCDs have been reported to be influenced by incidence, severity, and duration of</w:t>
      </w:r>
      <w:r>
        <w:rPr>
          <w:spacing w:val="1"/>
        </w:rPr>
        <w:t> </w:t>
      </w:r>
      <w:r>
        <w:rPr/>
        <w:t>crises (Yale </w:t>
      </w:r>
      <w:r>
        <w:rPr>
          <w:i/>
        </w:rPr>
        <w:t>et al</w:t>
      </w:r>
      <w:r>
        <w:rPr/>
        <w:t>., 2000). Vaso-occlusive and haemolytic crises appear to occur with greater</w:t>
      </w:r>
      <w:r>
        <w:rPr>
          <w:spacing w:val="1"/>
        </w:rPr>
        <w:t> </w:t>
      </w:r>
      <w:r>
        <w:rPr/>
        <w:t>frequency and severity in SCA patients with micronutrient deficiencies than in patients without</w:t>
      </w:r>
      <w:r>
        <w:rPr>
          <w:spacing w:val="1"/>
        </w:rPr>
        <w:t> </w:t>
      </w:r>
      <w:r>
        <w:rPr/>
        <w:t>deficiencies</w:t>
      </w:r>
      <w:r>
        <w:rPr>
          <w:spacing w:val="1"/>
        </w:rPr>
        <w:t> </w:t>
      </w:r>
      <w:r>
        <w:rPr/>
        <w:t>(Ambrus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Ambrus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deficiencies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essential</w:t>
      </w:r>
      <w:r>
        <w:rPr>
          <w:spacing w:val="-57"/>
        </w:rPr>
        <w:t> </w:t>
      </w:r>
      <w:r>
        <w:rPr/>
        <w:t>micronutrients can 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health problems,</w:t>
      </w:r>
      <w:r>
        <w:rPr>
          <w:spacing w:val="1"/>
        </w:rPr>
        <w:t> </w:t>
      </w:r>
      <w:r>
        <w:rPr/>
        <w:t>there are a few (e.g.,</w:t>
      </w:r>
      <w:r>
        <w:rPr>
          <w:spacing w:val="1"/>
        </w:rPr>
        <w:t> </w:t>
      </w:r>
      <w:r>
        <w:rPr/>
        <w:t>zinc,</w:t>
      </w:r>
      <w:r>
        <w:rPr>
          <w:spacing w:val="1"/>
        </w:rPr>
        <w:t> </w:t>
      </w:r>
      <w:r>
        <w:rPr/>
        <w:t>selenium,</w:t>
      </w:r>
      <w:r>
        <w:rPr>
          <w:spacing w:val="1"/>
        </w:rPr>
        <w:t> </w:t>
      </w:r>
      <w:r>
        <w:rPr/>
        <w:t>copper,</w:t>
      </w:r>
      <w:r>
        <w:rPr>
          <w:spacing w:val="1"/>
        </w:rPr>
        <w:t> </w:t>
      </w:r>
      <w:r>
        <w:rPr/>
        <w:t>magnesium,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iron)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particularly</w:t>
      </w:r>
      <w:r>
        <w:rPr>
          <w:spacing w:val="-1"/>
        </w:rPr>
        <w:t> </w:t>
      </w:r>
      <w:r>
        <w:rPr/>
        <w:t>important</w:t>
      </w:r>
      <w:r>
        <w:rPr>
          <w:spacing w:val="4"/>
        </w:rPr>
        <w:t> </w:t>
      </w:r>
      <w:r>
        <w:rPr/>
        <w:t>in</w:t>
      </w:r>
      <w:r>
        <w:rPr>
          <w:spacing w:val="-6"/>
        </w:rPr>
        <w:t> </w:t>
      </w:r>
      <w:r>
        <w:rPr/>
        <w:t>SCD</w:t>
      </w:r>
      <w:r>
        <w:rPr>
          <w:spacing w:val="-1"/>
        </w:rPr>
        <w:t> </w:t>
      </w:r>
      <w:r>
        <w:rPr/>
        <w:t>(Muller and Brugnara 2001).</w:t>
      </w:r>
    </w:p>
    <w:p>
      <w:pPr>
        <w:pStyle w:val="BodyText"/>
        <w:spacing w:line="360" w:lineRule="auto" w:before="200"/>
        <w:ind w:left="820" w:right="1445"/>
        <w:jc w:val="both"/>
      </w:pPr>
      <w:r>
        <w:rPr/>
        <w:t>The search for an effective treatment for SCDs with less adverse effects have had researchers</w:t>
      </w:r>
      <w:r>
        <w:rPr>
          <w:spacing w:val="1"/>
        </w:rPr>
        <w:t> </w:t>
      </w:r>
      <w:r>
        <w:rPr/>
        <w:t>trying</w:t>
      </w:r>
      <w:r>
        <w:rPr>
          <w:spacing w:val="-2"/>
        </w:rPr>
        <w:t> </w:t>
      </w:r>
      <w:r>
        <w:rPr/>
        <w:t>out</w:t>
      </w:r>
      <w:r>
        <w:rPr>
          <w:spacing w:val="2"/>
        </w:rPr>
        <w:t> </w:t>
      </w:r>
      <w:r>
        <w:rPr/>
        <w:t>many</w:t>
      </w:r>
      <w:r>
        <w:rPr>
          <w:spacing w:val="-1"/>
        </w:rPr>
        <w:t> </w:t>
      </w:r>
      <w:r>
        <w:rPr/>
        <w:t>nutrients</w:t>
      </w:r>
      <w:r>
        <w:rPr>
          <w:spacing w:val="-4"/>
        </w:rPr>
        <w:t> </w:t>
      </w:r>
      <w:r>
        <w:rPr/>
        <w:t>derived</w:t>
      </w:r>
      <w:r>
        <w:rPr>
          <w:spacing w:val="3"/>
        </w:rPr>
        <w:t> </w:t>
      </w:r>
      <w:r>
        <w:rPr/>
        <w:t>from</w:t>
      </w:r>
      <w:r>
        <w:rPr>
          <w:spacing w:val="-11"/>
        </w:rPr>
        <w:t> </w:t>
      </w:r>
      <w:r>
        <w:rPr/>
        <w:t>plants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animals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possible</w:t>
      </w:r>
      <w:r>
        <w:rPr>
          <w:spacing w:val="2"/>
        </w:rPr>
        <w:t> </w:t>
      </w:r>
      <w:r>
        <w:rPr/>
        <w:t>and</w:t>
      </w:r>
      <w:r>
        <w:rPr>
          <w:spacing w:val="-2"/>
        </w:rPr>
        <w:t> </w:t>
      </w:r>
      <w:r>
        <w:rPr/>
        <w:t>reliable</w:t>
      </w:r>
      <w:r>
        <w:rPr>
          <w:spacing w:val="-3"/>
        </w:rPr>
        <w:t> </w:t>
      </w:r>
      <w:r>
        <w:rPr/>
        <w:t>options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footerReference w:type="default" r:id="rId6"/>
          <w:pgSz w:w="12240" w:h="15840"/>
          <w:pgMar w:footer="0" w:header="0" w:top="1360" w:bottom="280" w:left="620" w:right="0"/>
        </w:sectPr>
      </w:pPr>
    </w:p>
    <w:p>
      <w:pPr>
        <w:pStyle w:val="BodyText"/>
        <w:spacing w:line="360" w:lineRule="auto" w:before="72"/>
        <w:ind w:left="820" w:right="1435"/>
        <w:jc w:val="both"/>
      </w:pPr>
      <w:r>
        <w:rPr/>
        <w:t>effective management of SCD. According to Hsu and Muller (2001), patients with SCA have</w:t>
      </w:r>
      <w:r>
        <w:rPr>
          <w:spacing w:val="1"/>
        </w:rPr>
        <w:t> </w:t>
      </w:r>
      <w:r>
        <w:rPr/>
        <w:t>greater than average requirements for both calories and micronutrients. Experts believe that</w:t>
      </w:r>
      <w:r>
        <w:rPr>
          <w:spacing w:val="1"/>
        </w:rPr>
        <w:t> </w:t>
      </w:r>
      <w:r>
        <w:rPr/>
        <w:t>augmenting abnormally low levels of certain micronutrients in sickle cell blood or certain dietary</w:t>
      </w:r>
      <w:r>
        <w:rPr>
          <w:spacing w:val="-57"/>
        </w:rPr>
        <w:t> </w:t>
      </w:r>
      <w:r>
        <w:rPr/>
        <w:t>constituents such as thiocyanate, might help ensure that individuals with SCD are healthy. For</w:t>
      </w:r>
      <w:r>
        <w:rPr>
          <w:spacing w:val="1"/>
        </w:rPr>
        <w:t> </w:t>
      </w:r>
      <w:r>
        <w:rPr/>
        <w:t>instance, it has been discovered that magnesium has the ability to reduce sickling of red blood</w:t>
      </w:r>
      <w:r>
        <w:rPr>
          <w:spacing w:val="1"/>
        </w:rPr>
        <w:t> </w:t>
      </w:r>
      <w:r>
        <w:rPr/>
        <w:t>cells (De Franceschi, 2009). In a study by De Franceschi </w:t>
      </w:r>
      <w:r>
        <w:rPr>
          <w:i/>
        </w:rPr>
        <w:t>et al</w:t>
      </w:r>
      <w:r>
        <w:rPr/>
        <w:t>., (1997), they concluded that oral</w:t>
      </w:r>
      <w:r>
        <w:rPr>
          <w:spacing w:val="1"/>
        </w:rPr>
        <w:t> </w:t>
      </w:r>
      <w:r>
        <w:rPr/>
        <w:t>magnesium</w:t>
      </w:r>
      <w:r>
        <w:rPr>
          <w:spacing w:val="1"/>
        </w:rPr>
        <w:t> </w:t>
      </w:r>
      <w:r>
        <w:rPr/>
        <w:t>supplementation</w:t>
      </w:r>
      <w:r>
        <w:rPr>
          <w:spacing w:val="1"/>
        </w:rPr>
        <w:t> </w:t>
      </w:r>
      <w:r>
        <w:rPr/>
        <w:t>reduces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dense</w:t>
      </w:r>
      <w:r>
        <w:rPr>
          <w:spacing w:val="1"/>
        </w:rPr>
        <w:t> </w:t>
      </w:r>
      <w:r>
        <w:rPr/>
        <w:t>erythrocytes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erythrocyte membrane transport abnormalities of patients with SCD. Certain minerals (Copper,</w:t>
      </w:r>
      <w:r>
        <w:rPr>
          <w:spacing w:val="1"/>
        </w:rPr>
        <w:t> </w:t>
      </w:r>
      <w:r>
        <w:rPr/>
        <w:t>Iron, Magnesium and Selenium), some antioxidants and</w:t>
      </w:r>
      <w:r>
        <w:rPr>
          <w:spacing w:val="60"/>
        </w:rPr>
        <w:t> </w:t>
      </w:r>
      <w:r>
        <w:rPr/>
        <w:t>vitamins (C, E, folate, B12, and B6)</w:t>
      </w:r>
      <w:r>
        <w:rPr>
          <w:spacing w:val="1"/>
        </w:rPr>
        <w:t> </w:t>
      </w:r>
      <w:r>
        <w:rPr/>
        <w:t>have been found to effectively relieve the oxidative stress that prevails in SCD (Okochi and</w:t>
      </w:r>
      <w:r>
        <w:rPr>
          <w:spacing w:val="1"/>
        </w:rPr>
        <w:t> </w:t>
      </w:r>
      <w:r>
        <w:rPr/>
        <w:t>Okpuzor 2005). In addition, it is a well known fact that Copper (Cu) is directly involved in the</w:t>
      </w:r>
      <w:r>
        <w:rPr>
          <w:spacing w:val="1"/>
        </w:rPr>
        <w:t> </w:t>
      </w:r>
      <w:r>
        <w:rPr/>
        <w:t>iron (Fe) metabolism; and Fe is important in the synthesis of blood. In SCD, red blood cells are</w:t>
      </w:r>
      <w:r>
        <w:rPr>
          <w:spacing w:val="1"/>
        </w:rPr>
        <w:t> </w:t>
      </w:r>
      <w:r>
        <w:rPr/>
        <w:t>constantly being lysed and constantly need to be replaced. A deficiency of copper will interfere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this process</w:t>
      </w:r>
      <w:r>
        <w:rPr>
          <w:spacing w:val="-1"/>
        </w:rPr>
        <w:t> </w:t>
      </w:r>
      <w:r>
        <w:rPr/>
        <w:t>by</w:t>
      </w:r>
      <w:r>
        <w:rPr>
          <w:spacing w:val="-8"/>
        </w:rPr>
        <w:t> </w:t>
      </w:r>
      <w:r>
        <w:rPr/>
        <w:t>worsening</w:t>
      </w:r>
      <w:r>
        <w:rPr>
          <w:spacing w:val="1"/>
        </w:rPr>
        <w:t> </w:t>
      </w:r>
      <w:r>
        <w:rPr/>
        <w:t>anaemia</w:t>
      </w:r>
      <w:r>
        <w:rPr>
          <w:spacing w:val="1"/>
        </w:rPr>
        <w:t> </w:t>
      </w:r>
      <w:r>
        <w:rPr/>
        <w:t>(Okochi</w:t>
      </w:r>
      <w:r>
        <w:rPr>
          <w:spacing w:val="-8"/>
        </w:rPr>
        <w:t> </w:t>
      </w:r>
      <w:r>
        <w:rPr/>
        <w:t>and</w:t>
      </w:r>
      <w:r>
        <w:rPr>
          <w:spacing w:val="7"/>
        </w:rPr>
        <w:t> </w:t>
      </w:r>
      <w:r>
        <w:rPr/>
        <w:t>Akpuzor</w:t>
      </w:r>
      <w:r>
        <w:rPr>
          <w:spacing w:val="2"/>
        </w:rPr>
        <w:t> </w:t>
      </w:r>
      <w:r>
        <w:rPr/>
        <w:t>2005).</w:t>
      </w:r>
    </w:p>
    <w:p>
      <w:pPr>
        <w:pStyle w:val="Heading1"/>
        <w:numPr>
          <w:ilvl w:val="1"/>
          <w:numId w:val="12"/>
        </w:numPr>
        <w:tabs>
          <w:tab w:pos="4056" w:val="left" w:leader="none"/>
        </w:tabs>
        <w:spacing w:line="240" w:lineRule="auto" w:before="199" w:after="0"/>
        <w:ind w:left="4055" w:right="0" w:hanging="361"/>
        <w:jc w:val="both"/>
      </w:pPr>
      <w:bookmarkStart w:name="_TOC_250052" w:id="2"/>
      <w:r>
        <w:rPr/>
        <w:t>Statement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Research</w:t>
      </w:r>
      <w:r>
        <w:rPr>
          <w:spacing w:val="-2"/>
        </w:rPr>
        <w:t> </w:t>
      </w:r>
      <w:bookmarkEnd w:id="2"/>
      <w:r>
        <w:rPr/>
        <w:t>Problem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38"/>
        <w:jc w:val="both"/>
      </w:pPr>
      <w:r>
        <w:rPr/>
        <w:t>SCD is one of the most common autosomal recessive disorders in the world (Lonergan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burden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sub-Saharan</w:t>
      </w:r>
      <w:r>
        <w:rPr>
          <w:spacing w:val="1"/>
        </w:rPr>
        <w:t> </w:t>
      </w:r>
      <w:r>
        <w:rPr/>
        <w:t>Africa,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approximately six million suffer from SCD, while 25 million others are carriers (Aliyu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SCA affects about three percent of children in Nigeria and is the commonest genetic</w:t>
      </w:r>
      <w:r>
        <w:rPr>
          <w:spacing w:val="1"/>
        </w:rPr>
        <w:t> </w:t>
      </w:r>
      <w:r>
        <w:rPr/>
        <w:t>disorder in the country (Ogunride </w:t>
      </w:r>
      <w:r>
        <w:rPr>
          <w:i/>
        </w:rPr>
        <w:t>et al</w:t>
      </w:r>
      <w:r>
        <w:rPr/>
        <w:t>., 2005). Eight percent of infant mortality in Nigeria every</w:t>
      </w:r>
      <w:r>
        <w:rPr>
          <w:spacing w:val="1"/>
        </w:rPr>
        <w:t> </w:t>
      </w:r>
      <w:r>
        <w:rPr/>
        <w:t>year</w:t>
      </w:r>
      <w:r>
        <w:rPr>
          <w:spacing w:val="7"/>
        </w:rPr>
        <w:t> </w:t>
      </w:r>
      <w:r>
        <w:rPr/>
        <w:t>is 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SCD</w:t>
      </w:r>
      <w:r>
        <w:rPr>
          <w:spacing w:val="2"/>
        </w:rPr>
        <w:t> </w:t>
      </w:r>
      <w:r>
        <w:rPr/>
        <w:t>(Awolusi,</w:t>
      </w:r>
      <w:r>
        <w:rPr>
          <w:spacing w:val="4"/>
        </w:rPr>
        <w:t> </w:t>
      </w:r>
      <w:r>
        <w:rPr/>
        <w:t>2010).</w:t>
      </w:r>
    </w:p>
    <w:p>
      <w:pPr>
        <w:pStyle w:val="BodyText"/>
        <w:spacing w:line="360" w:lineRule="auto" w:before="200"/>
        <w:ind w:left="820" w:right="1439"/>
        <w:jc w:val="both"/>
      </w:pPr>
      <w:r>
        <w:rPr/>
        <w:t>Of the 200, 000 children born with SCA yearly in Africa, 150, 000 of them are born in Nigeria-</w:t>
      </w:r>
      <w:r>
        <w:rPr>
          <w:spacing w:val="1"/>
        </w:rPr>
        <w:t> </w:t>
      </w:r>
      <w:r>
        <w:rPr/>
        <w:t>making it the country with the highest population of this endemic disease (Awolusi, 2010). In</w:t>
      </w:r>
      <w:r>
        <w:rPr>
          <w:spacing w:val="1"/>
        </w:rPr>
        <w:t> </w:t>
      </w:r>
      <w:r>
        <w:rPr/>
        <w:t>certain areas of sub-Saharan Africa, an estimated 40 to 60% of the population is heterozygous,</w:t>
      </w:r>
      <w:r>
        <w:rPr>
          <w:spacing w:val="1"/>
        </w:rPr>
        <w:t> </w:t>
      </w:r>
      <w:r>
        <w:rPr/>
        <w:t>suggesting that 1 to 4% of babies born in this region have the disease (Aliyu </w:t>
      </w:r>
      <w:r>
        <w:rPr>
          <w:i/>
        </w:rPr>
        <w:t>et al</w:t>
      </w:r>
      <w:r>
        <w:rPr/>
        <w:t>., 2008).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United States, it is the most common single gene disorder in black Americans, and about one in</w:t>
      </w:r>
      <w:r>
        <w:rPr>
          <w:spacing w:val="1"/>
        </w:rPr>
        <w:t> </w:t>
      </w:r>
      <w:r>
        <w:rPr/>
        <w:t>12</w:t>
      </w:r>
      <w:r>
        <w:rPr>
          <w:spacing w:val="-1"/>
        </w:rPr>
        <w:t> </w:t>
      </w:r>
      <w:r>
        <w:rPr/>
        <w:t>Americans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African</w:t>
      </w:r>
      <w:r>
        <w:rPr>
          <w:spacing w:val="-6"/>
        </w:rPr>
        <w:t> </w:t>
      </w:r>
      <w:r>
        <w:rPr/>
        <w:t>descent</w:t>
      </w:r>
      <w:r>
        <w:rPr>
          <w:spacing w:val="4"/>
        </w:rPr>
        <w:t> </w:t>
      </w:r>
      <w:r>
        <w:rPr/>
        <w:t>has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heterozygous</w:t>
      </w:r>
      <w:r>
        <w:rPr>
          <w:spacing w:val="-2"/>
        </w:rPr>
        <w:t> </w:t>
      </w:r>
      <w:r>
        <w:rPr/>
        <w:t>sickle</w:t>
      </w:r>
      <w:r>
        <w:rPr>
          <w:spacing w:val="-2"/>
        </w:rPr>
        <w:t> </w:t>
      </w:r>
      <w:r>
        <w:rPr/>
        <w:t>cell</w:t>
      </w:r>
      <w:r>
        <w:rPr>
          <w:spacing w:val="-5"/>
        </w:rPr>
        <w:t> </w:t>
      </w:r>
      <w:r>
        <w:rPr/>
        <w:t>trait</w:t>
      </w:r>
      <w:r>
        <w:rPr>
          <w:spacing w:val="5"/>
        </w:rPr>
        <w:t> </w:t>
      </w:r>
      <w:r>
        <w:rPr/>
        <w:t>(Lonergan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2"/>
        </w:rPr>
        <w:t> </w:t>
      </w:r>
      <w:r>
        <w:rPr/>
        <w:t>2001).</w:t>
      </w:r>
    </w:p>
    <w:p>
      <w:pPr>
        <w:pStyle w:val="BodyText"/>
        <w:spacing w:line="360" w:lineRule="auto" w:before="199"/>
        <w:ind w:left="820" w:right="1443"/>
        <w:jc w:val="both"/>
      </w:pPr>
      <w:r>
        <w:rPr/>
        <w:t>SCD is one of the most prevalent haematological diseases in the world. Despite the immense</w:t>
      </w:r>
      <w:r>
        <w:rPr>
          <w:spacing w:val="1"/>
        </w:rPr>
        <w:t> </w:t>
      </w:r>
      <w:r>
        <w:rPr/>
        <w:t>progress</w:t>
      </w:r>
      <w:r>
        <w:rPr>
          <w:spacing w:val="56"/>
        </w:rPr>
        <w:t> </w:t>
      </w:r>
      <w:r>
        <w:rPr/>
        <w:t>in</w:t>
      </w:r>
      <w:r>
        <w:rPr>
          <w:spacing w:val="55"/>
        </w:rPr>
        <w:t> </w:t>
      </w:r>
      <w:r>
        <w:rPr/>
        <w:t>molecular</w:t>
      </w:r>
      <w:r>
        <w:rPr>
          <w:spacing w:val="55"/>
        </w:rPr>
        <w:t> </w:t>
      </w:r>
      <w:r>
        <w:rPr/>
        <w:t>knowledge</w:t>
      </w:r>
      <w:r>
        <w:rPr>
          <w:spacing w:val="54"/>
        </w:rPr>
        <w:t> </w:t>
      </w:r>
      <w:r>
        <w:rPr/>
        <w:t>about</w:t>
      </w:r>
      <w:r>
        <w:rPr>
          <w:spacing w:val="54"/>
        </w:rPr>
        <w:t> </w:t>
      </w:r>
      <w:r>
        <w:rPr/>
        <w:t>SCD</w:t>
      </w:r>
      <w:r>
        <w:rPr>
          <w:spacing w:val="54"/>
        </w:rPr>
        <w:t> </w:t>
      </w:r>
      <w:r>
        <w:rPr/>
        <w:t>in</w:t>
      </w:r>
      <w:r>
        <w:rPr>
          <w:spacing w:val="49"/>
        </w:rPr>
        <w:t> </w:t>
      </w:r>
      <w:r>
        <w:rPr/>
        <w:t>the</w:t>
      </w:r>
      <w:r>
        <w:rPr>
          <w:spacing w:val="57"/>
        </w:rPr>
        <w:t> </w:t>
      </w:r>
      <w:r>
        <w:rPr/>
        <w:t>last  years,</w:t>
      </w:r>
      <w:r>
        <w:rPr>
          <w:spacing w:val="1"/>
        </w:rPr>
        <w:t> </w:t>
      </w:r>
      <w:r>
        <w:rPr/>
        <w:t>few</w:t>
      </w:r>
      <w:r>
        <w:rPr>
          <w:spacing w:val="53"/>
        </w:rPr>
        <w:t> </w:t>
      </w:r>
      <w:r>
        <w:rPr/>
        <w:t>therapeutic</w:t>
      </w:r>
      <w:r>
        <w:rPr>
          <w:spacing w:val="54"/>
        </w:rPr>
        <w:t> </w:t>
      </w:r>
      <w:r>
        <w:rPr/>
        <w:t>sources</w:t>
      </w:r>
      <w:r>
        <w:rPr>
          <w:spacing w:val="52"/>
        </w:rPr>
        <w:t> </w:t>
      </w:r>
      <w:r>
        <w:rPr/>
        <w:t>are</w:t>
      </w:r>
    </w:p>
    <w:p>
      <w:pPr>
        <w:spacing w:after="0" w:line="360" w:lineRule="auto"/>
        <w:jc w:val="both"/>
        <w:sectPr>
          <w:footerReference w:type="default" r:id="rId7"/>
          <w:pgSz w:w="12240" w:h="15840"/>
          <w:pgMar w:footer="1017" w:header="0" w:top="1360" w:bottom="1200" w:left="620" w:right="0"/>
          <w:pgNumType w:start="2"/>
        </w:sectPr>
      </w:pPr>
    </w:p>
    <w:p>
      <w:pPr>
        <w:pStyle w:val="BodyText"/>
        <w:spacing w:line="360" w:lineRule="auto" w:before="72"/>
        <w:ind w:left="820" w:right="1440"/>
        <w:jc w:val="both"/>
      </w:pPr>
      <w:r>
        <w:rPr/>
        <w:t>currently</w:t>
      </w:r>
      <w:r>
        <w:rPr>
          <w:spacing w:val="1"/>
        </w:rPr>
        <w:t> </w:t>
      </w:r>
      <w:r>
        <w:rPr/>
        <w:t>available.</w:t>
      </w:r>
      <w:r>
        <w:rPr>
          <w:spacing w:val="1"/>
        </w:rPr>
        <w:t> </w:t>
      </w:r>
      <w:r>
        <w:rPr/>
        <w:t>Nowadays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such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hydroxyurea or other foetal haemoglobin inducers and chelating agents; most of which have</w:t>
      </w:r>
      <w:r>
        <w:rPr>
          <w:spacing w:val="1"/>
        </w:rPr>
        <w:t> </w:t>
      </w:r>
      <w:r>
        <w:rPr/>
        <w:t>undesirable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expensive</w:t>
      </w:r>
      <w:r>
        <w:rPr>
          <w:spacing w:val="1"/>
        </w:rPr>
        <w:t> </w:t>
      </w:r>
      <w:r>
        <w:rPr/>
        <w:t>(Dos</w:t>
      </w:r>
      <w:r>
        <w:rPr>
          <w:spacing w:val="1"/>
        </w:rPr>
        <w:t> </w:t>
      </w:r>
      <w:r>
        <w:rPr/>
        <w:t>Santos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complications of SCD which vary widely among patients are tiresome to both the patients and</w:t>
      </w:r>
      <w:r>
        <w:rPr>
          <w:spacing w:val="1"/>
        </w:rPr>
        <w:t> </w:t>
      </w:r>
      <w:r>
        <w:rPr/>
        <w:t>physicians</w:t>
      </w:r>
      <w:r>
        <w:rPr>
          <w:spacing w:val="-1"/>
        </w:rPr>
        <w:t> </w:t>
      </w:r>
      <w:r>
        <w:rPr/>
        <w:t>(Steinberg,</w:t>
      </w:r>
      <w:r>
        <w:rPr>
          <w:spacing w:val="4"/>
        </w:rPr>
        <w:t> </w:t>
      </w:r>
      <w:r>
        <w:rPr/>
        <w:t>1999).</w:t>
      </w:r>
    </w:p>
    <w:p>
      <w:pPr>
        <w:pStyle w:val="BodyText"/>
        <w:spacing w:line="360" w:lineRule="auto" w:before="200"/>
        <w:ind w:left="820" w:right="1438"/>
        <w:jc w:val="both"/>
      </w:pPr>
      <w:r>
        <w:rPr/>
        <w:t>Malnutrition and resulting micronutrient deficiencies constitute a growing concern world-wide.</w:t>
      </w:r>
      <w:r>
        <w:rPr>
          <w:spacing w:val="1"/>
        </w:rPr>
        <w:t> </w:t>
      </w:r>
      <w:r>
        <w:rPr/>
        <w:t>Micronutrient</w:t>
      </w:r>
      <w:r>
        <w:rPr>
          <w:spacing w:val="1"/>
        </w:rPr>
        <w:t> </w:t>
      </w:r>
      <w:r>
        <w:rPr/>
        <w:t>deficiencies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increasingly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role</w:t>
      </w:r>
      <w:r>
        <w:rPr>
          <w:spacing w:val="61"/>
        </w:rPr>
        <w:t> </w:t>
      </w:r>
      <w:r>
        <w:rPr/>
        <w:t>in</w:t>
      </w:r>
      <w:r>
        <w:rPr>
          <w:spacing w:val="1"/>
        </w:rPr>
        <w:t> </w:t>
      </w:r>
      <w:r>
        <w:rPr/>
        <w:t>pathogenesis,</w:t>
      </w:r>
      <w:r>
        <w:rPr>
          <w:spacing w:val="1"/>
        </w:rPr>
        <w:t> </w:t>
      </w:r>
      <w:r>
        <w:rPr/>
        <w:t>progression,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severity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morbidity and mortality in certain population groups such as the pregnant women and children;</w:t>
      </w:r>
      <w:r>
        <w:rPr>
          <w:spacing w:val="1"/>
        </w:rPr>
        <w:t> </w:t>
      </w:r>
      <w:r>
        <w:rPr/>
        <w:t>hence it has an impact on the survival and quality of life of patients. Blood levels of several</w:t>
      </w:r>
      <w:r>
        <w:rPr>
          <w:spacing w:val="1"/>
        </w:rPr>
        <w:t> </w:t>
      </w:r>
      <w:r>
        <w:rPr/>
        <w:t>micronutrients are often low</w:t>
      </w:r>
      <w:r>
        <w:rPr>
          <w:spacing w:val="1"/>
        </w:rPr>
        <w:t> </w:t>
      </w:r>
      <w:r>
        <w:rPr/>
        <w:t>in individuals with SCD (Gray </w:t>
      </w:r>
      <w:r>
        <w:rPr>
          <w:i/>
        </w:rPr>
        <w:t>et al</w:t>
      </w:r>
      <w:r>
        <w:rPr/>
        <w:t>., 1992), and</w:t>
      </w:r>
      <w:r>
        <w:rPr>
          <w:spacing w:val="1"/>
        </w:rPr>
        <w:t> </w:t>
      </w:r>
      <w:r>
        <w:rPr/>
        <w:t>lack of one</w:t>
      </w:r>
      <w:r>
        <w:rPr>
          <w:spacing w:val="1"/>
        </w:rPr>
        <w:t> </w:t>
      </w:r>
      <w:r>
        <w:rPr/>
        <w:t>micronutrient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deficiencies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micronutrients.</w:t>
      </w:r>
      <w:r>
        <w:rPr>
          <w:spacing w:val="1"/>
        </w:rPr>
        <w:t> </w:t>
      </w:r>
      <w:r>
        <w:rPr/>
        <w:t>Deficiencies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micronutrients are associated with increased risks of morbidity and mortality in patients with</w:t>
      </w:r>
      <w:r>
        <w:rPr>
          <w:spacing w:val="1"/>
        </w:rPr>
        <w:t> </w:t>
      </w:r>
      <w:r>
        <w:rPr/>
        <w:t>SCD (Muller and Brugnara 2001); they also cause a significant depreciation in blood-antioxidant</w:t>
      </w:r>
      <w:r>
        <w:rPr>
          <w:spacing w:val="-57"/>
        </w:rPr>
        <w:t> </w:t>
      </w:r>
      <w:r>
        <w:rPr/>
        <w:t>status (Blann </w:t>
      </w:r>
      <w:r>
        <w:rPr>
          <w:i/>
        </w:rPr>
        <w:t>et al</w:t>
      </w:r>
      <w:r>
        <w:rPr/>
        <w:t>., 2003), which results in oxidative stress that may precipitate vaso-occlusion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crises (Klings and</w:t>
      </w:r>
      <w:r>
        <w:rPr>
          <w:spacing w:val="6"/>
        </w:rPr>
        <w:t> </w:t>
      </w:r>
      <w:r>
        <w:rPr/>
        <w:t>Farber</w:t>
      </w:r>
      <w:r>
        <w:rPr>
          <w:spacing w:val="3"/>
        </w:rPr>
        <w:t> </w:t>
      </w:r>
      <w:r>
        <w:rPr/>
        <w:t>2001).</w:t>
      </w:r>
    </w:p>
    <w:p>
      <w:pPr>
        <w:pStyle w:val="BodyText"/>
        <w:spacing w:line="360" w:lineRule="auto" w:before="199"/>
        <w:ind w:left="820" w:right="1438"/>
        <w:jc w:val="both"/>
      </w:pPr>
      <w:r>
        <w:rPr/>
        <w:t>Although,</w:t>
      </w:r>
      <w:r>
        <w:rPr>
          <w:spacing w:val="1"/>
        </w:rPr>
        <w:t> </w:t>
      </w:r>
      <w:r>
        <w:rPr/>
        <w:t>researches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micronutrient deficiencies and the severity of SCD; there have been conflicting reports. 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Olukoga </w:t>
      </w:r>
      <w:r>
        <w:rPr>
          <w:i/>
        </w:rPr>
        <w:t>et al</w:t>
      </w:r>
      <w:r>
        <w:rPr/>
        <w:t>., (1990) reported low plasma</w:t>
      </w:r>
      <w:r>
        <w:rPr>
          <w:spacing w:val="1"/>
        </w:rPr>
        <w:t> </w:t>
      </w:r>
      <w:r>
        <w:rPr/>
        <w:t>magnesium levels</w:t>
      </w:r>
      <w:r>
        <w:rPr>
          <w:spacing w:val="60"/>
        </w:rPr>
        <w:t> </w:t>
      </w:r>
      <w:r>
        <w:rPr/>
        <w:t>in SCD; in another</w:t>
      </w:r>
      <w:r>
        <w:rPr>
          <w:spacing w:val="1"/>
        </w:rPr>
        <w:t> </w:t>
      </w:r>
      <w:r>
        <w:rPr/>
        <w:t>study, he reported a low erythrocyte magnesium levels. Prasad </w:t>
      </w:r>
      <w:r>
        <w:rPr>
          <w:i/>
        </w:rPr>
        <w:t>et al</w:t>
      </w:r>
      <w:r>
        <w:rPr/>
        <w:t>., 1976, on the other hand</w:t>
      </w:r>
      <w:r>
        <w:rPr>
          <w:spacing w:val="1"/>
        </w:rPr>
        <w:t> </w:t>
      </w:r>
      <w:r>
        <w:rPr/>
        <w:t>reported a low plasma magnesium levels, but, an increased erythrocyte magnesium level in SCD;</w:t>
      </w:r>
      <w:r>
        <w:rPr>
          <w:spacing w:val="-57"/>
        </w:rPr>
        <w:t> </w:t>
      </w:r>
      <w:r>
        <w:rPr/>
        <w:t>while De Franceschi </w:t>
      </w:r>
      <w:r>
        <w:rPr>
          <w:i/>
        </w:rPr>
        <w:t>et al</w:t>
      </w:r>
      <w:r>
        <w:rPr/>
        <w:t>., (1997) reported low serum magnesium levels in SCD patients; and</w:t>
      </w:r>
      <w:r>
        <w:rPr>
          <w:spacing w:val="1"/>
        </w:rPr>
        <w:t> </w:t>
      </w:r>
      <w:r>
        <w:rPr/>
        <w:t>Oladipo </w:t>
      </w:r>
      <w:r>
        <w:rPr>
          <w:i/>
        </w:rPr>
        <w:t>et al</w:t>
      </w:r>
      <w:r>
        <w:rPr/>
        <w:t>., (2005) found no significant difference between the plasma magnesium levels in</w:t>
      </w:r>
      <w:r>
        <w:rPr>
          <w:spacing w:val="1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with</w:t>
      </w:r>
      <w:r>
        <w:rPr>
          <w:spacing w:val="-3"/>
        </w:rPr>
        <w:t> </w:t>
      </w:r>
      <w:r>
        <w:rPr/>
        <w:t>SCD</w:t>
      </w:r>
      <w:r>
        <w:rPr>
          <w:spacing w:val="2"/>
        </w:rPr>
        <w:t> </w:t>
      </w:r>
      <w:r>
        <w:rPr/>
        <w:t>and</w:t>
      </w:r>
      <w:r>
        <w:rPr>
          <w:spacing w:val="7"/>
        </w:rPr>
        <w:t> </w:t>
      </w:r>
      <w:r>
        <w:rPr/>
        <w:t>normal</w:t>
      </w:r>
      <w:r>
        <w:rPr>
          <w:spacing w:val="-7"/>
        </w:rPr>
        <w:t> </w:t>
      </w:r>
      <w:r>
        <w:rPr/>
        <w:t>controls.</w:t>
      </w:r>
    </w:p>
    <w:p>
      <w:pPr>
        <w:pStyle w:val="BodyText"/>
        <w:spacing w:line="360" w:lineRule="auto" w:before="201"/>
        <w:ind w:left="820" w:right="1440"/>
        <w:jc w:val="both"/>
      </w:pPr>
      <w:r>
        <w:rPr/>
        <w:t>Similarly, various studies have shown that zinc is deficient in patients with SCD. Prasad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(1976)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supplements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crises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SCD.</w:t>
      </w:r>
      <w:r>
        <w:rPr>
          <w:spacing w:val="1"/>
        </w:rPr>
        <w:t> </w:t>
      </w:r>
      <w:r>
        <w:rPr/>
        <w:t>However, a study in Ibadan (Akenami </w:t>
      </w:r>
      <w:r>
        <w:rPr>
          <w:i/>
        </w:rPr>
        <w:t>et al</w:t>
      </w:r>
      <w:r>
        <w:rPr/>
        <w:t>., 1999), found no relationship between serum zinc</w:t>
      </w:r>
      <w:r>
        <w:rPr>
          <w:spacing w:val="1"/>
        </w:rPr>
        <w:t> </w:t>
      </w:r>
      <w:r>
        <w:rPr/>
        <w:t>levels and the different degrees of clinical severity of the disease; while in Lagos, Temiye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(2011),</w:t>
      </w:r>
      <w:r>
        <w:rPr>
          <w:spacing w:val="53"/>
        </w:rPr>
        <w:t> </w:t>
      </w:r>
      <w:r>
        <w:rPr/>
        <w:t>found</w:t>
      </w:r>
      <w:r>
        <w:rPr>
          <w:spacing w:val="50"/>
        </w:rPr>
        <w:t> </w:t>
      </w:r>
      <w:r>
        <w:rPr/>
        <w:t>that</w:t>
      </w:r>
      <w:r>
        <w:rPr>
          <w:spacing w:val="57"/>
        </w:rPr>
        <w:t> </w:t>
      </w:r>
      <w:r>
        <w:rPr/>
        <w:t>children</w:t>
      </w:r>
      <w:r>
        <w:rPr>
          <w:spacing w:val="50"/>
        </w:rPr>
        <w:t> </w:t>
      </w:r>
      <w:r>
        <w:rPr/>
        <w:t>with</w:t>
      </w:r>
      <w:r>
        <w:rPr>
          <w:spacing w:val="51"/>
        </w:rPr>
        <w:t> </w:t>
      </w:r>
      <w:r>
        <w:rPr/>
        <w:t>SCA</w:t>
      </w:r>
      <w:r>
        <w:rPr>
          <w:spacing w:val="50"/>
        </w:rPr>
        <w:t> </w:t>
      </w:r>
      <w:r>
        <w:rPr/>
        <w:t>have</w:t>
      </w:r>
      <w:r>
        <w:rPr>
          <w:spacing w:val="55"/>
        </w:rPr>
        <w:t> </w:t>
      </w:r>
      <w:r>
        <w:rPr/>
        <w:t>low</w:t>
      </w:r>
      <w:r>
        <w:rPr>
          <w:spacing w:val="51"/>
        </w:rPr>
        <w:t> </w:t>
      </w:r>
      <w:r>
        <w:rPr/>
        <w:t>serum</w:t>
      </w:r>
      <w:r>
        <w:rPr>
          <w:spacing w:val="47"/>
        </w:rPr>
        <w:t> </w:t>
      </w:r>
      <w:r>
        <w:rPr/>
        <w:t>zinc</w:t>
      </w:r>
      <w:r>
        <w:rPr>
          <w:spacing w:val="56"/>
        </w:rPr>
        <w:t> </w:t>
      </w:r>
      <w:r>
        <w:rPr/>
        <w:t>levels.</w:t>
      </w:r>
      <w:r>
        <w:rPr>
          <w:spacing w:val="53"/>
        </w:rPr>
        <w:t> </w:t>
      </w:r>
      <w:r>
        <w:rPr/>
        <w:t>It</w:t>
      </w:r>
      <w:r>
        <w:rPr>
          <w:spacing w:val="2"/>
        </w:rPr>
        <w:t> </w:t>
      </w:r>
      <w:r>
        <w:rPr/>
        <w:t>is</w:t>
      </w:r>
      <w:r>
        <w:rPr>
          <w:spacing w:val="50"/>
        </w:rPr>
        <w:t> </w:t>
      </w:r>
      <w:r>
        <w:rPr/>
        <w:t>probable</w:t>
      </w:r>
      <w:r>
        <w:rPr>
          <w:spacing w:val="50"/>
        </w:rPr>
        <w:t> </w:t>
      </w:r>
      <w:r>
        <w:rPr/>
        <w:t>that</w:t>
      </w:r>
      <w:r>
        <w:rPr>
          <w:spacing w:val="56"/>
        </w:rPr>
        <w:t> </w:t>
      </w:r>
      <w:r>
        <w:rPr/>
        <w:t>zinc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55" w:lineRule="auto" w:before="72"/>
        <w:ind w:left="820" w:right="1445"/>
        <w:jc w:val="both"/>
      </w:pPr>
      <w:r>
        <w:rPr/>
        <w:t>deficiency may be associated with painful crises, so there is a need to study what is obtainable in</w:t>
      </w:r>
      <w:r>
        <w:rPr>
          <w:spacing w:val="1"/>
        </w:rPr>
        <w:t> </w:t>
      </w:r>
      <w:r>
        <w:rPr/>
        <w:t>our</w:t>
      </w:r>
      <w:r>
        <w:rPr>
          <w:spacing w:val="-2"/>
        </w:rPr>
        <w:t> </w:t>
      </w:r>
      <w:r>
        <w:rPr/>
        <w:t>environment.</w:t>
      </w:r>
    </w:p>
    <w:p>
      <w:pPr>
        <w:pStyle w:val="BodyText"/>
        <w:spacing w:line="360" w:lineRule="auto" w:before="210"/>
        <w:ind w:left="820" w:right="1439"/>
        <w:jc w:val="both"/>
      </w:pPr>
      <w:r>
        <w:rPr/>
        <w:t>In low and middle income settings, deficiencies of several micronutrients commonly occur, it is</w:t>
      </w:r>
      <w:r>
        <w:rPr>
          <w:spacing w:val="1"/>
        </w:rPr>
        <w:t> </w:t>
      </w:r>
      <w:r>
        <w:rPr/>
        <w:t>therefore important to find out whether the relationships between these and the burden of disease</w:t>
      </w:r>
      <w:r>
        <w:rPr>
          <w:spacing w:val="-57"/>
        </w:rPr>
        <w:t> </w:t>
      </w:r>
      <w:r>
        <w:rPr/>
        <w:t>are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or overlapping (Black,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Interventions to</w:t>
      </w:r>
      <w:r>
        <w:rPr>
          <w:spacing w:val="1"/>
        </w:rPr>
        <w:t> </w:t>
      </w:r>
      <w:r>
        <w:rPr/>
        <w:t>control these deficiencies</w:t>
      </w:r>
      <w:r>
        <w:rPr>
          <w:spacing w:val="60"/>
        </w:rPr>
        <w:t> </w:t>
      </w:r>
      <w:r>
        <w:rPr/>
        <w:t>can</w:t>
      </w:r>
      <w:r>
        <w:rPr>
          <w:spacing w:val="1"/>
        </w:rPr>
        <w:t> </w:t>
      </w:r>
      <w:r>
        <w:rPr/>
        <w:t>have</w:t>
      </w:r>
      <w:r>
        <w:rPr>
          <w:spacing w:val="60"/>
        </w:rPr>
        <w:t> </w:t>
      </w:r>
      <w:r>
        <w:rPr/>
        <w:t>broad benefits across a range of important infectious diseases, the prevention or treatment</w:t>
      </w:r>
      <w:r>
        <w:rPr>
          <w:spacing w:val="1"/>
        </w:rPr>
        <w:t> </w:t>
      </w:r>
      <w:r>
        <w:rPr/>
        <w:t>of which by other means has proven to be difficult in many settings. Furthermore, the reduction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illness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of</w:t>
      </w:r>
      <w:r>
        <w:rPr>
          <w:spacing w:val="-2"/>
        </w:rPr>
        <w:t> </w:t>
      </w:r>
      <w:r>
        <w:rPr/>
        <w:t>disabilities</w:t>
      </w:r>
      <w:r>
        <w:rPr>
          <w:spacing w:val="8"/>
        </w:rPr>
        <w:t> </w:t>
      </w:r>
      <w:r>
        <w:rPr/>
        <w:t>such as</w:t>
      </w:r>
      <w:r>
        <w:rPr>
          <w:spacing w:val="4"/>
        </w:rPr>
        <w:t> </w:t>
      </w:r>
      <w:r>
        <w:rPr/>
        <w:t>cognitive</w:t>
      </w:r>
      <w:r>
        <w:rPr>
          <w:spacing w:val="9"/>
        </w:rPr>
        <w:t> </w:t>
      </w:r>
      <w:r>
        <w:rPr/>
        <w:t>impairment</w:t>
      </w:r>
      <w:r>
        <w:rPr>
          <w:spacing w:val="11"/>
        </w:rPr>
        <w:t> </w:t>
      </w:r>
      <w:r>
        <w:rPr/>
        <w:t>and</w:t>
      </w:r>
      <w:r>
        <w:rPr>
          <w:spacing w:val="5"/>
        </w:rPr>
        <w:t> </w:t>
      </w:r>
      <w:r>
        <w:rPr/>
        <w:t>decreased</w:t>
      </w:r>
      <w:r>
        <w:rPr>
          <w:spacing w:val="6"/>
        </w:rPr>
        <w:t> </w:t>
      </w:r>
      <w:r>
        <w:rPr/>
        <w:t>work</w:t>
      </w:r>
      <w:r>
        <w:rPr>
          <w:spacing w:val="5"/>
        </w:rPr>
        <w:t> </w:t>
      </w:r>
      <w:r>
        <w:rPr/>
        <w:t>capacity</w:t>
      </w:r>
      <w:r>
        <w:rPr>
          <w:spacing w:val="1"/>
        </w:rPr>
        <w:t> </w:t>
      </w:r>
      <w:r>
        <w:rPr/>
        <w:t>can</w:t>
      </w:r>
      <w:r>
        <w:rPr>
          <w:spacing w:val="6"/>
        </w:rPr>
        <w:t> </w:t>
      </w:r>
      <w:r>
        <w:rPr/>
        <w:t>have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middle</w:t>
      </w:r>
      <w:r>
        <w:rPr>
          <w:spacing w:val="60"/>
        </w:rPr>
        <w:t> </w:t>
      </w:r>
      <w:r>
        <w:rPr/>
        <w:t>income</w:t>
      </w:r>
      <w:r>
        <w:rPr>
          <w:spacing w:val="1"/>
        </w:rPr>
        <w:t> </w:t>
      </w:r>
      <w:r>
        <w:rPr/>
        <w:t>countries. Public health interventions that can prevent or correct these micronutrient deficiencies</w:t>
      </w:r>
      <w:r>
        <w:rPr>
          <w:spacing w:val="1"/>
        </w:rPr>
        <w:t> </w:t>
      </w:r>
      <w:r>
        <w:rPr/>
        <w:t>merit</w:t>
      </w:r>
      <w:r>
        <w:rPr>
          <w:spacing w:val="5"/>
        </w:rPr>
        <w:t> </w:t>
      </w:r>
      <w:r>
        <w:rPr/>
        <w:t>the highest</w:t>
      </w:r>
      <w:r>
        <w:rPr>
          <w:spacing w:val="6"/>
        </w:rPr>
        <w:t> </w:t>
      </w:r>
      <w:r>
        <w:rPr/>
        <w:t>priority</w:t>
      </w:r>
      <w:r>
        <w:rPr>
          <w:spacing w:val="-4"/>
        </w:rPr>
        <w:t> </w:t>
      </w:r>
      <w:r>
        <w:rPr/>
        <w:t>for</w:t>
      </w:r>
      <w:r>
        <w:rPr>
          <w:spacing w:val="2"/>
        </w:rPr>
        <w:t> </w:t>
      </w:r>
      <w:r>
        <w:rPr/>
        <w:t>national</w:t>
      </w:r>
      <w:r>
        <w:rPr>
          <w:spacing w:val="-8"/>
        </w:rPr>
        <w:t> </w:t>
      </w:r>
      <w:r>
        <w:rPr/>
        <w:t>programmes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donor</w:t>
      </w:r>
      <w:r>
        <w:rPr>
          <w:spacing w:val="2"/>
        </w:rPr>
        <w:t> </w:t>
      </w:r>
      <w:r>
        <w:rPr/>
        <w:t>investment.</w:t>
      </w:r>
    </w:p>
    <w:p>
      <w:pPr>
        <w:pStyle w:val="BodyText"/>
        <w:spacing w:line="360" w:lineRule="auto" w:before="201"/>
        <w:ind w:left="820" w:right="1440"/>
        <w:jc w:val="both"/>
      </w:pPr>
      <w:r>
        <w:rPr/>
        <w:t>This research proposes to check the current drug management of sickle cell diseases in Ahmadu</w:t>
      </w:r>
      <w:r>
        <w:rPr>
          <w:spacing w:val="1"/>
        </w:rPr>
        <w:t> </w:t>
      </w:r>
      <w:r>
        <w:rPr/>
        <w:t>Bello University Teaching Hospital, Shika, Zaria; as well as determine the role micronutrients</w:t>
      </w:r>
      <w:r>
        <w:rPr>
          <w:spacing w:val="1"/>
        </w:rPr>
        <w:t> </w:t>
      </w:r>
      <w:r>
        <w:rPr/>
        <w:t>may play in SCD and to check for the relationship between the severity of crises and the level of</w:t>
      </w:r>
      <w:r>
        <w:rPr>
          <w:spacing w:val="1"/>
        </w:rPr>
        <w:t> </w:t>
      </w:r>
      <w:r>
        <w:rPr/>
        <w:t>four</w:t>
      </w:r>
      <w:r>
        <w:rPr>
          <w:spacing w:val="6"/>
        </w:rPr>
        <w:t> </w:t>
      </w:r>
      <w:r>
        <w:rPr/>
        <w:t>micronutrients-</w:t>
      </w:r>
      <w:r>
        <w:rPr>
          <w:spacing w:val="2"/>
        </w:rPr>
        <w:t> </w:t>
      </w:r>
      <w:r>
        <w:rPr/>
        <w:t>magnesium</w:t>
      </w:r>
      <w:r>
        <w:rPr>
          <w:spacing w:val="-9"/>
        </w:rPr>
        <w:t> </w:t>
      </w:r>
      <w:r>
        <w:rPr/>
        <w:t>(Mg</w:t>
      </w:r>
      <w:r>
        <w:rPr>
          <w:vertAlign w:val="superscript"/>
        </w:rPr>
        <w:t>2+</w:t>
      </w:r>
      <w:r>
        <w:rPr>
          <w:vertAlign w:val="baseline"/>
        </w:rPr>
        <w:t>),</w:t>
      </w:r>
      <w:r>
        <w:rPr>
          <w:spacing w:val="3"/>
          <w:vertAlign w:val="baseline"/>
        </w:rPr>
        <w:t> </w:t>
      </w:r>
      <w:r>
        <w:rPr>
          <w:vertAlign w:val="baseline"/>
        </w:rPr>
        <w:t>copper</w:t>
      </w:r>
      <w:r>
        <w:rPr>
          <w:spacing w:val="-3"/>
          <w:vertAlign w:val="baseline"/>
        </w:rPr>
        <w:t> </w:t>
      </w:r>
      <w:r>
        <w:rPr>
          <w:vertAlign w:val="baseline"/>
        </w:rPr>
        <w:t>(Cu</w:t>
      </w:r>
      <w:r>
        <w:rPr>
          <w:vertAlign w:val="superscript"/>
        </w:rPr>
        <w:t>2+</w:t>
      </w:r>
      <w:r>
        <w:rPr>
          <w:vertAlign w:val="baseline"/>
        </w:rPr>
        <w:t>),</w:t>
      </w:r>
      <w:r>
        <w:rPr>
          <w:spacing w:val="-2"/>
          <w:vertAlign w:val="baseline"/>
        </w:rPr>
        <w:t> </w:t>
      </w:r>
      <w:r>
        <w:rPr>
          <w:vertAlign w:val="baseline"/>
        </w:rPr>
        <w:t>iron</w:t>
      </w:r>
      <w:r>
        <w:rPr>
          <w:spacing w:val="-4"/>
          <w:vertAlign w:val="baseline"/>
        </w:rPr>
        <w:t> </w:t>
      </w:r>
      <w:r>
        <w:rPr>
          <w:vertAlign w:val="baseline"/>
        </w:rPr>
        <w:t>(Fe</w:t>
      </w:r>
      <w:r>
        <w:rPr>
          <w:vertAlign w:val="superscript"/>
        </w:rPr>
        <w:t>2+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and Zinc</w:t>
      </w:r>
      <w:r>
        <w:rPr>
          <w:spacing w:val="-1"/>
          <w:vertAlign w:val="baseline"/>
        </w:rPr>
        <w:t> </w:t>
      </w:r>
      <w:r>
        <w:rPr>
          <w:vertAlign w:val="baseline"/>
        </w:rPr>
        <w:t>(Zn</w:t>
      </w:r>
      <w:r>
        <w:rPr>
          <w:vertAlign w:val="superscript"/>
        </w:rPr>
        <w:t>2+</w:t>
      </w:r>
      <w:r>
        <w:rPr>
          <w:vertAlign w:val="baseline"/>
        </w:rPr>
        <w:t>).</w:t>
      </w:r>
    </w:p>
    <w:p>
      <w:pPr>
        <w:pStyle w:val="Heading1"/>
        <w:numPr>
          <w:ilvl w:val="1"/>
          <w:numId w:val="12"/>
        </w:numPr>
        <w:tabs>
          <w:tab w:pos="5044" w:val="left" w:leader="none"/>
        </w:tabs>
        <w:spacing w:line="240" w:lineRule="auto" w:before="201" w:after="0"/>
        <w:ind w:left="5044" w:right="0" w:hanging="360"/>
        <w:jc w:val="both"/>
      </w:pPr>
      <w:bookmarkStart w:name="_TOC_250051" w:id="3"/>
      <w:bookmarkEnd w:id="3"/>
      <w:r>
        <w:rPr/>
        <w:t>Justification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38"/>
        <w:jc w:val="both"/>
      </w:pPr>
      <w:r>
        <w:rPr/>
        <w:t>Micronutrient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SCD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correction</w:t>
      </w:r>
      <w:r>
        <w:rPr>
          <w:spacing w:val="1"/>
        </w:rPr>
        <w:t> </w:t>
      </w:r>
      <w:r>
        <w:rPr/>
        <w:t>(Gray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1992),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altered</w:t>
      </w:r>
      <w:r>
        <w:rPr>
          <w:spacing w:val="1"/>
        </w:rPr>
        <w:t> </w:t>
      </w:r>
      <w:r>
        <w:rPr/>
        <w:t>metabolism.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 micronutrient deficiencies and the severity of SCD, but, there is a</w:t>
      </w:r>
      <w:r>
        <w:rPr>
          <w:spacing w:val="60"/>
        </w:rPr>
        <w:t> </w:t>
      </w:r>
      <w:r>
        <w:rPr/>
        <w:t>paucity</w:t>
      </w:r>
      <w:r>
        <w:rPr>
          <w:spacing w:val="1"/>
        </w:rPr>
        <w:t> </w:t>
      </w:r>
      <w:r>
        <w:rPr/>
        <w:t>of information on their role in pathogenesis and management of SCDs (Oladipo </w:t>
      </w:r>
      <w:r>
        <w:rPr>
          <w:i/>
        </w:rPr>
        <w:t>et al</w:t>
      </w:r>
      <w:r>
        <w:rPr/>
        <w:t>., 2005).</w:t>
      </w:r>
      <w:r>
        <w:rPr>
          <w:spacing w:val="1"/>
        </w:rPr>
        <w:t> </w:t>
      </w:r>
      <w:r>
        <w:rPr/>
        <w:t>There is need to determine micronutrient levels in patients with sickle cell because if indeed</w:t>
      </w:r>
      <w:r>
        <w:rPr>
          <w:spacing w:val="1"/>
        </w:rPr>
        <w:t> </w:t>
      </w:r>
      <w:r>
        <w:rPr/>
        <w:t>deficiencies are discovered to be a contributing factor to ill health, it will provide a treatment</w:t>
      </w:r>
      <w:r>
        <w:rPr>
          <w:spacing w:val="1"/>
        </w:rPr>
        <w:t> </w:t>
      </w:r>
      <w:r>
        <w:rPr/>
        <w:t>intervention which will have a lot of benefits to the patient; who will experience an improved</w:t>
      </w:r>
      <w:r>
        <w:rPr>
          <w:spacing w:val="1"/>
        </w:rPr>
        <w:t> </w:t>
      </w:r>
      <w:r>
        <w:rPr/>
        <w:t>health, better quality of life, less severe episodes of crises, faster recovery from crises; all at 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affordable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currently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treatment/prevention</w:t>
      </w:r>
      <w:r>
        <w:rPr>
          <w:spacing w:val="1"/>
        </w:rPr>
        <w:t> </w:t>
      </w:r>
      <w:r>
        <w:rPr/>
        <w:t>strategies.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currently available methods for the management and/or treatment of sickle cell crises are either</w:t>
      </w:r>
      <w:r>
        <w:rPr>
          <w:spacing w:val="1"/>
        </w:rPr>
        <w:t> </w:t>
      </w:r>
      <w:r>
        <w:rPr/>
        <w:t>expensive (e.g. bone marrow transplant), have moral or religious ethical issues and conflicts (e.g.</w:t>
      </w:r>
      <w:r>
        <w:rPr>
          <w:spacing w:val="-57"/>
        </w:rPr>
        <w:t> </w:t>
      </w:r>
      <w:r>
        <w:rPr/>
        <w:t>antenatal</w:t>
      </w:r>
      <w:r>
        <w:rPr>
          <w:spacing w:val="22"/>
        </w:rPr>
        <w:t> </w:t>
      </w:r>
      <w:r>
        <w:rPr/>
        <w:t>screening),</w:t>
      </w:r>
      <w:r>
        <w:rPr>
          <w:spacing w:val="29"/>
        </w:rPr>
        <w:t> </w:t>
      </w:r>
      <w:r>
        <w:rPr/>
        <w:t>have</w:t>
      </w:r>
      <w:r>
        <w:rPr>
          <w:spacing w:val="30"/>
        </w:rPr>
        <w:t> </w:t>
      </w:r>
      <w:r>
        <w:rPr/>
        <w:t>intolerable</w:t>
      </w:r>
      <w:r>
        <w:rPr>
          <w:spacing w:val="26"/>
        </w:rPr>
        <w:t> </w:t>
      </w:r>
      <w:r>
        <w:rPr/>
        <w:t>side</w:t>
      </w:r>
      <w:r>
        <w:rPr>
          <w:spacing w:val="25"/>
        </w:rPr>
        <w:t> </w:t>
      </w:r>
      <w:r>
        <w:rPr/>
        <w:t>effects</w:t>
      </w:r>
      <w:r>
        <w:rPr>
          <w:spacing w:val="25"/>
        </w:rPr>
        <w:t> </w:t>
      </w:r>
      <w:r>
        <w:rPr/>
        <w:t>(e.g.</w:t>
      </w:r>
      <w:r>
        <w:rPr>
          <w:spacing w:val="24"/>
        </w:rPr>
        <w:t> </w:t>
      </w:r>
      <w:r>
        <w:rPr/>
        <w:t>hydroxyurea),</w:t>
      </w:r>
      <w:r>
        <w:rPr>
          <w:spacing w:val="28"/>
        </w:rPr>
        <w:t> </w:t>
      </w:r>
      <w:r>
        <w:rPr/>
        <w:t>still</w:t>
      </w:r>
      <w:r>
        <w:rPr>
          <w:spacing w:val="18"/>
        </w:rPr>
        <w:t> </w:t>
      </w:r>
      <w:r>
        <w:rPr/>
        <w:t>undergoing</w:t>
      </w:r>
      <w:r>
        <w:rPr>
          <w:spacing w:val="27"/>
        </w:rPr>
        <w:t> </w:t>
      </w:r>
      <w:r>
        <w:rPr/>
        <w:t>research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55" w:lineRule="auto" w:before="72"/>
        <w:ind w:left="820" w:right="1447"/>
        <w:jc w:val="both"/>
      </w:pPr>
      <w:r>
        <w:rPr/>
        <w:t>(e.g. Senicapoc [ bis{4-fluorophenyl} phenyl acetamide], or are not readily available. There is</w:t>
      </w:r>
      <w:r>
        <w:rPr>
          <w:spacing w:val="1"/>
        </w:rPr>
        <w:t> </w:t>
      </w:r>
      <w:r>
        <w:rPr/>
        <w:t>need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readily</w:t>
      </w:r>
      <w:r>
        <w:rPr>
          <w:spacing w:val="-6"/>
        </w:rPr>
        <w:t> </w:t>
      </w:r>
      <w:r>
        <w:rPr/>
        <w:t>available, cost</w:t>
      </w:r>
      <w:r>
        <w:rPr>
          <w:spacing w:val="-2"/>
        </w:rPr>
        <w:t> </w:t>
      </w:r>
      <w:r>
        <w:rPr/>
        <w:t>effective, easily</w:t>
      </w:r>
      <w:r>
        <w:rPr>
          <w:spacing w:val="-7"/>
        </w:rPr>
        <w:t> </w:t>
      </w:r>
      <w:r>
        <w:rPr/>
        <w:t>accessible</w:t>
      </w:r>
      <w:r>
        <w:rPr>
          <w:spacing w:val="2"/>
        </w:rPr>
        <w:t> </w:t>
      </w:r>
      <w:r>
        <w:rPr/>
        <w:t>means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management/</w:t>
      </w:r>
      <w:r>
        <w:rPr>
          <w:spacing w:val="-6"/>
        </w:rPr>
        <w:t> </w:t>
      </w:r>
      <w:r>
        <w:rPr/>
        <w:t>treatment.</w:t>
      </w:r>
    </w:p>
    <w:p>
      <w:pPr>
        <w:pStyle w:val="BodyText"/>
        <w:spacing w:line="360" w:lineRule="auto" w:before="210"/>
        <w:ind w:left="820" w:right="1439"/>
        <w:jc w:val="both"/>
      </w:pPr>
      <w:r>
        <w:rPr/>
        <w:t>Micronutrient status of individuals varies from place to place and the phenotypic expression of</w:t>
      </w:r>
      <w:r>
        <w:rPr>
          <w:spacing w:val="1"/>
        </w:rPr>
        <w:t> </w:t>
      </w:r>
      <w:r>
        <w:rPr/>
        <w:t>SCD varies with the environment</w:t>
      </w:r>
      <w:r>
        <w:rPr>
          <w:spacing w:val="60"/>
        </w:rPr>
        <w:t> </w:t>
      </w:r>
      <w:r>
        <w:rPr/>
        <w:t>and genetics. In Saudi Arabia, patients with SCA were found</w:t>
      </w:r>
      <w:r>
        <w:rPr>
          <w:spacing w:val="1"/>
        </w:rPr>
        <w:t> </w:t>
      </w:r>
      <w:r>
        <w:rPr/>
        <w:t>to have near normal levels of copper and zinc, while those in Northern Africa were found to</w:t>
      </w:r>
      <w:r>
        <w:rPr>
          <w:spacing w:val="1"/>
        </w:rPr>
        <w:t> </w:t>
      </w:r>
      <w:r>
        <w:rPr/>
        <w:t>suffer</w:t>
      </w:r>
      <w:r>
        <w:rPr>
          <w:spacing w:val="1"/>
        </w:rPr>
        <w:t> </w:t>
      </w:r>
      <w:r>
        <w:rPr/>
        <w:t>from zinc deficiency (Alayash </w:t>
      </w:r>
      <w:r>
        <w:rPr>
          <w:i/>
        </w:rPr>
        <w:t>et al</w:t>
      </w:r>
      <w:r>
        <w:rPr/>
        <w:t>., 1987). Also</w:t>
      </w:r>
      <w:r>
        <w:rPr>
          <w:spacing w:val="1"/>
        </w:rPr>
        <w:t> </w:t>
      </w:r>
      <w:r>
        <w:rPr/>
        <w:t>SCD patients in Saudi Arabia are</w:t>
      </w:r>
      <w:r>
        <w:rPr>
          <w:spacing w:val="1"/>
        </w:rPr>
        <w:t> </w:t>
      </w:r>
      <w:r>
        <w:rPr/>
        <w:t>genetically predisposed to having high levels of HbF which accounts for the mild expression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(Sergeant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SCD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haematological</w:t>
      </w:r>
      <w:r>
        <w:rPr>
          <w:spacing w:val="1"/>
        </w:rPr>
        <w:t> </w:t>
      </w:r>
      <w:r>
        <w:rPr/>
        <w:t>features.</w:t>
      </w:r>
      <w:r>
        <w:rPr>
          <w:spacing w:val="1"/>
        </w:rPr>
        <w:t> </w:t>
      </w:r>
      <w:r>
        <w:rPr/>
        <w:t>Although,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identical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abnormality, the clinical course, which may vary from death in early childhood to a virtually</w:t>
      </w:r>
      <w:r>
        <w:rPr>
          <w:spacing w:val="1"/>
        </w:rPr>
        <w:t> </w:t>
      </w:r>
      <w:r>
        <w:rPr/>
        <w:t>unrecognised condition at the age of 75 years, implies that factors other than SCD (genetics and</w:t>
      </w:r>
      <w:r>
        <w:rPr>
          <w:spacing w:val="1"/>
        </w:rPr>
        <w:t> </w:t>
      </w:r>
      <w:r>
        <w:rPr/>
        <w:t>environment) influence its expression and severity. According to Sergeant </w:t>
      </w:r>
      <w:r>
        <w:rPr>
          <w:i/>
        </w:rPr>
        <w:t>et al</w:t>
      </w:r>
      <w:r>
        <w:rPr/>
        <w:t>., (2001), it is</w:t>
      </w:r>
      <w:r>
        <w:rPr>
          <w:spacing w:val="1"/>
        </w:rPr>
        <w:t> </w:t>
      </w:r>
      <w:r>
        <w:rPr/>
        <w:t>unrealistic to examine disease manifestations independent of the environment since multiple</w:t>
      </w:r>
      <w:r>
        <w:rPr>
          <w:spacing w:val="1"/>
        </w:rPr>
        <w:t> </w:t>
      </w:r>
      <w:r>
        <w:rPr/>
        <w:t>interactions are inevitable; and it is unreasonable to base the management of diseases in one</w:t>
      </w:r>
      <w:r>
        <w:rPr>
          <w:spacing w:val="1"/>
        </w:rPr>
        <w:t> </w:t>
      </w:r>
      <w:r>
        <w:rPr/>
        <w:t>environment on the studies done in another different environment. It is therefore hoped that the</w:t>
      </w:r>
      <w:r>
        <w:rPr>
          <w:spacing w:val="1"/>
        </w:rPr>
        <w:t> </w:t>
      </w:r>
      <w:r>
        <w:rPr/>
        <w:t>results of this research will improve our understanding of SCD and its management</w:t>
      </w:r>
      <w:r>
        <w:rPr>
          <w:spacing w:val="1"/>
        </w:rPr>
        <w:t> </w:t>
      </w:r>
      <w:r>
        <w:rPr/>
        <w:t>in our</w:t>
      </w:r>
      <w:r>
        <w:rPr>
          <w:spacing w:val="1"/>
        </w:rPr>
        <w:t> </w:t>
      </w:r>
      <w:r>
        <w:rPr/>
        <w:t>environment.</w:t>
      </w:r>
    </w:p>
    <w:p>
      <w:pPr>
        <w:pStyle w:val="BodyText"/>
        <w:spacing w:line="360" w:lineRule="auto" w:before="198"/>
        <w:ind w:left="820" w:right="1441"/>
        <w:jc w:val="both"/>
      </w:pPr>
      <w:r>
        <w:rPr/>
        <w:t>To the best of our knowledge, a study on drug management and micronutrient levels in SCD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(ABUTH),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documented. Thus, the outcome of this research may have local, national, and international</w:t>
      </w:r>
      <w:r>
        <w:rPr>
          <w:spacing w:val="1"/>
        </w:rPr>
        <w:t> </w:t>
      </w:r>
      <w:r>
        <w:rPr/>
        <w:t>benefits.</w:t>
      </w:r>
    </w:p>
    <w:p>
      <w:pPr>
        <w:pStyle w:val="Heading1"/>
        <w:numPr>
          <w:ilvl w:val="1"/>
          <w:numId w:val="12"/>
        </w:numPr>
        <w:tabs>
          <w:tab w:pos="4459" w:val="left" w:leader="none"/>
        </w:tabs>
        <w:spacing w:line="240" w:lineRule="auto" w:before="202" w:after="0"/>
        <w:ind w:left="4458" w:right="0" w:hanging="361"/>
        <w:jc w:val="both"/>
      </w:pPr>
      <w:bookmarkStart w:name="_TOC_250050" w:id="4"/>
      <w:r>
        <w:rPr/>
        <w:t>Theoretical</w:t>
      </w:r>
      <w:r>
        <w:rPr>
          <w:spacing w:val="-7"/>
        </w:rPr>
        <w:t> </w:t>
      </w:r>
      <w:bookmarkEnd w:id="4"/>
      <w:r>
        <w:rPr/>
        <w:t>Framework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39"/>
        <w:jc w:val="both"/>
      </w:pPr>
      <w:r>
        <w:rPr/>
        <w:t>Drug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SCD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comparing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practices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ABUTH, Zaria; with standard treatment guidelines for Nigeria (2008). Plasma micronutrient</w:t>
      </w:r>
      <w:r>
        <w:rPr>
          <w:spacing w:val="1"/>
        </w:rPr>
        <w:t> </w:t>
      </w:r>
      <w:r>
        <w:rPr/>
        <w:t>levels of SCD patients were compared with apparently healthy volunteers of genotype HbAA.</w:t>
      </w:r>
      <w:r>
        <w:rPr>
          <w:spacing w:val="1"/>
        </w:rPr>
        <w:t> </w:t>
      </w:r>
      <w:r>
        <w:rPr/>
        <w:t>The plasma micronutrient (magnesium, zinc, copper, and iron) levels were determined using</w:t>
      </w:r>
      <w:r>
        <w:rPr>
          <w:spacing w:val="1"/>
        </w:rPr>
        <w:t> </w:t>
      </w:r>
      <w:r>
        <w:rPr/>
        <w:t>spectrophotometric methods at wave length of 520nm (Beckman Coulter DU 520 colorimeter).</w:t>
      </w:r>
      <w:r>
        <w:rPr>
          <w:spacing w:val="1"/>
        </w:rPr>
        <w:t> </w:t>
      </w:r>
      <w:r>
        <w:rPr/>
        <w:t>This was based on the theory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micronutrients form stable coloured complexes with</w:t>
      </w:r>
      <w:r>
        <w:rPr>
          <w:spacing w:val="1"/>
        </w:rPr>
        <w:t> </w:t>
      </w:r>
      <w:r>
        <w:rPr/>
        <w:t>specific</w:t>
      </w:r>
      <w:r>
        <w:rPr>
          <w:spacing w:val="25"/>
        </w:rPr>
        <w:t> </w:t>
      </w:r>
      <w:r>
        <w:rPr/>
        <w:t>reagents</w:t>
      </w:r>
      <w:r>
        <w:rPr>
          <w:spacing w:val="23"/>
        </w:rPr>
        <w:t> </w:t>
      </w:r>
      <w:r>
        <w:rPr/>
        <w:t>at</w:t>
      </w:r>
      <w:r>
        <w:rPr>
          <w:spacing w:val="31"/>
        </w:rPr>
        <w:t> </w:t>
      </w:r>
      <w:r>
        <w:rPr/>
        <w:t>specific</w:t>
      </w:r>
      <w:r>
        <w:rPr>
          <w:spacing w:val="25"/>
        </w:rPr>
        <w:t> </w:t>
      </w:r>
      <w:r>
        <w:rPr/>
        <w:t>pHs.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intensity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colour</w:t>
      </w:r>
      <w:r>
        <w:rPr>
          <w:spacing w:val="27"/>
        </w:rPr>
        <w:t> </w:t>
      </w:r>
      <w:r>
        <w:rPr/>
        <w:t>formed</w:t>
      </w:r>
      <w:r>
        <w:rPr>
          <w:spacing w:val="30"/>
        </w:rPr>
        <w:t> </w:t>
      </w:r>
      <w:r>
        <w:rPr/>
        <w:t>is</w:t>
      </w:r>
      <w:r>
        <w:rPr>
          <w:spacing w:val="23"/>
        </w:rPr>
        <w:t> </w:t>
      </w:r>
      <w:r>
        <w:rPr/>
        <w:t>proportional</w:t>
      </w:r>
      <w:r>
        <w:rPr>
          <w:spacing w:val="17"/>
        </w:rPr>
        <w:t> </w:t>
      </w:r>
      <w:r>
        <w:rPr/>
        <w:t>to</w:t>
      </w:r>
      <w:r>
        <w:rPr>
          <w:spacing w:val="25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57" w:lineRule="auto" w:before="112"/>
        <w:ind w:left="820" w:right="1440"/>
        <w:jc w:val="both"/>
      </w:pPr>
      <w:r>
        <w:rPr/>
        <w:t>concentration of micronutrient in the sample. Serum or plasma levels of Mg</w:t>
      </w:r>
      <w:r>
        <w:rPr>
          <w:vertAlign w:val="superscript"/>
        </w:rPr>
        <w:t>2+</w:t>
      </w:r>
      <w:r>
        <w:rPr>
          <w:vertAlign w:val="baseline"/>
        </w:rPr>
        <w:t> (Ismail </w:t>
      </w:r>
      <w:r>
        <w:rPr>
          <w:i/>
          <w:vertAlign w:val="baseline"/>
        </w:rPr>
        <w:t>et al</w:t>
      </w:r>
      <w:r>
        <w:rPr>
          <w:vertAlign w:val="baseline"/>
        </w:rPr>
        <w:t>.,</w:t>
      </w:r>
      <w:r>
        <w:rPr>
          <w:spacing w:val="1"/>
          <w:vertAlign w:val="baseline"/>
        </w:rPr>
        <w:t> </w:t>
      </w:r>
      <w:r>
        <w:rPr>
          <w:vertAlign w:val="baseline"/>
        </w:rPr>
        <w:t>2010), Zn</w:t>
      </w:r>
      <w:r>
        <w:rPr>
          <w:vertAlign w:val="superscript"/>
        </w:rPr>
        <w:t>2+</w:t>
      </w:r>
      <w:r>
        <w:rPr>
          <w:vertAlign w:val="baseline"/>
        </w:rPr>
        <w:t> (Guerrieri </w:t>
      </w:r>
      <w:r>
        <w:rPr>
          <w:i/>
          <w:vertAlign w:val="baseline"/>
        </w:rPr>
        <w:t>et al</w:t>
      </w:r>
      <w:r>
        <w:rPr>
          <w:vertAlign w:val="baseline"/>
        </w:rPr>
        <w:t>., 1986), Cu</w:t>
      </w:r>
      <w:r>
        <w:rPr>
          <w:vertAlign w:val="superscript"/>
        </w:rPr>
        <w:t>2+</w:t>
      </w:r>
      <w:r>
        <w:rPr>
          <w:vertAlign w:val="baseline"/>
        </w:rPr>
        <w:t> and Fe</w:t>
      </w:r>
      <w:r>
        <w:rPr>
          <w:vertAlign w:val="superscript"/>
        </w:rPr>
        <w:t>2+</w:t>
      </w:r>
      <w:r>
        <w:rPr>
          <w:vertAlign w:val="baseline"/>
        </w:rPr>
        <w:t> (Narasinga, 2003) can be used clinically to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 deficiencies of</w:t>
      </w:r>
      <w:r>
        <w:rPr>
          <w:spacing w:val="-6"/>
          <w:vertAlign w:val="baseline"/>
        </w:rPr>
        <w:t> </w:t>
      </w:r>
      <w:r>
        <w:rPr>
          <w:vertAlign w:val="baseline"/>
        </w:rPr>
        <w:t>these</w:t>
      </w:r>
      <w:r>
        <w:rPr>
          <w:spacing w:val="5"/>
          <w:vertAlign w:val="baseline"/>
        </w:rPr>
        <w:t> </w:t>
      </w:r>
      <w:r>
        <w:rPr>
          <w:vertAlign w:val="baseline"/>
        </w:rPr>
        <w:t>micronutrients.</w:t>
      </w:r>
    </w:p>
    <w:p>
      <w:pPr>
        <w:pStyle w:val="Heading1"/>
        <w:numPr>
          <w:ilvl w:val="1"/>
          <w:numId w:val="12"/>
        </w:numPr>
        <w:tabs>
          <w:tab w:pos="4430" w:val="left" w:leader="none"/>
        </w:tabs>
        <w:spacing w:line="240" w:lineRule="auto" w:before="206" w:after="0"/>
        <w:ind w:left="4429" w:right="0" w:hanging="361"/>
        <w:jc w:val="both"/>
      </w:pPr>
      <w:bookmarkStart w:name="_TOC_250049" w:id="5"/>
      <w:r>
        <w:rPr/>
        <w:t>Importance of</w:t>
      </w:r>
      <w:r>
        <w:rPr>
          <w:spacing w:val="-2"/>
        </w:rPr>
        <w:t> </w:t>
      </w:r>
      <w:bookmarkEnd w:id="5"/>
      <w:r>
        <w:rPr/>
        <w:t>the Study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35"/>
        <w:jc w:val="both"/>
      </w:pPr>
      <w:r>
        <w:rPr/>
        <w:t>Evaluating drug management of disease conditions is important to ensure that they are up to date</w:t>
      </w:r>
      <w:r>
        <w:rPr>
          <w:spacing w:val="1"/>
        </w:rPr>
        <w:t> </w:t>
      </w:r>
      <w:r>
        <w:rPr/>
        <w:t>with current guidelines. A better understanding of pathogenesis of SCD may enhance its drug</w:t>
      </w:r>
      <w:r>
        <w:rPr>
          <w:spacing w:val="1"/>
        </w:rPr>
        <w:t> </w:t>
      </w:r>
      <w:r>
        <w:rPr/>
        <w:t>management. Pathogenesis is defined as pathologic, physiologic, and biochemical mechanism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 the development</w:t>
      </w:r>
      <w:r>
        <w:rPr>
          <w:spacing w:val="1"/>
        </w:rPr>
        <w:t> </w:t>
      </w:r>
      <w:r>
        <w:rPr/>
        <w:t>of a disease or</w:t>
      </w:r>
      <w:r>
        <w:rPr>
          <w:spacing w:val="1"/>
        </w:rPr>
        <w:t> </w:t>
      </w:r>
      <w:r>
        <w:rPr/>
        <w:t>morbid state.</w:t>
      </w:r>
      <w:r>
        <w:rPr>
          <w:spacing w:val="1"/>
        </w:rPr>
        <w:t> </w:t>
      </w:r>
      <w:r>
        <w:rPr/>
        <w:t>By determining the</w:t>
      </w:r>
      <w:r>
        <w:rPr>
          <w:spacing w:val="60"/>
        </w:rPr>
        <w:t> </w:t>
      </w:r>
      <w:r>
        <w:rPr/>
        <w:t>micronutrient</w:t>
      </w:r>
      <w:r>
        <w:rPr>
          <w:spacing w:val="1"/>
        </w:rPr>
        <w:t> </w:t>
      </w:r>
      <w:r>
        <w:rPr/>
        <w:t>levels in our environment, a relationship may be established between these levels and SCD; and</w:t>
      </w:r>
      <w:r>
        <w:rPr>
          <w:spacing w:val="1"/>
        </w:rPr>
        <w:t> </w:t>
      </w:r>
      <w:r>
        <w:rPr/>
        <w:t>this</w:t>
      </w:r>
      <w:r>
        <w:rPr>
          <w:spacing w:val="3"/>
        </w:rPr>
        <w:t> </w:t>
      </w:r>
      <w:r>
        <w:rPr/>
        <w:t>may</w:t>
      </w:r>
      <w:r>
        <w:rPr>
          <w:spacing w:val="-9"/>
        </w:rPr>
        <w:t> </w:t>
      </w:r>
      <w:r>
        <w:rPr/>
        <w:t>enable us</w:t>
      </w:r>
      <w:r>
        <w:rPr>
          <w:spacing w:val="-1"/>
        </w:rPr>
        <w:t> </w:t>
      </w:r>
      <w:r>
        <w:rPr/>
        <w:t>establish</w:t>
      </w:r>
      <w:r>
        <w:rPr>
          <w:spacing w:val="-4"/>
        </w:rPr>
        <w:t> </w:t>
      </w:r>
      <w:r>
        <w:rPr/>
        <w:t>a new</w:t>
      </w:r>
      <w:r>
        <w:rPr>
          <w:spacing w:val="5"/>
        </w:rPr>
        <w:t> </w:t>
      </w:r>
      <w:r>
        <w:rPr/>
        <w:t>management</w:t>
      </w:r>
      <w:r>
        <w:rPr>
          <w:spacing w:val="9"/>
        </w:rPr>
        <w:t> </w:t>
      </w:r>
      <w:r>
        <w:rPr/>
        <w:t>strategy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the treatment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SCD.</w:t>
      </w:r>
    </w:p>
    <w:p>
      <w:pPr>
        <w:pStyle w:val="Heading1"/>
        <w:numPr>
          <w:ilvl w:val="1"/>
          <w:numId w:val="12"/>
        </w:numPr>
        <w:tabs>
          <w:tab w:pos="4488" w:val="left" w:leader="none"/>
        </w:tabs>
        <w:spacing w:line="240" w:lineRule="auto" w:before="199" w:after="0"/>
        <w:ind w:left="4487" w:right="0" w:hanging="361"/>
        <w:jc w:val="both"/>
      </w:pPr>
      <w:bookmarkStart w:name="_TOC_250048" w:id="6"/>
      <w:r>
        <w:rPr/>
        <w:t>Objectives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6"/>
      <w:r>
        <w:rPr/>
        <w:t>Study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40"/>
        <w:jc w:val="both"/>
      </w:pPr>
      <w:r>
        <w:rPr/>
        <w:t>The aim of this research is to determine the current drug management used in ABUTH and assay</w:t>
      </w:r>
      <w:r>
        <w:rPr>
          <w:spacing w:val="-57"/>
        </w:rPr>
        <w:t> </w:t>
      </w:r>
      <w:r>
        <w:rPr/>
        <w:t>the micronutrient levels of sickle cell disease patients in Ahmadu Bello University Teaching</w:t>
      </w:r>
      <w:r>
        <w:rPr>
          <w:spacing w:val="1"/>
        </w:rPr>
        <w:t> </w:t>
      </w:r>
      <w:r>
        <w:rPr/>
        <w:t>Hospital</w:t>
      </w:r>
      <w:r>
        <w:rPr>
          <w:spacing w:val="-8"/>
        </w:rPr>
        <w:t> </w:t>
      </w:r>
      <w:r>
        <w:rPr/>
        <w:t>(ABUTH),</w:t>
      </w:r>
      <w:r>
        <w:rPr>
          <w:spacing w:val="4"/>
        </w:rPr>
        <w:t> </w:t>
      </w:r>
      <w:r>
        <w:rPr/>
        <w:t>Shika,</w:t>
      </w:r>
      <w:r>
        <w:rPr>
          <w:spacing w:val="4"/>
        </w:rPr>
        <w:t> </w:t>
      </w:r>
      <w:r>
        <w:rPr/>
        <w:t>Zaria</w:t>
      </w:r>
      <w:r>
        <w:rPr>
          <w:spacing w:val="6"/>
        </w:rPr>
        <w:t> </w:t>
      </w:r>
      <w:r>
        <w:rPr/>
        <w:t>in</w:t>
      </w:r>
      <w:r>
        <w:rPr>
          <w:spacing w:val="-4"/>
        </w:rPr>
        <w:t> </w:t>
      </w:r>
      <w:r>
        <w:rPr/>
        <w:t>2011.</w:t>
      </w:r>
    </w:p>
    <w:p>
      <w:pPr>
        <w:pStyle w:val="BodyText"/>
        <w:spacing w:before="198"/>
        <w:ind w:left="820"/>
        <w:jc w:val="both"/>
      </w:pPr>
      <w:r>
        <w:rPr/>
        <w:t>The</w:t>
      </w:r>
      <w:r>
        <w:rPr>
          <w:spacing w:val="-3"/>
        </w:rPr>
        <w:t> </w:t>
      </w:r>
      <w:r>
        <w:rPr/>
        <w:t>specific</w:t>
      </w:r>
      <w:r>
        <w:rPr>
          <w:spacing w:val="-3"/>
        </w:rPr>
        <w:t> </w:t>
      </w:r>
      <w:r>
        <w:rPr/>
        <w:t>objectives</w:t>
      </w:r>
      <w:r>
        <w:rPr>
          <w:spacing w:val="-4"/>
        </w:rPr>
        <w:t> </w:t>
      </w:r>
      <w:r>
        <w:rPr/>
        <w:t>are: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13"/>
        </w:numPr>
        <w:tabs>
          <w:tab w:pos="1540" w:val="left" w:leader="none"/>
        </w:tabs>
        <w:spacing w:line="240" w:lineRule="auto" w:before="0" w:after="0"/>
        <w:ind w:left="1540" w:right="0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check</w:t>
      </w:r>
      <w:r>
        <w:rPr>
          <w:spacing w:val="-3"/>
          <w:sz w:val="24"/>
        </w:rPr>
        <w:t> </w:t>
      </w:r>
      <w:r>
        <w:rPr>
          <w:sz w:val="24"/>
        </w:rPr>
        <w:t>current</w:t>
      </w:r>
      <w:r>
        <w:rPr>
          <w:spacing w:val="2"/>
          <w:sz w:val="24"/>
        </w:rPr>
        <w:t> </w:t>
      </w:r>
      <w:r>
        <w:rPr>
          <w:sz w:val="24"/>
        </w:rPr>
        <w:t>drug</w:t>
      </w:r>
      <w:r>
        <w:rPr>
          <w:spacing w:val="-7"/>
          <w:sz w:val="24"/>
        </w:rPr>
        <w:t> </w:t>
      </w:r>
      <w:r>
        <w:rPr>
          <w:sz w:val="24"/>
        </w:rPr>
        <w:t>management</w:t>
      </w:r>
      <w:r>
        <w:rPr>
          <w:spacing w:val="2"/>
          <w:sz w:val="24"/>
        </w:rPr>
        <w:t> </w:t>
      </w:r>
      <w:r>
        <w:rPr>
          <w:sz w:val="24"/>
        </w:rPr>
        <w:t>protocols in</w:t>
      </w:r>
      <w:r>
        <w:rPr>
          <w:spacing w:val="-8"/>
          <w:sz w:val="24"/>
        </w:rPr>
        <w:t> </w:t>
      </w:r>
      <w:r>
        <w:rPr>
          <w:sz w:val="24"/>
        </w:rPr>
        <w:t>SCD</w:t>
      </w:r>
      <w:r>
        <w:rPr>
          <w:spacing w:val="-2"/>
          <w:sz w:val="24"/>
        </w:rPr>
        <w:t> </w:t>
      </w:r>
      <w:r>
        <w:rPr>
          <w:sz w:val="24"/>
        </w:rPr>
        <w:t>patients in</w:t>
      </w:r>
      <w:r>
        <w:rPr>
          <w:spacing w:val="-8"/>
          <w:sz w:val="24"/>
        </w:rPr>
        <w:t> </w:t>
      </w:r>
      <w:r>
        <w:rPr>
          <w:sz w:val="24"/>
        </w:rPr>
        <w:t>ABUTH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13"/>
        </w:numPr>
        <w:tabs>
          <w:tab w:pos="1540" w:val="left" w:leader="none"/>
        </w:tabs>
        <w:spacing w:line="240" w:lineRule="auto" w:before="0" w:after="0"/>
        <w:ind w:left="1540" w:right="0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determine</w:t>
      </w:r>
      <w:r>
        <w:rPr>
          <w:spacing w:val="-5"/>
          <w:sz w:val="24"/>
        </w:rPr>
        <w:t> </w:t>
      </w:r>
      <w:r>
        <w:rPr>
          <w:sz w:val="24"/>
        </w:rPr>
        <w:t>plasma levels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magnesium,</w:t>
      </w:r>
      <w:r>
        <w:rPr>
          <w:spacing w:val="-2"/>
          <w:sz w:val="24"/>
        </w:rPr>
        <w:t> </w:t>
      </w:r>
      <w:r>
        <w:rPr>
          <w:sz w:val="24"/>
        </w:rPr>
        <w:t>zinc,</w:t>
      </w:r>
      <w:r>
        <w:rPr>
          <w:spacing w:val="-2"/>
          <w:sz w:val="24"/>
        </w:rPr>
        <w:t> </w:t>
      </w:r>
      <w:r>
        <w:rPr>
          <w:sz w:val="24"/>
        </w:rPr>
        <w:t>copper,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iron</w:t>
      </w:r>
      <w:r>
        <w:rPr>
          <w:spacing w:val="-4"/>
          <w:sz w:val="24"/>
        </w:rPr>
        <w:t> </w:t>
      </w:r>
      <w:r>
        <w:rPr>
          <w:sz w:val="24"/>
        </w:rPr>
        <w:t>in:</w:t>
      </w:r>
    </w:p>
    <w:p>
      <w:pPr>
        <w:pStyle w:val="BodyText"/>
        <w:rPr>
          <w:sz w:val="29"/>
        </w:rPr>
      </w:pPr>
    </w:p>
    <w:p>
      <w:pPr>
        <w:pStyle w:val="ListParagraph"/>
        <w:numPr>
          <w:ilvl w:val="1"/>
          <w:numId w:val="13"/>
        </w:numPr>
        <w:tabs>
          <w:tab w:pos="2260" w:val="left" w:leader="none"/>
        </w:tabs>
        <w:spacing w:line="240" w:lineRule="auto" w:before="0" w:after="0"/>
        <w:ind w:left="2260" w:right="0" w:hanging="360"/>
        <w:jc w:val="left"/>
        <w:rPr>
          <w:sz w:val="24"/>
        </w:rPr>
      </w:pPr>
      <w:r>
        <w:rPr>
          <w:sz w:val="24"/>
        </w:rPr>
        <w:t>sickle</w:t>
      </w:r>
      <w:r>
        <w:rPr>
          <w:spacing w:val="-2"/>
          <w:sz w:val="24"/>
        </w:rPr>
        <w:t> </w:t>
      </w:r>
      <w:r>
        <w:rPr>
          <w:sz w:val="24"/>
        </w:rPr>
        <w:t>cell</w:t>
      </w:r>
      <w:r>
        <w:rPr>
          <w:spacing w:val="-4"/>
          <w:sz w:val="24"/>
        </w:rPr>
        <w:t> </w:t>
      </w:r>
      <w:r>
        <w:rPr>
          <w:sz w:val="24"/>
        </w:rPr>
        <w:t>disease</w:t>
      </w:r>
      <w:r>
        <w:rPr>
          <w:spacing w:val="-2"/>
          <w:sz w:val="24"/>
        </w:rPr>
        <w:t> </w:t>
      </w:r>
      <w:r>
        <w:rPr>
          <w:sz w:val="24"/>
        </w:rPr>
        <w:t>patients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steady</w:t>
      </w:r>
      <w:r>
        <w:rPr>
          <w:spacing w:val="-5"/>
          <w:sz w:val="24"/>
        </w:rPr>
        <w:t> </w:t>
      </w:r>
      <w:r>
        <w:rPr>
          <w:sz w:val="24"/>
        </w:rPr>
        <w:t>state,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13"/>
        </w:numPr>
        <w:tabs>
          <w:tab w:pos="2260" w:val="left" w:leader="none"/>
        </w:tabs>
        <w:spacing w:line="240" w:lineRule="auto" w:before="0" w:after="0"/>
        <w:ind w:left="2260" w:right="0" w:hanging="360"/>
        <w:jc w:val="left"/>
        <w:rPr>
          <w:sz w:val="24"/>
        </w:rPr>
      </w:pPr>
      <w:r>
        <w:rPr>
          <w:sz w:val="24"/>
        </w:rPr>
        <w:t>sickle</w:t>
      </w:r>
      <w:r>
        <w:rPr>
          <w:spacing w:val="-4"/>
          <w:sz w:val="24"/>
        </w:rPr>
        <w:t> </w:t>
      </w:r>
      <w:r>
        <w:rPr>
          <w:sz w:val="24"/>
        </w:rPr>
        <w:t>cell</w:t>
      </w:r>
      <w:r>
        <w:rPr>
          <w:spacing w:val="-5"/>
          <w:sz w:val="24"/>
        </w:rPr>
        <w:t> </w:t>
      </w:r>
      <w:r>
        <w:rPr>
          <w:sz w:val="24"/>
        </w:rPr>
        <w:t>disease</w:t>
      </w:r>
      <w:r>
        <w:rPr>
          <w:spacing w:val="-3"/>
          <w:sz w:val="24"/>
        </w:rPr>
        <w:t> </w:t>
      </w:r>
      <w:r>
        <w:rPr>
          <w:sz w:val="24"/>
        </w:rPr>
        <w:t>patients in</w:t>
      </w:r>
      <w:r>
        <w:rPr>
          <w:spacing w:val="-7"/>
          <w:sz w:val="24"/>
        </w:rPr>
        <w:t> </w:t>
      </w:r>
      <w:r>
        <w:rPr>
          <w:sz w:val="24"/>
        </w:rPr>
        <w:t>crises, and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13"/>
        </w:numPr>
        <w:tabs>
          <w:tab w:pos="2260" w:val="left" w:leader="none"/>
        </w:tabs>
        <w:spacing w:line="240" w:lineRule="auto" w:before="0" w:after="0"/>
        <w:ind w:left="2260" w:right="0" w:hanging="360"/>
        <w:jc w:val="left"/>
        <w:rPr>
          <w:sz w:val="24"/>
        </w:rPr>
      </w:pPr>
      <w:r>
        <w:rPr>
          <w:sz w:val="24"/>
        </w:rPr>
        <w:t>apparently</w:t>
      </w:r>
      <w:r>
        <w:rPr>
          <w:spacing w:val="-5"/>
          <w:sz w:val="24"/>
        </w:rPr>
        <w:t> </w:t>
      </w:r>
      <w:r>
        <w:rPr>
          <w:sz w:val="24"/>
        </w:rPr>
        <w:t>healthy</w:t>
      </w:r>
      <w:r>
        <w:rPr>
          <w:spacing w:val="-9"/>
          <w:sz w:val="24"/>
        </w:rPr>
        <w:t> </w:t>
      </w:r>
      <w:r>
        <w:rPr>
          <w:sz w:val="24"/>
        </w:rPr>
        <w:t>people with</w:t>
      </w:r>
      <w:r>
        <w:rPr>
          <w:spacing w:val="-4"/>
          <w:sz w:val="24"/>
        </w:rPr>
        <w:t> </w:t>
      </w:r>
      <w:r>
        <w:rPr>
          <w:sz w:val="24"/>
        </w:rPr>
        <w:t>genotype of</w:t>
      </w:r>
      <w:r>
        <w:rPr>
          <w:spacing w:val="-7"/>
          <w:sz w:val="24"/>
        </w:rPr>
        <w:t> </w:t>
      </w:r>
      <w:r>
        <w:rPr>
          <w:sz w:val="24"/>
        </w:rPr>
        <w:t>AA.</w:t>
      </w:r>
    </w:p>
    <w:p>
      <w:pPr>
        <w:pStyle w:val="BodyText"/>
        <w:spacing w:before="10"/>
        <w:rPr>
          <w:sz w:val="29"/>
        </w:rPr>
      </w:pPr>
    </w:p>
    <w:p>
      <w:pPr>
        <w:pStyle w:val="ListParagraph"/>
        <w:numPr>
          <w:ilvl w:val="0"/>
          <w:numId w:val="13"/>
        </w:numPr>
        <w:tabs>
          <w:tab w:pos="1540" w:val="left" w:leader="none"/>
        </w:tabs>
        <w:spacing w:line="355" w:lineRule="auto" w:before="0" w:after="0"/>
        <w:ind w:left="1540" w:right="1447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determine</w:t>
      </w:r>
      <w:r>
        <w:rPr>
          <w:spacing w:val="58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relationship(s)</w:t>
      </w:r>
      <w:r>
        <w:rPr>
          <w:spacing w:val="7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micronutrient</w:t>
      </w:r>
      <w:r>
        <w:rPr>
          <w:spacing w:val="10"/>
          <w:sz w:val="24"/>
        </w:rPr>
        <w:t> </w:t>
      </w:r>
      <w:r>
        <w:rPr>
          <w:sz w:val="24"/>
        </w:rPr>
        <w:t>levels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57"/>
          <w:sz w:val="24"/>
        </w:rPr>
        <w:t> </w:t>
      </w:r>
      <w:r>
        <w:rPr>
          <w:sz w:val="24"/>
        </w:rPr>
        <w:t>sickle</w:t>
      </w:r>
      <w:r>
        <w:rPr>
          <w:spacing w:val="59"/>
          <w:sz w:val="24"/>
        </w:rPr>
        <w:t> </w:t>
      </w:r>
      <w:r>
        <w:rPr>
          <w:sz w:val="24"/>
        </w:rPr>
        <w:t>cell</w:t>
      </w:r>
      <w:r>
        <w:rPr>
          <w:spacing w:val="1"/>
          <w:sz w:val="24"/>
        </w:rPr>
        <w:t> </w:t>
      </w:r>
      <w:r>
        <w:rPr>
          <w:sz w:val="24"/>
        </w:rPr>
        <w:t>disease</w:t>
      </w:r>
      <w:r>
        <w:rPr>
          <w:spacing w:val="-57"/>
          <w:sz w:val="24"/>
        </w:rPr>
        <w:t> </w:t>
      </w:r>
      <w:r>
        <w:rPr>
          <w:sz w:val="24"/>
        </w:rPr>
        <w:t>patients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sickle</w:t>
      </w:r>
      <w:r>
        <w:rPr>
          <w:spacing w:val="1"/>
          <w:sz w:val="24"/>
        </w:rPr>
        <w:t> </w:t>
      </w:r>
      <w:r>
        <w:rPr>
          <w:sz w:val="24"/>
        </w:rPr>
        <w:t>cell</w:t>
      </w:r>
      <w:r>
        <w:rPr>
          <w:spacing w:val="-2"/>
          <w:sz w:val="24"/>
        </w:rPr>
        <w:t> </w:t>
      </w:r>
      <w:r>
        <w:rPr>
          <w:sz w:val="24"/>
        </w:rPr>
        <w:t>crises.</w:t>
      </w:r>
    </w:p>
    <w:p>
      <w:pPr>
        <w:pStyle w:val="Heading1"/>
        <w:numPr>
          <w:ilvl w:val="1"/>
          <w:numId w:val="12"/>
        </w:numPr>
        <w:tabs>
          <w:tab w:pos="4608" w:val="left" w:leader="none"/>
        </w:tabs>
        <w:spacing w:line="240" w:lineRule="auto" w:before="210" w:after="0"/>
        <w:ind w:left="4607" w:right="0" w:hanging="361"/>
        <w:jc w:val="left"/>
      </w:pPr>
      <w:bookmarkStart w:name="_TOC_250047" w:id="7"/>
      <w:r>
        <w:rPr/>
        <w:t>Research</w:t>
      </w:r>
      <w:r>
        <w:rPr>
          <w:spacing w:val="-3"/>
        </w:rPr>
        <w:t> </w:t>
      </w:r>
      <w:bookmarkEnd w:id="7"/>
      <w:r>
        <w:rPr/>
        <w:t>Hypothesis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before="1"/>
        <w:ind w:left="820"/>
        <w:jc w:val="both"/>
      </w:pPr>
      <w:r>
        <w:rPr/>
        <w:t>Micronutrients</w:t>
      </w:r>
      <w:r>
        <w:rPr>
          <w:spacing w:val="1"/>
        </w:rPr>
        <w:t> </w:t>
      </w:r>
      <w:r>
        <w:rPr/>
        <w:t>may</w:t>
      </w:r>
      <w:r>
        <w:rPr>
          <w:spacing w:val="-11"/>
        </w:rPr>
        <w:t> </w:t>
      </w:r>
      <w:r>
        <w:rPr/>
        <w:t>play</w:t>
      </w:r>
      <w:r>
        <w:rPr>
          <w:spacing w:val="-6"/>
        </w:rPr>
        <w:t> </w:t>
      </w:r>
      <w:r>
        <w:rPr/>
        <w:t>a</w:t>
      </w:r>
      <w:r>
        <w:rPr>
          <w:spacing w:val="-2"/>
        </w:rPr>
        <w:t> </w:t>
      </w:r>
      <w:r>
        <w:rPr/>
        <w:t>role</w:t>
      </w:r>
      <w:r>
        <w:rPr>
          <w:spacing w:val="3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4"/>
        </w:rPr>
        <w:t> </w:t>
      </w:r>
      <w:r>
        <w:rPr/>
        <w:t>management of</w:t>
      </w:r>
      <w:r>
        <w:rPr>
          <w:spacing w:val="-9"/>
        </w:rPr>
        <w:t> </w:t>
      </w:r>
      <w:r>
        <w:rPr/>
        <w:t>sickle</w:t>
      </w:r>
      <w:r>
        <w:rPr>
          <w:spacing w:val="-2"/>
        </w:rPr>
        <w:t> </w:t>
      </w:r>
      <w:r>
        <w:rPr/>
        <w:t>cell</w:t>
      </w:r>
      <w:r>
        <w:rPr>
          <w:spacing w:val="-10"/>
        </w:rPr>
        <w:t> </w:t>
      </w:r>
      <w:r>
        <w:rPr/>
        <w:t>diseases</w:t>
      </w:r>
      <w:r>
        <w:rPr>
          <w:spacing w:val="-3"/>
        </w:rPr>
        <w:t> </w:t>
      </w:r>
      <w:r>
        <w:rPr/>
        <w:t>(SCDs).</w:t>
      </w:r>
    </w:p>
    <w:p>
      <w:pPr>
        <w:spacing w:after="0"/>
        <w:jc w:val="both"/>
        <w:sectPr>
          <w:pgSz w:w="12240" w:h="15840"/>
          <w:pgMar w:header="0" w:footer="1017" w:top="1320" w:bottom="1200" w:left="620" w:right="0"/>
        </w:sectPr>
      </w:pPr>
    </w:p>
    <w:p>
      <w:pPr>
        <w:pStyle w:val="Heading1"/>
        <w:spacing w:line="535" w:lineRule="auto"/>
        <w:ind w:left="4175" w:right="4801" w:firstLine="4"/>
        <w:jc w:val="center"/>
      </w:pPr>
      <w:r>
        <w:rPr/>
        <w:t>CHAPTER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LITERATURE</w:t>
      </w:r>
      <w:r>
        <w:rPr>
          <w:spacing w:val="-14"/>
        </w:rPr>
        <w:t> </w:t>
      </w:r>
      <w:r>
        <w:rPr/>
        <w:t>REVIEW</w:t>
      </w:r>
    </w:p>
    <w:p>
      <w:pPr>
        <w:pStyle w:val="Heading1"/>
        <w:numPr>
          <w:ilvl w:val="1"/>
          <w:numId w:val="14"/>
        </w:numPr>
        <w:tabs>
          <w:tab w:pos="4860" w:val="left" w:leader="none"/>
          <w:tab w:pos="4861" w:val="left" w:leader="none"/>
        </w:tabs>
        <w:spacing w:line="274" w:lineRule="exact" w:before="0" w:after="0"/>
        <w:ind w:left="4860" w:right="0" w:hanging="725"/>
        <w:jc w:val="left"/>
      </w:pPr>
      <w:bookmarkStart w:name="_TOC_250046" w:id="8"/>
      <w:r>
        <w:rPr/>
        <w:t>Sickle</w:t>
      </w:r>
      <w:r>
        <w:rPr>
          <w:spacing w:val="-4"/>
        </w:rPr>
        <w:t> </w:t>
      </w:r>
      <w:r>
        <w:rPr/>
        <w:t>Cell</w:t>
      </w:r>
      <w:r>
        <w:rPr>
          <w:spacing w:val="-6"/>
        </w:rPr>
        <w:t> </w:t>
      </w:r>
      <w:bookmarkEnd w:id="8"/>
      <w:r>
        <w:rPr/>
        <w:t>Diseases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Heading1"/>
        <w:numPr>
          <w:ilvl w:val="2"/>
          <w:numId w:val="15"/>
        </w:numPr>
        <w:tabs>
          <w:tab w:pos="1721" w:val="left" w:leader="none"/>
          <w:tab w:pos="1722" w:val="left" w:leader="none"/>
        </w:tabs>
        <w:spacing w:line="240" w:lineRule="auto" w:before="90" w:after="0"/>
        <w:ind w:left="1721" w:right="0" w:hanging="902"/>
        <w:jc w:val="left"/>
      </w:pPr>
      <w:bookmarkStart w:name="_TOC_250045" w:id="9"/>
      <w:bookmarkEnd w:id="9"/>
      <w:r>
        <w:rPr/>
        <w:t>Introduction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 w:before="1"/>
        <w:ind w:left="820" w:right="1447"/>
        <w:jc w:val="both"/>
      </w:pPr>
      <w:r>
        <w:rPr/>
        <w:t>The term sickle cell disease (SCD) is a sickle haemoglobinopathy used in a generic sense to refer</w:t>
      </w:r>
      <w:r>
        <w:rPr>
          <w:spacing w:val="-57"/>
        </w:rPr>
        <w:t> </w:t>
      </w:r>
      <w:r>
        <w:rPr/>
        <w:t>to all the clinically severe sickling syndromes (Lane, 1996). Sickle haemoglobinopathies are</w:t>
      </w:r>
      <w:r>
        <w:rPr>
          <w:spacing w:val="1"/>
        </w:rPr>
        <w:t> </w:t>
      </w:r>
      <w:r>
        <w:rPr/>
        <w:t>genetically determined conditions characterized by structurally abnormal haemoglobin variants</w:t>
      </w:r>
      <w:r>
        <w:rPr>
          <w:spacing w:val="1"/>
        </w:rPr>
        <w:t> </w:t>
      </w:r>
      <w:r>
        <w:rPr/>
        <w:t>which give rise to haemolytic diseases by virtue of their property to polymerize and assume the</w:t>
      </w:r>
      <w:r>
        <w:rPr>
          <w:spacing w:val="1"/>
        </w:rPr>
        <w:t> </w:t>
      </w:r>
      <w:r>
        <w:rPr/>
        <w:t>sickle or crescent shape. It applies to all individuals with at</w:t>
      </w:r>
      <w:r>
        <w:rPr>
          <w:spacing w:val="60"/>
        </w:rPr>
        <w:t> </w:t>
      </w:r>
      <w:r>
        <w:rPr/>
        <w:t>least a single HbS chain and one</w:t>
      </w:r>
      <w:r>
        <w:rPr>
          <w:spacing w:val="1"/>
        </w:rPr>
        <w:t> </w:t>
      </w:r>
      <w:r>
        <w:rPr/>
        <w:t>other</w:t>
      </w:r>
      <w:r>
        <w:rPr>
          <w:spacing w:val="2"/>
        </w:rPr>
        <w:t> </w:t>
      </w:r>
      <w:r>
        <w:rPr/>
        <w:t>abnormal</w:t>
      </w:r>
      <w:r>
        <w:rPr>
          <w:spacing w:val="-2"/>
        </w:rPr>
        <w:t> </w:t>
      </w:r>
      <w:r>
        <w:rPr/>
        <w:t>β globin</w:t>
      </w:r>
      <w:r>
        <w:rPr>
          <w:spacing w:val="1"/>
        </w:rPr>
        <w:t> </w:t>
      </w:r>
      <w:r>
        <w:rPr/>
        <w:t>chain</w:t>
      </w:r>
      <w:r>
        <w:rPr>
          <w:spacing w:val="-3"/>
        </w:rPr>
        <w:t> </w:t>
      </w:r>
      <w:r>
        <w:rPr/>
        <w:t>(Lonergan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2001).</w:t>
      </w:r>
    </w:p>
    <w:p>
      <w:pPr>
        <w:pStyle w:val="BodyText"/>
        <w:spacing w:line="360" w:lineRule="auto" w:before="199"/>
        <w:ind w:left="820" w:right="1434"/>
        <w:jc w:val="both"/>
      </w:pPr>
      <w:r>
        <w:rPr/>
        <w:t>The different forms of SCD are determined by the genes inherited from the person's parents.</w:t>
      </w:r>
      <w:r>
        <w:rPr>
          <w:spacing w:val="1"/>
        </w:rPr>
        <w:t> </w:t>
      </w:r>
      <w:r>
        <w:rPr/>
        <w:t>Someone who inherits a sickle cell gene (HbS) from each parent has haemoglobin SS (HbSS)</w:t>
      </w:r>
      <w:r>
        <w:rPr>
          <w:spacing w:val="1"/>
        </w:rPr>
        <w:t> </w:t>
      </w:r>
      <w:r>
        <w:rPr/>
        <w:t>disease, also called sickle cell anaemia (SCA). A person can also inherit a sickle cell gene from</w:t>
      </w:r>
      <w:r>
        <w:rPr>
          <w:spacing w:val="1"/>
        </w:rPr>
        <w:t> </w:t>
      </w:r>
      <w:r>
        <w:rPr/>
        <w:t>one parent and a different kind of abnormal gene from the other and end up with a different form</w:t>
      </w:r>
      <w:r>
        <w:rPr>
          <w:spacing w:val="1"/>
        </w:rPr>
        <w:t> </w:t>
      </w:r>
      <w:r>
        <w:rPr/>
        <w:t>of SCD, such as haemoglobin SC disease or haemoglobin S beta thalassemia. Someone who</w:t>
      </w:r>
      <w:r>
        <w:rPr>
          <w:spacing w:val="1"/>
        </w:rPr>
        <w:t> </w:t>
      </w:r>
      <w:r>
        <w:rPr/>
        <w:t>inherits only one sickle cell gene and a normal gene from the other parent is said to have the</w:t>
      </w:r>
      <w:r>
        <w:rPr>
          <w:spacing w:val="1"/>
        </w:rPr>
        <w:t> </w:t>
      </w:r>
      <w:r>
        <w:rPr/>
        <w:t>sickle cell trait, but not the disease (Miller </w:t>
      </w:r>
      <w:r>
        <w:rPr>
          <w:i/>
        </w:rPr>
        <w:t>et al</w:t>
      </w:r>
      <w:r>
        <w:rPr/>
        <w:t>., 2009). SCA is inherited as an autosomal</w:t>
      </w:r>
      <w:r>
        <w:rPr>
          <w:spacing w:val="1"/>
        </w:rPr>
        <w:t> </w:t>
      </w:r>
      <w:r>
        <w:rPr/>
        <w:t>recessive condition whereas sickle cell trait is inherited as an autosomal dominant trait (Serjeant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Serjeant</w:t>
      </w:r>
      <w:r>
        <w:rPr>
          <w:spacing w:val="7"/>
        </w:rPr>
        <w:t> </w:t>
      </w:r>
      <w:r>
        <w:rPr/>
        <w:t>2001).</w:t>
      </w:r>
    </w:p>
    <w:p>
      <w:pPr>
        <w:pStyle w:val="BodyText"/>
        <w:spacing w:line="360" w:lineRule="auto" w:before="201"/>
        <w:ind w:left="820" w:right="1439"/>
        <w:jc w:val="both"/>
      </w:pPr>
      <w:r>
        <w:rPr/>
        <w:t>Sickling of red blood cells is promoted by conditions which are associated with low oxygen</w:t>
      </w:r>
      <w:r>
        <w:rPr>
          <w:spacing w:val="1"/>
        </w:rPr>
        <w:t> </w:t>
      </w:r>
      <w:r>
        <w:rPr/>
        <w:t>levels, increased acidity, and dehydration of the blood (Yale </w:t>
      </w:r>
      <w:r>
        <w:rPr>
          <w:i/>
        </w:rPr>
        <w:t>et al</w:t>
      </w:r>
      <w:r>
        <w:rPr/>
        <w:t>., 2000). These conditions can</w:t>
      </w:r>
      <w:r>
        <w:rPr>
          <w:spacing w:val="1"/>
        </w:rPr>
        <w:t> </w:t>
      </w:r>
      <w:r>
        <w:rPr/>
        <w:t>occur as a result of injury to the body's tissues, dehydrating states, or anaesthesia. In addition,</w:t>
      </w:r>
      <w:r>
        <w:rPr>
          <w:spacing w:val="1"/>
        </w:rPr>
        <w:t> </w:t>
      </w:r>
      <w:r>
        <w:rPr/>
        <w:t>certain organs are predisposed to lower oxygen levels or acidity, such as when blood moves</w:t>
      </w:r>
      <w:r>
        <w:rPr>
          <w:spacing w:val="1"/>
        </w:rPr>
        <w:t> </w:t>
      </w:r>
      <w:r>
        <w:rPr/>
        <w:t>slowly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spleen,</w:t>
      </w:r>
      <w:r>
        <w:rPr>
          <w:spacing w:val="1"/>
        </w:rPr>
        <w:t> </w:t>
      </w:r>
      <w:r>
        <w:rPr/>
        <w:t>liver,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kidney.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of SCDs</w:t>
      </w:r>
      <w:r>
        <w:rPr>
          <w:spacing w:val="1"/>
        </w:rPr>
        <w:t> </w:t>
      </w:r>
      <w:r>
        <w:rPr/>
        <w:t>include:</w:t>
      </w:r>
      <w:r>
        <w:rPr>
          <w:spacing w:val="60"/>
        </w:rPr>
        <w:t> </w:t>
      </w:r>
      <w:r>
        <w:rPr/>
        <w:t>fatigue,</w:t>
      </w:r>
      <w:r>
        <w:rPr>
          <w:spacing w:val="1"/>
        </w:rPr>
        <w:t> </w:t>
      </w:r>
      <w:r>
        <w:rPr/>
        <w:t>anaemia, pain crises, dactylitis, bacterial infections, progressive damage of organs and tissues,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impaired growth and development</w:t>
      </w:r>
      <w:r>
        <w:rPr>
          <w:spacing w:val="1"/>
        </w:rPr>
        <w:t> </w:t>
      </w:r>
      <w:r>
        <w:rPr/>
        <w:t>usually an end result</w:t>
      </w:r>
      <w:r>
        <w:rPr>
          <w:spacing w:val="60"/>
        </w:rPr>
        <w:t> </w:t>
      </w:r>
      <w:r>
        <w:rPr/>
        <w:t>of the physical and emotional</w:t>
      </w:r>
      <w:r>
        <w:rPr>
          <w:spacing w:val="1"/>
        </w:rPr>
        <w:t> </w:t>
      </w:r>
      <w:r>
        <w:rPr/>
        <w:t>trauma</w:t>
      </w:r>
      <w:r>
        <w:rPr>
          <w:spacing w:val="9"/>
        </w:rPr>
        <w:t> </w:t>
      </w:r>
      <w:r>
        <w:rPr/>
        <w:t>associated</w:t>
      </w:r>
      <w:r>
        <w:rPr>
          <w:spacing w:val="10"/>
        </w:rPr>
        <w:t> </w:t>
      </w:r>
      <w:r>
        <w:rPr/>
        <w:t>with</w:t>
      </w:r>
      <w:r>
        <w:rPr>
          <w:spacing w:val="6"/>
        </w:rPr>
        <w:t> </w:t>
      </w:r>
      <w:r>
        <w:rPr/>
        <w:t>the</w:t>
      </w:r>
      <w:r>
        <w:rPr>
          <w:spacing w:val="10"/>
        </w:rPr>
        <w:t> </w:t>
      </w:r>
      <w:r>
        <w:rPr/>
        <w:t>disease</w:t>
      </w:r>
      <w:r>
        <w:rPr>
          <w:spacing w:val="9"/>
        </w:rPr>
        <w:t> </w:t>
      </w:r>
      <w:r>
        <w:rPr/>
        <w:t>(Yale</w:t>
      </w:r>
      <w:r>
        <w:rPr>
          <w:spacing w:val="12"/>
        </w:rPr>
        <w:t> </w:t>
      </w:r>
      <w:r>
        <w:rPr>
          <w:i/>
        </w:rPr>
        <w:t>et</w:t>
      </w:r>
      <w:r>
        <w:rPr>
          <w:i/>
          <w:spacing w:val="11"/>
        </w:rPr>
        <w:t> </w:t>
      </w:r>
      <w:r>
        <w:rPr>
          <w:i/>
        </w:rPr>
        <w:t>al</w:t>
      </w:r>
      <w:r>
        <w:rPr/>
        <w:t>.,</w:t>
      </w:r>
      <w:r>
        <w:rPr>
          <w:spacing w:val="13"/>
        </w:rPr>
        <w:t> </w:t>
      </w:r>
      <w:r>
        <w:rPr/>
        <w:t>2000).</w:t>
      </w:r>
      <w:r>
        <w:rPr>
          <w:spacing w:val="7"/>
        </w:rPr>
        <w:t> </w:t>
      </w:r>
      <w:r>
        <w:rPr/>
        <w:t>The</w:t>
      </w:r>
      <w:r>
        <w:rPr>
          <w:spacing w:val="14"/>
        </w:rPr>
        <w:t> </w:t>
      </w:r>
      <w:r>
        <w:rPr/>
        <w:t>life</w:t>
      </w:r>
      <w:r>
        <w:rPr>
          <w:spacing w:val="10"/>
        </w:rPr>
        <w:t> </w:t>
      </w:r>
      <w:r>
        <w:rPr/>
        <w:t>expectancy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persons</w:t>
      </w:r>
      <w:r>
        <w:rPr>
          <w:spacing w:val="8"/>
        </w:rPr>
        <w:t> </w:t>
      </w:r>
      <w:r>
        <w:rPr/>
        <w:t>with</w:t>
      </w:r>
      <w:r>
        <w:rPr>
          <w:spacing w:val="5"/>
        </w:rPr>
        <w:t> </w:t>
      </w:r>
      <w:r>
        <w:rPr/>
        <w:t>SCA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55" w:lineRule="auto" w:before="72"/>
        <w:ind w:left="820" w:right="1433"/>
      </w:pPr>
      <w:r>
        <w:rPr/>
        <w:t>is</w:t>
      </w:r>
      <w:r>
        <w:rPr>
          <w:spacing w:val="16"/>
        </w:rPr>
        <w:t> </w:t>
      </w:r>
      <w:r>
        <w:rPr/>
        <w:t>considered</w:t>
      </w:r>
      <w:r>
        <w:rPr>
          <w:spacing w:val="17"/>
        </w:rPr>
        <w:t> </w:t>
      </w:r>
      <w:r>
        <w:rPr/>
        <w:t>less</w:t>
      </w:r>
      <w:r>
        <w:rPr>
          <w:spacing w:val="12"/>
        </w:rPr>
        <w:t> </w:t>
      </w:r>
      <w:r>
        <w:rPr/>
        <w:t>than</w:t>
      </w:r>
      <w:r>
        <w:rPr>
          <w:spacing w:val="9"/>
        </w:rPr>
        <w:t> </w:t>
      </w:r>
      <w:r>
        <w:rPr/>
        <w:t>the</w:t>
      </w:r>
      <w:r>
        <w:rPr>
          <w:spacing w:val="12"/>
        </w:rPr>
        <w:t> </w:t>
      </w:r>
      <w:r>
        <w:rPr/>
        <w:t>general</w:t>
      </w:r>
      <w:r>
        <w:rPr>
          <w:spacing w:val="9"/>
        </w:rPr>
        <w:t> </w:t>
      </w:r>
      <w:r>
        <w:rPr/>
        <w:t>population;</w:t>
      </w:r>
      <w:r>
        <w:rPr>
          <w:spacing w:val="15"/>
        </w:rPr>
        <w:t> </w:t>
      </w:r>
      <w:r>
        <w:rPr/>
        <w:t>nevertheless,</w:t>
      </w:r>
      <w:r>
        <w:rPr>
          <w:spacing w:val="16"/>
        </w:rPr>
        <w:t> </w:t>
      </w:r>
      <w:r>
        <w:rPr/>
        <w:t>with</w:t>
      </w:r>
      <w:r>
        <w:rPr>
          <w:spacing w:val="13"/>
        </w:rPr>
        <w:t> </w:t>
      </w:r>
      <w:r>
        <w:rPr/>
        <w:t>optimal</w:t>
      </w:r>
      <w:r>
        <w:rPr>
          <w:spacing w:val="14"/>
        </w:rPr>
        <w:t> </w:t>
      </w:r>
      <w:r>
        <w:rPr/>
        <w:t>management,</w:t>
      </w:r>
      <w:r>
        <w:rPr>
          <w:spacing w:val="16"/>
        </w:rPr>
        <w:t> </w:t>
      </w:r>
      <w:r>
        <w:rPr/>
        <w:t>patients</w:t>
      </w:r>
      <w:r>
        <w:rPr>
          <w:spacing w:val="-57"/>
        </w:rPr>
        <w:t> </w:t>
      </w:r>
      <w:r>
        <w:rPr/>
        <w:t>now</w:t>
      </w:r>
      <w:r>
        <w:rPr>
          <w:spacing w:val="1"/>
        </w:rPr>
        <w:t> </w:t>
      </w:r>
      <w:r>
        <w:rPr/>
        <w:t>survive</w:t>
      </w:r>
      <w:r>
        <w:rPr>
          <w:spacing w:val="2"/>
        </w:rPr>
        <w:t> </w:t>
      </w:r>
      <w:r>
        <w:rPr/>
        <w:t>beyond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fourth</w:t>
      </w:r>
      <w:r>
        <w:rPr>
          <w:spacing w:val="-4"/>
        </w:rPr>
        <w:t> </w:t>
      </w:r>
      <w:r>
        <w:rPr/>
        <w:t>decade</w:t>
      </w:r>
      <w:r>
        <w:rPr>
          <w:spacing w:val="1"/>
        </w:rPr>
        <w:t> </w:t>
      </w:r>
      <w:r>
        <w:rPr/>
        <w:t>(SCAC,</w:t>
      </w:r>
      <w:r>
        <w:rPr>
          <w:spacing w:val="4"/>
        </w:rPr>
        <w:t> </w:t>
      </w:r>
      <w:r>
        <w:rPr/>
        <w:t>2002).</w:t>
      </w:r>
    </w:p>
    <w:p>
      <w:pPr>
        <w:pStyle w:val="BodyText"/>
        <w:spacing w:before="2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911352</wp:posOffset>
            </wp:positionH>
            <wp:positionV relativeFrom="paragraph">
              <wp:posOffset>135578</wp:posOffset>
            </wp:positionV>
            <wp:extent cx="3843528" cy="4111752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528" cy="4111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820"/>
      </w:pPr>
      <w:r>
        <w:rPr/>
        <w:t>Figure</w:t>
      </w:r>
      <w:r>
        <w:rPr>
          <w:spacing w:val="-5"/>
        </w:rPr>
        <w:t> </w:t>
      </w:r>
      <w:r>
        <w:rPr/>
        <w:t>1:</w:t>
      </w:r>
      <w:r>
        <w:rPr>
          <w:spacing w:val="-3"/>
        </w:rPr>
        <w:t> </w:t>
      </w:r>
      <w:r>
        <w:rPr/>
        <w:t>Showing</w:t>
      </w:r>
      <w:r>
        <w:rPr>
          <w:spacing w:val="1"/>
        </w:rPr>
        <w:t> </w:t>
      </w:r>
      <w:r>
        <w:rPr/>
        <w:t>normal</w:t>
      </w:r>
      <w:r>
        <w:rPr>
          <w:spacing w:val="-7"/>
        </w:rPr>
        <w:t> </w:t>
      </w:r>
      <w:r>
        <w:rPr/>
        <w:t>and</w:t>
      </w:r>
      <w:r>
        <w:rPr>
          <w:spacing w:val="-3"/>
        </w:rPr>
        <w:t> </w:t>
      </w:r>
      <w:r>
        <w:rPr/>
        <w:t>sickle</w:t>
      </w:r>
      <w:r>
        <w:rPr>
          <w:spacing w:val="-4"/>
        </w:rPr>
        <w:t> </w:t>
      </w:r>
      <w:r>
        <w:rPr/>
        <w:t>red</w:t>
      </w:r>
      <w:r>
        <w:rPr>
          <w:spacing w:val="-4"/>
        </w:rPr>
        <w:t> </w:t>
      </w:r>
      <w:r>
        <w:rPr/>
        <w:t>blood</w:t>
      </w:r>
      <w:r>
        <w:rPr>
          <w:spacing w:val="-3"/>
        </w:rPr>
        <w:t> </w:t>
      </w:r>
      <w:r>
        <w:rPr/>
        <w:t>cells</w:t>
      </w:r>
      <w:r>
        <w:rPr>
          <w:spacing w:val="-5"/>
        </w:rPr>
        <w:t> </w:t>
      </w:r>
      <w:r>
        <w:rPr/>
        <w:t>(</w:t>
      </w:r>
      <w:hyperlink r:id="rId9">
        <w:r>
          <w:rPr>
            <w:color w:val="0000FF"/>
            <w:u w:val="single" w:color="0000FF"/>
          </w:rPr>
          <w:t>http://www.medicinenet.com/</w:t>
        </w:r>
        <w:r>
          <w:rPr/>
          <w:t>)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1"/>
        <w:numPr>
          <w:ilvl w:val="2"/>
          <w:numId w:val="15"/>
        </w:numPr>
        <w:tabs>
          <w:tab w:pos="1482" w:val="left" w:leader="none"/>
        </w:tabs>
        <w:spacing w:line="240" w:lineRule="auto" w:before="0" w:after="0"/>
        <w:ind w:left="1481" w:right="0" w:hanging="662"/>
        <w:jc w:val="left"/>
      </w:pPr>
      <w:bookmarkStart w:name="_TOC_250044" w:id="10"/>
      <w:bookmarkEnd w:id="10"/>
      <w:r>
        <w:rPr/>
        <w:t>History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38"/>
        <w:jc w:val="both"/>
      </w:pPr>
      <w:r>
        <w:rPr/>
        <w:t>Sickle cell disease (SCD) was first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by Herrick</w:t>
      </w:r>
      <w:r>
        <w:rPr>
          <w:spacing w:val="1"/>
        </w:rPr>
        <w:t> </w:t>
      </w:r>
      <w:r>
        <w:rPr/>
        <w:t>in 1910,</w:t>
      </w:r>
      <w:r>
        <w:rPr>
          <w:spacing w:val="1"/>
        </w:rPr>
        <w:t> </w:t>
      </w:r>
      <w:r>
        <w:rPr/>
        <w:t>in a</w:t>
      </w:r>
      <w:r>
        <w:rPr>
          <w:spacing w:val="1"/>
        </w:rPr>
        <w:t> </w:t>
      </w:r>
      <w:r>
        <w:rPr/>
        <w:t>dental student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presented with pulmonary symptoms (Herrick, 1910). Herrick coined the term “sickle-shaped” to</w:t>
      </w:r>
      <w:r>
        <w:rPr>
          <w:spacing w:val="-57"/>
        </w:rPr>
        <w:t> </w:t>
      </w:r>
      <w:r>
        <w:rPr/>
        <w:t>describe the peculiar appearance of the red blood cells (RBCs) of this patient.</w:t>
      </w:r>
      <w:r>
        <w:rPr>
          <w:spacing w:val="60"/>
        </w:rPr>
        <w:t> </w:t>
      </w:r>
      <w:r>
        <w:rPr/>
        <w:t>However, given</w:t>
      </w:r>
      <w:r>
        <w:rPr>
          <w:spacing w:val="1"/>
        </w:rPr>
        <w:t> </w:t>
      </w:r>
      <w:r>
        <w:rPr/>
        <w:t>the patient’s symptoms, he was not sure at the time whether the blood condition was a disease </w:t>
      </w:r>
      <w:r>
        <w:rPr>
          <w:i/>
        </w:rPr>
        <w:t>sui</w:t>
      </w:r>
      <w:r>
        <w:rPr>
          <w:i/>
          <w:spacing w:val="-57"/>
        </w:rPr>
        <w:t> </w:t>
      </w:r>
      <w:r>
        <w:rPr>
          <w:i/>
        </w:rPr>
        <w:t>generis </w:t>
      </w:r>
      <w:r>
        <w:rPr/>
        <w:t>or a manifestation of another disease (Frenette and George 2007). Centuries before this,</w:t>
      </w:r>
      <w:r>
        <w:rPr>
          <w:spacing w:val="1"/>
        </w:rPr>
        <w:t> </w:t>
      </w:r>
      <w:r>
        <w:rPr/>
        <w:t>the people of West Africa knew the disease syndrome, had specific tribal names for it; and also</w:t>
      </w:r>
      <w:r>
        <w:rPr>
          <w:spacing w:val="1"/>
        </w:rPr>
        <w:t> </w:t>
      </w:r>
      <w:r>
        <w:rPr/>
        <w:t>knew that the disease was hereditary (Konotey-Ahulu, 1991). In the next 15 years following</w:t>
      </w:r>
      <w:r>
        <w:rPr>
          <w:spacing w:val="1"/>
        </w:rPr>
        <w:t> </w:t>
      </w:r>
      <w:r>
        <w:rPr/>
        <w:t>Herrick’s</w:t>
      </w:r>
      <w:r>
        <w:rPr>
          <w:spacing w:val="-5"/>
        </w:rPr>
        <w:t> </w:t>
      </w:r>
      <w:r>
        <w:rPr/>
        <w:t>discovery,</w:t>
      </w:r>
      <w:r>
        <w:rPr>
          <w:spacing w:val="5"/>
        </w:rPr>
        <w:t> </w:t>
      </w:r>
      <w:r>
        <w:rPr/>
        <w:t>several</w:t>
      </w:r>
      <w:r>
        <w:rPr>
          <w:spacing w:val="-6"/>
        </w:rPr>
        <w:t> </w:t>
      </w:r>
      <w:r>
        <w:rPr/>
        <w:t>similar</w:t>
      </w:r>
      <w:r>
        <w:rPr>
          <w:spacing w:val="-2"/>
        </w:rPr>
        <w:t> </w:t>
      </w:r>
      <w:r>
        <w:rPr/>
        <w:t>cases</w:t>
      </w:r>
      <w:r>
        <w:rPr>
          <w:spacing w:val="-4"/>
        </w:rPr>
        <w:t> </w:t>
      </w:r>
      <w:r>
        <w:rPr/>
        <w:t>were</w:t>
      </w:r>
      <w:r>
        <w:rPr>
          <w:spacing w:val="-3"/>
        </w:rPr>
        <w:t> </w:t>
      </w:r>
      <w:r>
        <w:rPr/>
        <w:t>described,</w:t>
      </w:r>
      <w:r>
        <w:rPr>
          <w:spacing w:val="-1"/>
        </w:rPr>
        <w:t> </w:t>
      </w:r>
      <w:r>
        <w:rPr/>
        <w:t>supporting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idea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this</w:t>
      </w:r>
      <w:r>
        <w:rPr>
          <w:spacing w:val="-4"/>
        </w:rPr>
        <w:t> </w:t>
      </w:r>
      <w:r>
        <w:rPr/>
        <w:t>was</w:t>
      </w:r>
      <w:r>
        <w:rPr>
          <w:spacing w:val="-5"/>
        </w:rPr>
        <w:t> </w:t>
      </w:r>
      <w:r>
        <w:rPr/>
        <w:t>a</w:t>
      </w:r>
      <w:r>
        <w:rPr>
          <w:spacing w:val="2"/>
        </w:rPr>
        <w:t> </w:t>
      </w:r>
      <w:r>
        <w:rPr/>
        <w:t>new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60" w:lineRule="auto" w:before="72"/>
        <w:ind w:left="820" w:right="1434"/>
        <w:jc w:val="both"/>
      </w:pPr>
      <w:r>
        <w:rPr/>
        <w:t>disease</w:t>
      </w:r>
      <w:r>
        <w:rPr>
          <w:spacing w:val="1"/>
        </w:rPr>
        <w:t> </w:t>
      </w:r>
      <w:r>
        <w:rPr/>
        <w:t>entity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preliminary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pathological</w:t>
      </w:r>
      <w:r>
        <w:rPr>
          <w:spacing w:val="1"/>
        </w:rPr>
        <w:t> </w:t>
      </w:r>
      <w:r>
        <w:rPr/>
        <w:t>description (Frenette and George, 2007). Shortly thereafter, in 1927 suggested that anoxia caused</w:t>
      </w:r>
      <w:r>
        <w:rPr>
          <w:spacing w:val="-57"/>
        </w:rPr>
        <w:t> </w:t>
      </w:r>
      <w:r>
        <w:rPr/>
        <w:t>RBC sickling</w:t>
      </w:r>
      <w:r>
        <w:rPr>
          <w:spacing w:val="1"/>
        </w:rPr>
        <w:t> </w:t>
      </w:r>
      <w:r>
        <w:rPr/>
        <w:t>by demonstrating that</w:t>
      </w:r>
      <w:r>
        <w:rPr>
          <w:spacing w:val="1"/>
        </w:rPr>
        <w:t> </w:t>
      </w:r>
      <w:r>
        <w:rPr/>
        <w:t>shape changes 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by saturating a RBC</w:t>
      </w:r>
      <w:r>
        <w:rPr>
          <w:spacing w:val="1"/>
        </w:rPr>
        <w:t> </w:t>
      </w:r>
      <w:r>
        <w:rPr/>
        <w:t>suspension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carbon dioxide</w:t>
      </w:r>
      <w:r>
        <w:rPr>
          <w:spacing w:val="1"/>
        </w:rPr>
        <w:t> </w:t>
      </w:r>
      <w:r>
        <w:rPr/>
        <w:t>(Hahn and</w:t>
      </w:r>
      <w:r>
        <w:rPr>
          <w:spacing w:val="1"/>
        </w:rPr>
        <w:t> </w:t>
      </w:r>
      <w:r>
        <w:rPr/>
        <w:t>Gillespie,</w:t>
      </w:r>
      <w:r>
        <w:rPr>
          <w:spacing w:val="1"/>
        </w:rPr>
        <w:t> </w:t>
      </w:r>
      <w:r>
        <w:rPr/>
        <w:t>1927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Frenette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George,</w:t>
      </w:r>
      <w:r>
        <w:rPr>
          <w:spacing w:val="60"/>
        </w:rPr>
        <w:t> </w:t>
      </w:r>
      <w:r>
        <w:rPr/>
        <w:t>2007).</w:t>
      </w:r>
      <w:r>
        <w:rPr>
          <w:spacing w:val="1"/>
        </w:rPr>
        <w:t> </w:t>
      </w:r>
      <w:r>
        <w:rPr/>
        <w:t>Scriver and Waugh (1930) proved this concept </w:t>
      </w:r>
      <w:r>
        <w:rPr>
          <w:i/>
        </w:rPr>
        <w:t>in vivo </w:t>
      </w:r>
      <w:r>
        <w:rPr/>
        <w:t>by inducing venous stasis in a finger using</w:t>
      </w:r>
      <w:r>
        <w:rPr>
          <w:spacing w:val="-57"/>
        </w:rPr>
        <w:t> </w:t>
      </w:r>
      <w:r>
        <w:rPr/>
        <w:t>a rubber band; by showing that stasis-induced hypoxia dramatically increased the proportion of</w:t>
      </w:r>
      <w:r>
        <w:rPr>
          <w:spacing w:val="1"/>
        </w:rPr>
        <w:t> </w:t>
      </w:r>
      <w:r>
        <w:rPr/>
        <w:t>sickle-shaped cells from approximately 15% to more than 95% (Frenette and George, 2007).</w:t>
      </w:r>
      <w:r>
        <w:rPr>
          <w:spacing w:val="1"/>
        </w:rPr>
        <w:t> </w:t>
      </w:r>
      <w:r>
        <w:rPr/>
        <w:t>These studies were noted by Linus Pauling, who was the first to hypothesize in 1945 that the</w:t>
      </w:r>
      <w:r>
        <w:rPr>
          <w:spacing w:val="1"/>
        </w:rPr>
        <w:t> </w:t>
      </w:r>
      <w:r>
        <w:rPr/>
        <w:t>disease might originate from an abnormality in the haemoglobin molecule (Pauling </w:t>
      </w:r>
      <w:r>
        <w:rPr>
          <w:i/>
        </w:rPr>
        <w:t>et al</w:t>
      </w:r>
      <w:r>
        <w:rPr/>
        <w:t>., 1949).</w:t>
      </w:r>
      <w:r>
        <w:rPr>
          <w:spacing w:val="1"/>
        </w:rPr>
        <w:t> </w:t>
      </w:r>
      <w:r>
        <w:rPr/>
        <w:t>Around the same time,</w:t>
      </w:r>
      <w:r>
        <w:rPr>
          <w:spacing w:val="1"/>
        </w:rPr>
        <w:t> </w:t>
      </w:r>
      <w:r>
        <w:rPr/>
        <w:t>Watson showed that the abnormal response of RBCs in SCA resulted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primary</w:t>
      </w:r>
      <w:r>
        <w:rPr>
          <w:spacing w:val="60"/>
        </w:rPr>
        <w:t> </w:t>
      </w:r>
      <w:r>
        <w:rPr/>
        <w:t>haemoglobin (Hb)</w:t>
      </w:r>
      <w:r>
        <w:rPr>
          <w:spacing w:val="60"/>
        </w:rPr>
        <w:t> </w:t>
      </w:r>
      <w:r>
        <w:rPr/>
        <w:t>abnormality.   He   observed   that   formation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sickle-</w:t>
      </w:r>
      <w:r>
        <w:rPr>
          <w:spacing w:val="1"/>
        </w:rPr>
        <w:t> </w:t>
      </w:r>
      <w:r>
        <w:rPr/>
        <w:t>like spicules on deoxygenation of RBCs from sickle cell infants was absent or minimal until</w:t>
      </w:r>
      <w:r>
        <w:rPr>
          <w:spacing w:val="1"/>
        </w:rPr>
        <w:t> </w:t>
      </w:r>
      <w:r>
        <w:rPr/>
        <w:t>foetal haemoglobin (HbF) was replaced by adult</w:t>
      </w:r>
      <w:r>
        <w:rPr>
          <w:spacing w:val="60"/>
        </w:rPr>
        <w:t> </w:t>
      </w:r>
      <w:r>
        <w:rPr/>
        <w:t>haemoglobin (HbA), at about 3–6 months of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(Watson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1948);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predicting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foetal</w:t>
      </w:r>
      <w:r>
        <w:rPr>
          <w:spacing w:val="60"/>
        </w:rPr>
        <w:t> </w:t>
      </w:r>
      <w:r>
        <w:rPr/>
        <w:t>haemoglobin</w:t>
      </w:r>
      <w:r>
        <w:rPr>
          <w:spacing w:val="60"/>
        </w:rPr>
        <w:t> </w:t>
      </w:r>
      <w:r>
        <w:rPr/>
        <w:t>(HbF).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Pauling’s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validated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1949,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by applying</w:t>
      </w:r>
      <w:r>
        <w:rPr>
          <w:spacing w:val="60"/>
        </w:rPr>
        <w:t> </w:t>
      </w:r>
      <w:r>
        <w:rPr/>
        <w:t>moving</w:t>
      </w:r>
      <w:r>
        <w:rPr>
          <w:spacing w:val="1"/>
        </w:rPr>
        <w:t> </w:t>
      </w:r>
      <w:r>
        <w:rPr/>
        <w:t>boundary electrophoresis to haemolysates from individuals with genotypes HbAA, HbAS, and</w:t>
      </w:r>
      <w:r>
        <w:rPr>
          <w:spacing w:val="1"/>
        </w:rPr>
        <w:t> </w:t>
      </w:r>
      <w:r>
        <w:rPr/>
        <w:t>HbSS; he showed that nearly all the haemoglobin in the RBCs of HbSS had a mobility different</w:t>
      </w:r>
      <w:r>
        <w:rPr>
          <w:spacing w:val="1"/>
        </w:rPr>
        <w:t> </w:t>
      </w:r>
      <w:r>
        <w:rPr/>
        <w:t>from that of HbAA, and that HbAS carriers had both types of haemoglobin in their RBCs (about</w:t>
      </w:r>
      <w:r>
        <w:rPr>
          <w:spacing w:val="1"/>
        </w:rPr>
        <w:t> </w:t>
      </w:r>
      <w:r>
        <w:rPr/>
        <w:t>40% of abnormal HbS and 60% of normal HbA). This crucial experiment identified a molecular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inheritance</w:t>
      </w:r>
      <w:r>
        <w:rPr>
          <w:spacing w:val="1"/>
        </w:rPr>
        <w:t> </w:t>
      </w:r>
      <w:r>
        <w:rPr/>
        <w:t>(Lew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Bookchin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Ingram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colleagues</w:t>
      </w:r>
      <w:r>
        <w:rPr>
          <w:spacing w:val="1"/>
        </w:rPr>
        <w:t> </w:t>
      </w:r>
      <w:r>
        <w:rPr/>
        <w:t>(1959)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shortly</w:t>
      </w:r>
      <w:r>
        <w:rPr>
          <w:spacing w:val="1"/>
        </w:rPr>
        <w:t> </w:t>
      </w:r>
      <w:r>
        <w:rPr/>
        <w:t>thereafter,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two-</w:t>
      </w:r>
      <w:r>
        <w:rPr>
          <w:spacing w:val="1"/>
        </w:rPr>
        <w:t> </w:t>
      </w:r>
      <w:r>
        <w:rPr/>
        <w:t>dimensional</w:t>
      </w:r>
      <w:r>
        <w:rPr>
          <w:spacing w:val="1"/>
        </w:rPr>
        <w:t> </w:t>
      </w:r>
      <w:r>
        <w:rPr/>
        <w:t>peptide</w:t>
      </w:r>
      <w:r>
        <w:rPr>
          <w:spacing w:val="1"/>
        </w:rPr>
        <w:t> </w:t>
      </w:r>
      <w:r>
        <w:rPr/>
        <w:t>mapping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precise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mutant</w:t>
      </w:r>
      <w:r>
        <w:rPr>
          <w:spacing w:val="1"/>
        </w:rPr>
        <w:t> </w:t>
      </w:r>
      <w:r>
        <w:rPr/>
        <w:t>sickle</w:t>
      </w:r>
      <w:r>
        <w:rPr>
          <w:spacing w:val="1"/>
        </w:rPr>
        <w:t> </w:t>
      </w:r>
      <w:r>
        <w:rPr/>
        <w:t>haemoglobin (HbS) and normal haemoglobin (HbA) was a single amino acid substitution of</w:t>
      </w:r>
      <w:r>
        <w:rPr>
          <w:spacing w:val="1"/>
        </w:rPr>
        <w:t> </w:t>
      </w:r>
      <w:r>
        <w:rPr/>
        <w:t>valine for glutamic acid in position 6 on the β-chain of HbA (Lew and Bookchin 2005). This was</w:t>
      </w:r>
      <w:r>
        <w:rPr>
          <w:spacing w:val="-57"/>
        </w:rPr>
        <w:t> </w:t>
      </w:r>
      <w:r>
        <w:rPr/>
        <w:t>followed by studies that analyzed the structure and physical properties of HbS, which formed</w:t>
      </w:r>
      <w:r>
        <w:rPr>
          <w:spacing w:val="1"/>
        </w:rPr>
        <w:t> </w:t>
      </w:r>
      <w:r>
        <w:rPr/>
        <w:t>intracellular</w:t>
      </w:r>
      <w:r>
        <w:rPr>
          <w:spacing w:val="2"/>
        </w:rPr>
        <w:t> </w:t>
      </w:r>
      <w:r>
        <w:rPr/>
        <w:t>polymers</w:t>
      </w:r>
      <w:r>
        <w:rPr>
          <w:spacing w:val="-1"/>
        </w:rPr>
        <w:t> </w:t>
      </w:r>
      <w:r>
        <w:rPr/>
        <w:t>upon</w:t>
      </w:r>
      <w:r>
        <w:rPr>
          <w:spacing w:val="-4"/>
        </w:rPr>
        <w:t> </w:t>
      </w:r>
      <w:r>
        <w:rPr/>
        <w:t>deoxygenation</w:t>
      </w:r>
      <w:r>
        <w:rPr>
          <w:spacing w:val="-3"/>
        </w:rPr>
        <w:t> </w:t>
      </w:r>
      <w:r>
        <w:rPr/>
        <w:t>(Frenette and</w:t>
      </w:r>
      <w:r>
        <w:rPr>
          <w:spacing w:val="1"/>
        </w:rPr>
        <w:t> </w:t>
      </w:r>
      <w:r>
        <w:rPr/>
        <w:t>George</w:t>
      </w:r>
      <w:r>
        <w:rPr>
          <w:spacing w:val="1"/>
        </w:rPr>
        <w:t> </w:t>
      </w:r>
      <w:r>
        <w:rPr/>
        <w:t>2007).</w:t>
      </w:r>
    </w:p>
    <w:p>
      <w:pPr>
        <w:pStyle w:val="Heading1"/>
        <w:numPr>
          <w:ilvl w:val="2"/>
          <w:numId w:val="15"/>
        </w:numPr>
        <w:tabs>
          <w:tab w:pos="1482" w:val="left" w:leader="none"/>
        </w:tabs>
        <w:spacing w:line="240" w:lineRule="auto" w:before="200" w:after="0"/>
        <w:ind w:left="1481" w:right="0" w:hanging="662"/>
        <w:jc w:val="both"/>
      </w:pPr>
      <w:bookmarkStart w:name="_TOC_250043" w:id="11"/>
      <w:bookmarkEnd w:id="11"/>
      <w:r>
        <w:rPr/>
        <w:t>Prevalence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42"/>
        <w:jc w:val="both"/>
      </w:pPr>
      <w:r>
        <w:rPr/>
        <w:t>Nigeria has an estimated population of 150 million with annual growth rate of 3.2%. The current</w:t>
      </w:r>
      <w:r>
        <w:rPr>
          <w:spacing w:val="1"/>
        </w:rPr>
        <w:t> </w:t>
      </w:r>
      <w:r>
        <w:rPr/>
        <w:t>figure of individuals in Nigeria with this disorder is not known since the majority born in rural</w:t>
      </w:r>
      <w:r>
        <w:rPr>
          <w:spacing w:val="1"/>
        </w:rPr>
        <w:t> </w:t>
      </w:r>
      <w:r>
        <w:rPr/>
        <w:t>community</w:t>
      </w:r>
      <w:r>
        <w:rPr>
          <w:spacing w:val="12"/>
        </w:rPr>
        <w:t> </w:t>
      </w:r>
      <w:r>
        <w:rPr/>
        <w:t>do</w:t>
      </w:r>
      <w:r>
        <w:rPr>
          <w:spacing w:val="23"/>
        </w:rPr>
        <w:t> </w:t>
      </w:r>
      <w:r>
        <w:rPr/>
        <w:t>not</w:t>
      </w:r>
      <w:r>
        <w:rPr>
          <w:spacing w:val="23"/>
        </w:rPr>
        <w:t> </w:t>
      </w:r>
      <w:r>
        <w:rPr/>
        <w:t>survive</w:t>
      </w:r>
      <w:r>
        <w:rPr>
          <w:spacing w:val="16"/>
        </w:rPr>
        <w:t> </w:t>
      </w:r>
      <w:r>
        <w:rPr/>
        <w:t>childhood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for</w:t>
      </w:r>
      <w:r>
        <w:rPr>
          <w:spacing w:val="23"/>
        </w:rPr>
        <w:t> </w:t>
      </w:r>
      <w:r>
        <w:rPr/>
        <w:t>lack</w:t>
      </w:r>
      <w:r>
        <w:rPr>
          <w:spacing w:val="23"/>
        </w:rPr>
        <w:t> </w:t>
      </w:r>
      <w:r>
        <w:rPr/>
        <w:t>of</w:t>
      </w:r>
      <w:r>
        <w:rPr>
          <w:spacing w:val="10"/>
        </w:rPr>
        <w:t> </w:t>
      </w:r>
      <w:r>
        <w:rPr/>
        <w:t>proper</w:t>
      </w:r>
      <w:r>
        <w:rPr>
          <w:spacing w:val="20"/>
        </w:rPr>
        <w:t> </w:t>
      </w:r>
      <w:r>
        <w:rPr/>
        <w:t>statistics.</w:t>
      </w:r>
      <w:r>
        <w:rPr>
          <w:spacing w:val="19"/>
        </w:rPr>
        <w:t> </w:t>
      </w:r>
      <w:r>
        <w:rPr/>
        <w:t>However,</w:t>
      </w:r>
      <w:r>
        <w:rPr>
          <w:spacing w:val="20"/>
        </w:rPr>
        <w:t> </w:t>
      </w:r>
      <w:r>
        <w:rPr/>
        <w:t>about</w:t>
      </w:r>
      <w:r>
        <w:rPr>
          <w:spacing w:val="23"/>
        </w:rPr>
        <w:t> </w:t>
      </w:r>
      <w:r>
        <w:rPr/>
        <w:t>2.3%</w:t>
      </w:r>
      <w:r>
        <w:rPr>
          <w:spacing w:val="14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55" w:lineRule="auto" w:before="72"/>
        <w:ind w:left="820" w:right="1444"/>
        <w:jc w:val="both"/>
      </w:pPr>
      <w:r>
        <w:rPr/>
        <w:t>the Nigerians suffer from SCD and about 25% of Nigerians are healthy carriers of the abnormal</w:t>
      </w:r>
      <w:r>
        <w:rPr>
          <w:spacing w:val="1"/>
        </w:rPr>
        <w:t> </w:t>
      </w:r>
      <w:r>
        <w:rPr/>
        <w:t>hemoglobin</w:t>
      </w:r>
      <w:r>
        <w:rPr>
          <w:spacing w:val="-4"/>
        </w:rPr>
        <w:t> </w:t>
      </w:r>
      <w:r>
        <w:rPr/>
        <w:t>gene</w:t>
      </w:r>
      <w:r>
        <w:rPr>
          <w:spacing w:val="1"/>
        </w:rPr>
        <w:t> </w:t>
      </w:r>
      <w:r>
        <w:rPr/>
        <w:t>(Afolayan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Jolayemi</w:t>
      </w:r>
      <w:r>
        <w:rPr>
          <w:spacing w:val="-8"/>
        </w:rPr>
        <w:t> </w:t>
      </w:r>
      <w:r>
        <w:rPr/>
        <w:t>2011).</w:t>
      </w:r>
    </w:p>
    <w:p>
      <w:pPr>
        <w:pStyle w:val="BodyText"/>
        <w:spacing w:line="360" w:lineRule="auto" w:before="210"/>
        <w:ind w:left="820" w:right="1437"/>
        <w:jc w:val="both"/>
      </w:pPr>
      <w:r>
        <w:rPr/>
        <w:t>In broad terms, the prevalence of the sickle-cell trait ranges between 10% and 40% across</w:t>
      </w:r>
      <w:r>
        <w:rPr>
          <w:spacing w:val="1"/>
        </w:rPr>
        <w:t> </w:t>
      </w:r>
      <w:r>
        <w:rPr/>
        <w:t>equatorial Africa and decreases to between 1% and 2% on the north African coast and &lt;1% in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(Fifty-ninth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Assembly</w:t>
      </w:r>
      <w:r>
        <w:rPr>
          <w:spacing w:val="1"/>
        </w:rPr>
        <w:t> </w:t>
      </w:r>
      <w:r>
        <w:rPr/>
        <w:t>Report,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West</w:t>
      </w:r>
      <w:r>
        <w:rPr>
          <w:spacing w:val="60"/>
        </w:rPr>
        <w:t> </w:t>
      </w:r>
      <w:r>
        <w:rPr/>
        <w:t>African</w:t>
      </w:r>
      <w:r>
        <w:rPr>
          <w:spacing w:val="1"/>
        </w:rPr>
        <w:t> </w:t>
      </w:r>
      <w:r>
        <w:rPr/>
        <w:t>countries like Ghana, the frequency of the trait is 15% to 30%, whereas in Uganda it shows</w:t>
      </w:r>
      <w:r>
        <w:rPr>
          <w:spacing w:val="1"/>
        </w:rPr>
        <w:t> </w:t>
      </w:r>
      <w:r>
        <w:rPr/>
        <w:t>marked tribal variations, reaching 45% among the Baamba tribe in the west of the country (Fifty-</w:t>
      </w:r>
      <w:r>
        <w:rPr>
          <w:spacing w:val="-57"/>
        </w:rPr>
        <w:t> </w:t>
      </w:r>
      <w:r>
        <w:rPr/>
        <w:t>ninth World Health Assembly Report, 2006). This distribution reflects the fact that sickle-cell</w:t>
      </w:r>
      <w:r>
        <w:rPr>
          <w:spacing w:val="1"/>
        </w:rPr>
        <w:t> </w:t>
      </w:r>
      <w:r>
        <w:rPr/>
        <w:t>trait confers a survival advantage against</w:t>
      </w:r>
      <w:r>
        <w:rPr>
          <w:spacing w:val="1"/>
        </w:rPr>
        <w:t> </w:t>
      </w:r>
      <w:r>
        <w:rPr/>
        <w:t>malaria (balanced polymorphism). There is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epidemiological evidence that sickle cell trait decreases the risk for all manifestations of severe</w:t>
      </w:r>
      <w:r>
        <w:rPr>
          <w:spacing w:val="1"/>
        </w:rPr>
        <w:t> </w:t>
      </w:r>
      <w:r>
        <w:rPr/>
        <w:t>malaria in malaria endemic regions (Kreuels </w:t>
      </w:r>
      <w:r>
        <w:rPr>
          <w:i/>
        </w:rPr>
        <w:t>et al</w:t>
      </w:r>
      <w:r>
        <w:rPr/>
        <w:t>., 2009). Although a single abnormal gene may</w:t>
      </w:r>
      <w:r>
        <w:rPr>
          <w:spacing w:val="1"/>
        </w:rPr>
        <w:t> </w:t>
      </w:r>
      <w:r>
        <w:rPr/>
        <w:t>protect against malaria, inheritance of two abnormal genes leads to SCA and confers no such</w:t>
      </w:r>
      <w:r>
        <w:rPr>
          <w:spacing w:val="1"/>
        </w:rPr>
        <w:t> </w:t>
      </w:r>
      <w:r>
        <w:rPr/>
        <w:t>protection and malaria is a major cause of ill-health and death in children with SCA (Oniyangi</w:t>
      </w:r>
      <w:r>
        <w:rPr>
          <w:spacing w:val="1"/>
        </w:rPr>
        <w:t> </w:t>
      </w:r>
      <w:r>
        <w:rPr/>
        <w:t>and Omari 2006). There is increasing evidence that malaria not only influences outcome but also</w:t>
      </w:r>
      <w:r>
        <w:rPr>
          <w:spacing w:val="1"/>
        </w:rPr>
        <w:t> </w:t>
      </w:r>
      <w:r>
        <w:rPr/>
        <w:t>changes</w:t>
      </w:r>
      <w:r>
        <w:rPr>
          <w:spacing w:val="-1"/>
        </w:rPr>
        <w:t> </w:t>
      </w:r>
      <w:r>
        <w:rPr/>
        <w:t>the</w:t>
      </w:r>
      <w:r>
        <w:rPr>
          <w:spacing w:val="6"/>
        </w:rPr>
        <w:t> </w:t>
      </w:r>
      <w:r>
        <w:rPr/>
        <w:t>manifestations of</w:t>
      </w:r>
      <w:r>
        <w:rPr>
          <w:spacing w:val="-7"/>
        </w:rPr>
        <w:t> </w:t>
      </w:r>
      <w:r>
        <w:rPr/>
        <w:t>SCA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Africa.</w:t>
      </w:r>
    </w:p>
    <w:p>
      <w:pPr>
        <w:pStyle w:val="Heading1"/>
        <w:numPr>
          <w:ilvl w:val="2"/>
          <w:numId w:val="15"/>
        </w:numPr>
        <w:tabs>
          <w:tab w:pos="1482" w:val="left" w:leader="none"/>
        </w:tabs>
        <w:spacing w:line="240" w:lineRule="auto" w:before="201" w:after="0"/>
        <w:ind w:left="1481" w:right="0" w:hanging="662"/>
        <w:jc w:val="both"/>
      </w:pPr>
      <w:bookmarkStart w:name="_TOC_250042" w:id="12"/>
      <w:bookmarkEnd w:id="12"/>
      <w:r>
        <w:rPr/>
        <w:t>Epidemiology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41"/>
        <w:jc w:val="both"/>
      </w:pPr>
      <w:r>
        <w:rPr/>
        <w:t>The highest frequency of SCD is found in tropical regions, particularly sub-Saharan Africa, India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Middle-East</w:t>
      </w:r>
      <w:r>
        <w:rPr>
          <w:spacing w:val="1"/>
        </w:rPr>
        <w:t> </w:t>
      </w:r>
      <w:r>
        <w:rPr/>
        <w:t>(Weatherall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Clegg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migration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substantial</w:t>
      </w:r>
      <w:r>
        <w:rPr>
          <w:spacing w:val="1"/>
        </w:rPr>
        <w:t> </w:t>
      </w:r>
      <w:r>
        <w:rPr/>
        <w:t>populations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Europe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dramatically</w:t>
      </w:r>
      <w:r>
        <w:rPr>
          <w:spacing w:val="-4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(Roberts and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Montalembert</w:t>
      </w:r>
      <w:r>
        <w:rPr>
          <w:spacing w:val="7"/>
        </w:rPr>
        <w:t> </w:t>
      </w:r>
      <w:r>
        <w:rPr/>
        <w:t>2007).</w:t>
      </w:r>
    </w:p>
    <w:p>
      <w:pPr>
        <w:pStyle w:val="BodyText"/>
        <w:spacing w:line="360" w:lineRule="auto" w:before="201"/>
        <w:ind w:left="820" w:right="1441"/>
        <w:jc w:val="both"/>
      </w:pPr>
      <w:r>
        <w:rPr/>
        <w:t>The symptoms related to sickle cell crises were known by various names in Africa, long before</w:t>
      </w:r>
      <w:r>
        <w:rPr>
          <w:spacing w:val="1"/>
        </w:rPr>
        <w:t> </w:t>
      </w:r>
      <w:r>
        <w:rPr/>
        <w:t>they were recognized in the western hemisphere. Symptoms of SCA could be tracked back to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1670</w:t>
      </w:r>
      <w:r>
        <w:rPr>
          <w:spacing w:val="1"/>
        </w:rPr>
        <w:t> </w:t>
      </w:r>
      <w:r>
        <w:rPr/>
        <w:t>(Serjeant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Serjeant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probably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recognised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generations in West Africa, where the chronic recurrent condition was given onomatopoeic</w:t>
      </w:r>
      <w:r>
        <w:rPr>
          <w:spacing w:val="1"/>
        </w:rPr>
        <w:t> </w:t>
      </w:r>
      <w:r>
        <w:rPr/>
        <w:t>names</w:t>
      </w:r>
      <w:r>
        <w:rPr>
          <w:spacing w:val="1"/>
        </w:rPr>
        <w:t> </w:t>
      </w:r>
      <w:r>
        <w:rPr/>
        <w:t>implying</w:t>
      </w:r>
      <w:r>
        <w:rPr>
          <w:spacing w:val="1"/>
        </w:rPr>
        <w:t> </w:t>
      </w:r>
      <w:r>
        <w:rPr/>
        <w:t>‘cold</w:t>
      </w:r>
      <w:r>
        <w:rPr>
          <w:spacing w:val="1"/>
        </w:rPr>
        <w:t> </w:t>
      </w:r>
      <w:r>
        <w:rPr/>
        <w:t>season</w:t>
      </w:r>
      <w:r>
        <w:rPr>
          <w:spacing w:val="1"/>
        </w:rPr>
        <w:t> </w:t>
      </w:r>
      <w:r>
        <w:rPr/>
        <w:t>rheumatism’.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Ghana,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</w:t>
      </w:r>
      <w:r>
        <w:rPr>
          <w:spacing w:val="1"/>
        </w:rPr>
        <w:t> </w:t>
      </w:r>
      <w:r>
        <w:rPr/>
        <w:t>tribe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“Chwecheechwe”, the Twi as “Ahututuo”, the Ewe as “Nuidudui”, and the Fante as “Nwiiwii”</w:t>
      </w:r>
      <w:r>
        <w:rPr>
          <w:spacing w:val="1"/>
        </w:rPr>
        <w:t> </w:t>
      </w:r>
      <w:r>
        <w:rPr/>
        <w:t>(Serjeant and Serjeant 2001). In Nigeria, various expressions have been used to describe SCD for</w:t>
      </w:r>
      <w:r>
        <w:rPr>
          <w:spacing w:val="-57"/>
        </w:rPr>
        <w:t> </w:t>
      </w:r>
      <w:r>
        <w:rPr/>
        <w:t>many</w:t>
      </w:r>
      <w:r>
        <w:rPr>
          <w:spacing w:val="1"/>
        </w:rPr>
        <w:t> </w:t>
      </w:r>
      <w:r>
        <w:rPr/>
        <w:t>years (Ejiofor,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descriptions or</w:t>
      </w:r>
      <w:r>
        <w:rPr>
          <w:spacing w:val="1"/>
        </w:rPr>
        <w:t> </w:t>
      </w:r>
      <w:r>
        <w:rPr/>
        <w:t>names are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vital phenomena;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example;</w:t>
      </w:r>
      <w:r>
        <w:rPr>
          <w:spacing w:val="36"/>
        </w:rPr>
        <w:t> </w:t>
      </w:r>
      <w:r>
        <w:rPr/>
        <w:t>shortened</w:t>
      </w:r>
      <w:r>
        <w:rPr>
          <w:spacing w:val="40"/>
        </w:rPr>
        <w:t> </w:t>
      </w:r>
      <w:r>
        <w:rPr/>
        <w:t>lifespan</w:t>
      </w:r>
      <w:r>
        <w:rPr>
          <w:spacing w:val="30"/>
        </w:rPr>
        <w:t> </w:t>
      </w:r>
      <w:r>
        <w:rPr/>
        <w:t>[Yoruba</w:t>
      </w:r>
      <w:r>
        <w:rPr>
          <w:spacing w:val="34"/>
        </w:rPr>
        <w:t> </w:t>
      </w:r>
      <w:r>
        <w:rPr/>
        <w:t>terminologies</w:t>
      </w:r>
      <w:r>
        <w:rPr>
          <w:spacing w:val="33"/>
        </w:rPr>
        <w:t> </w:t>
      </w:r>
      <w:r>
        <w:rPr/>
        <w:t>which</w:t>
      </w:r>
      <w:r>
        <w:rPr>
          <w:spacing w:val="35"/>
        </w:rPr>
        <w:t> </w:t>
      </w:r>
      <w:r>
        <w:rPr/>
        <w:t>imply</w:t>
      </w:r>
      <w:r>
        <w:rPr>
          <w:spacing w:val="30"/>
        </w:rPr>
        <w:t> </w:t>
      </w:r>
      <w:r>
        <w:rPr/>
        <w:t>this</w:t>
      </w:r>
      <w:r>
        <w:rPr>
          <w:spacing w:val="38"/>
        </w:rPr>
        <w:t> </w:t>
      </w:r>
      <w:r>
        <w:rPr/>
        <w:t>include-“durojaye”,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60" w:lineRule="auto" w:before="72"/>
        <w:ind w:left="820" w:right="1435"/>
        <w:jc w:val="both"/>
      </w:pPr>
      <w:r>
        <w:rPr/>
        <w:t>“durosinmi” and “abiku” , while the Hausa terminologies include “barmani”, “ajuji” (dustbin),</w:t>
      </w:r>
      <w:r>
        <w:rPr>
          <w:spacing w:val="1"/>
        </w:rPr>
        <w:t> </w:t>
      </w:r>
      <w:r>
        <w:rPr/>
        <w:t>and</w:t>
      </w:r>
      <w:r>
        <w:rPr>
          <w:spacing w:val="16"/>
        </w:rPr>
        <w:t> </w:t>
      </w:r>
      <w:r>
        <w:rPr/>
        <w:t>“ayashe”</w:t>
      </w:r>
      <w:r>
        <w:rPr>
          <w:spacing w:val="11"/>
        </w:rPr>
        <w:t> </w:t>
      </w:r>
      <w:r>
        <w:rPr/>
        <w:t>(meant</w:t>
      </w:r>
      <w:r>
        <w:rPr>
          <w:spacing w:val="13"/>
        </w:rPr>
        <w:t> </w:t>
      </w:r>
      <w:r>
        <w:rPr/>
        <w:t>to</w:t>
      </w:r>
      <w:r>
        <w:rPr>
          <w:spacing w:val="16"/>
        </w:rPr>
        <w:t> </w:t>
      </w:r>
      <w:r>
        <w:rPr/>
        <w:t>be</w:t>
      </w:r>
      <w:r>
        <w:rPr>
          <w:spacing w:val="11"/>
        </w:rPr>
        <w:t> </w:t>
      </w:r>
      <w:r>
        <w:rPr/>
        <w:t>dug</w:t>
      </w:r>
      <w:r>
        <w:rPr>
          <w:spacing w:val="12"/>
        </w:rPr>
        <w:t> </w:t>
      </w:r>
      <w:r>
        <w:rPr/>
        <w:t>out),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Ibo’s</w:t>
      </w:r>
      <w:r>
        <w:rPr>
          <w:spacing w:val="10"/>
        </w:rPr>
        <w:t> </w:t>
      </w:r>
      <w:r>
        <w:rPr/>
        <w:t>refer</w:t>
      </w:r>
      <w:r>
        <w:rPr>
          <w:spacing w:val="9"/>
        </w:rPr>
        <w:t> </w:t>
      </w:r>
      <w:r>
        <w:rPr/>
        <w:t>to</w:t>
      </w:r>
      <w:r>
        <w:rPr>
          <w:spacing w:val="17"/>
        </w:rPr>
        <w:t> </w:t>
      </w:r>
      <w:r>
        <w:rPr/>
        <w:t>it</w:t>
      </w:r>
      <w:r>
        <w:rPr>
          <w:spacing w:val="16"/>
        </w:rPr>
        <w:t> </w:t>
      </w:r>
      <w:r>
        <w:rPr/>
        <w:t>as</w:t>
      </w:r>
      <w:r>
        <w:rPr>
          <w:spacing w:val="10"/>
        </w:rPr>
        <w:t> </w:t>
      </w:r>
      <w:r>
        <w:rPr/>
        <w:t>“ogbanje”</w:t>
      </w:r>
      <w:r>
        <w:rPr>
          <w:spacing w:val="11"/>
        </w:rPr>
        <w:t> </w:t>
      </w:r>
      <w:r>
        <w:rPr/>
        <w:t>(recurrent</w:t>
      </w:r>
      <w:r>
        <w:rPr>
          <w:spacing w:val="17"/>
        </w:rPr>
        <w:t> </w:t>
      </w:r>
      <w:r>
        <w:rPr/>
        <w:t>death),</w:t>
      </w:r>
      <w:r>
        <w:rPr>
          <w:spacing w:val="14"/>
        </w:rPr>
        <w:t> </w:t>
      </w:r>
      <w:r>
        <w:rPr/>
        <w:t>and</w:t>
      </w:r>
      <w:r>
        <w:rPr>
          <w:spacing w:val="12"/>
        </w:rPr>
        <w:t> </w:t>
      </w:r>
      <w:r>
        <w:rPr/>
        <w:t>the</w:t>
      </w:r>
      <w:r>
        <w:rPr>
          <w:spacing w:val="-57"/>
        </w:rPr>
        <w:t> </w:t>
      </w:r>
      <w:r>
        <w:rPr/>
        <w:t>tiv as “vende wanye”], anaemia [Hausa refer to it as “rashin jinni”or “fara”], and for phenomena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pain</w:t>
      </w:r>
      <w:r>
        <w:rPr>
          <w:b/>
        </w:rPr>
        <w:t>/</w:t>
      </w:r>
      <w:r>
        <w:rPr/>
        <w:t>bone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[the</w:t>
      </w:r>
      <w:r>
        <w:rPr>
          <w:spacing w:val="1"/>
        </w:rPr>
        <w:t> </w:t>
      </w:r>
      <w:r>
        <w:rPr/>
        <w:t>Yoruba</w:t>
      </w:r>
      <w:r>
        <w:rPr>
          <w:spacing w:val="1"/>
        </w:rPr>
        <w:t> </w:t>
      </w:r>
      <w:r>
        <w:rPr/>
        <w:t>refer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“lagunlagun”,</w:t>
      </w:r>
      <w:r>
        <w:rPr>
          <w:spacing w:val="1"/>
        </w:rPr>
        <w:t> </w:t>
      </w:r>
      <w:r>
        <w:rPr/>
        <w:t>“lagunregbee”,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“aromolegun”, the Hausa refer to it as “amosanin”, the Ibo’s refer to it as “aju oyi”, and the</w:t>
      </w:r>
      <w:r>
        <w:rPr>
          <w:spacing w:val="1"/>
        </w:rPr>
        <w:t> </w:t>
      </w:r>
      <w:r>
        <w:rPr/>
        <w:t>Fulani’s</w:t>
      </w:r>
      <w:r>
        <w:rPr>
          <w:spacing w:val="-1"/>
        </w:rPr>
        <w:t> </w:t>
      </w:r>
      <w:r>
        <w:rPr/>
        <w:t>refer</w:t>
      </w:r>
      <w:r>
        <w:rPr>
          <w:spacing w:val="2"/>
        </w:rPr>
        <w:t> </w:t>
      </w:r>
      <w:r>
        <w:rPr/>
        <w:t>to</w:t>
      </w:r>
      <w:r>
        <w:rPr>
          <w:spacing w:val="7"/>
        </w:rPr>
        <w:t> </w:t>
      </w:r>
      <w:r>
        <w:rPr/>
        <w:t>it</w:t>
      </w:r>
      <w:r>
        <w:rPr>
          <w:spacing w:val="6"/>
        </w:rPr>
        <w:t> </w:t>
      </w:r>
      <w:r>
        <w:rPr/>
        <w:t>as</w:t>
      </w:r>
      <w:r>
        <w:rPr>
          <w:spacing w:val="-1"/>
        </w:rPr>
        <w:t> </w:t>
      </w:r>
      <w:r>
        <w:rPr/>
        <w:t>“budi”]</w:t>
      </w:r>
      <w:r>
        <w:rPr>
          <w:spacing w:val="3"/>
        </w:rPr>
        <w:t> </w:t>
      </w:r>
      <w:r>
        <w:rPr/>
        <w:t>(Konotey-Ahulu,</w:t>
      </w:r>
      <w:r>
        <w:rPr>
          <w:spacing w:val="3"/>
        </w:rPr>
        <w:t> </w:t>
      </w:r>
      <w:r>
        <w:rPr/>
        <w:t>1991).</w:t>
      </w:r>
    </w:p>
    <w:p>
      <w:pPr>
        <w:pStyle w:val="BodyText"/>
        <w:spacing w:line="360" w:lineRule="auto" w:before="199"/>
        <w:ind w:left="820" w:right="1436"/>
        <w:jc w:val="both"/>
      </w:pPr>
      <w:r>
        <w:rPr/>
        <w:t>However, the first recorded description in Africa has been attributed to Africanus Horton (1874)</w:t>
      </w:r>
      <w:r>
        <w:rPr>
          <w:spacing w:val="1"/>
        </w:rPr>
        <w:t> </w:t>
      </w:r>
      <w:r>
        <w:rPr/>
        <w:t>who described the fever of crises, the shifting joint pains, the exacerbations during the rainy</w:t>
      </w:r>
      <w:r>
        <w:rPr>
          <w:spacing w:val="1"/>
        </w:rPr>
        <w:t> </w:t>
      </w:r>
      <w:r>
        <w:rPr/>
        <w:t>season, and the constant abnormality of blood (Serjeant and Serjeant 2001). But, it was not until</w:t>
      </w:r>
      <w:r>
        <w:rPr>
          <w:spacing w:val="1"/>
        </w:rPr>
        <w:t> </w:t>
      </w:r>
      <w:r>
        <w:rPr/>
        <w:t>1910,</w:t>
      </w:r>
      <w:r>
        <w:rPr>
          <w:spacing w:val="31"/>
        </w:rPr>
        <w:t> </w:t>
      </w:r>
      <w:r>
        <w:rPr/>
        <w:t>the</w:t>
      </w:r>
      <w:r>
        <w:rPr>
          <w:spacing w:val="29"/>
        </w:rPr>
        <w:t> </w:t>
      </w:r>
      <w:r>
        <w:rPr/>
        <w:t>scientific</w:t>
      </w:r>
      <w:r>
        <w:rPr>
          <w:spacing w:val="32"/>
        </w:rPr>
        <w:t> </w:t>
      </w:r>
      <w:r>
        <w:rPr/>
        <w:t>community</w:t>
      </w:r>
      <w:r>
        <w:rPr>
          <w:spacing w:val="25"/>
        </w:rPr>
        <w:t> </w:t>
      </w:r>
      <w:r>
        <w:rPr/>
        <w:t>came</w:t>
      </w:r>
      <w:r>
        <w:rPr>
          <w:spacing w:val="32"/>
        </w:rPr>
        <w:t> </w:t>
      </w:r>
      <w:r>
        <w:rPr/>
        <w:t>to</w:t>
      </w:r>
      <w:r>
        <w:rPr>
          <w:spacing w:val="33"/>
        </w:rPr>
        <w:t> </w:t>
      </w:r>
      <w:r>
        <w:rPr/>
        <w:t>know</w:t>
      </w:r>
      <w:r>
        <w:rPr>
          <w:spacing w:val="29"/>
        </w:rPr>
        <w:t> </w:t>
      </w:r>
      <w:r>
        <w:rPr/>
        <w:t>about</w:t>
      </w:r>
      <w:r>
        <w:rPr>
          <w:spacing w:val="34"/>
        </w:rPr>
        <w:t> </w:t>
      </w:r>
      <w:r>
        <w:rPr/>
        <w:t>SCD</w:t>
      </w:r>
      <w:r>
        <w:rPr>
          <w:spacing w:val="34"/>
        </w:rPr>
        <w:t> </w:t>
      </w:r>
      <w:r>
        <w:rPr/>
        <w:t>through</w:t>
      </w:r>
      <w:r>
        <w:rPr>
          <w:spacing w:val="24"/>
        </w:rPr>
        <w:t> </w:t>
      </w:r>
      <w:r>
        <w:rPr/>
        <w:t>Herrick’s</w:t>
      </w:r>
      <w:r>
        <w:rPr>
          <w:spacing w:val="32"/>
        </w:rPr>
        <w:t> </w:t>
      </w:r>
      <w:r>
        <w:rPr/>
        <w:t>discovery</w:t>
      </w:r>
      <w:r>
        <w:rPr>
          <w:spacing w:val="25"/>
        </w:rPr>
        <w:t> </w:t>
      </w:r>
      <w:r>
        <w:rPr/>
        <w:t>(Desai</w:t>
      </w:r>
      <w:r>
        <w:rPr>
          <w:spacing w:val="-58"/>
        </w:rPr>
        <w:t> </w:t>
      </w:r>
      <w:r>
        <w:rPr/>
        <w:t>and Dhanani 2004). Thus, the disease was occasionally called “Herrick’s syndrome”. It was later</w:t>
      </w:r>
      <w:r>
        <w:rPr>
          <w:spacing w:val="1"/>
        </w:rPr>
        <w:t> </w:t>
      </w:r>
      <w:r>
        <w:rPr/>
        <w:t>named</w:t>
      </w:r>
      <w:r>
        <w:rPr>
          <w:spacing w:val="5"/>
        </w:rPr>
        <w:t> </w:t>
      </w:r>
      <w:r>
        <w:rPr/>
        <w:t>“Sickle Cell</w:t>
      </w:r>
      <w:r>
        <w:rPr>
          <w:spacing w:val="-3"/>
        </w:rPr>
        <w:t> </w:t>
      </w:r>
      <w:r>
        <w:rPr/>
        <w:t>Anaemia” by</w:t>
      </w:r>
      <w:r>
        <w:rPr>
          <w:spacing w:val="-5"/>
        </w:rPr>
        <w:t> </w:t>
      </w:r>
      <w:r>
        <w:rPr/>
        <w:t>Vernon</w:t>
      </w:r>
      <w:r>
        <w:rPr>
          <w:spacing w:val="-4"/>
        </w:rPr>
        <w:t> </w:t>
      </w:r>
      <w:r>
        <w:rPr/>
        <w:t>Mason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1922</w:t>
      </w:r>
      <w:r>
        <w:rPr>
          <w:spacing w:val="1"/>
        </w:rPr>
        <w:t> </w:t>
      </w:r>
      <w:r>
        <w:rPr/>
        <w:t>(Shamsuddeen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3"/>
        </w:rPr>
        <w:t> </w:t>
      </w:r>
      <w:r>
        <w:rPr/>
        <w:t>2007).</w:t>
      </w:r>
    </w:p>
    <w:p>
      <w:pPr>
        <w:pStyle w:val="Heading1"/>
        <w:numPr>
          <w:ilvl w:val="2"/>
          <w:numId w:val="15"/>
        </w:numPr>
        <w:tabs>
          <w:tab w:pos="1544" w:val="left" w:leader="none"/>
        </w:tabs>
        <w:spacing w:line="240" w:lineRule="auto" w:before="199" w:after="0"/>
        <w:ind w:left="1543" w:right="0" w:hanging="724"/>
        <w:jc w:val="both"/>
      </w:pPr>
      <w:bookmarkStart w:name="_TOC_250041" w:id="13"/>
      <w:r>
        <w:rPr/>
        <w:t>Nomenclature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Classification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Sickle</w:t>
      </w:r>
      <w:r>
        <w:rPr>
          <w:spacing w:val="-3"/>
        </w:rPr>
        <w:t> </w:t>
      </w:r>
      <w:r>
        <w:rPr/>
        <w:t>Cell</w:t>
      </w:r>
      <w:r>
        <w:rPr>
          <w:spacing w:val="-7"/>
        </w:rPr>
        <w:t> </w:t>
      </w:r>
      <w:bookmarkEnd w:id="13"/>
      <w:r>
        <w:rPr/>
        <w:t>Diseases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39"/>
        <w:jc w:val="both"/>
      </w:pPr>
      <w:r>
        <w:rPr/>
        <w:t>The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genotypes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Homozygous</w:t>
      </w:r>
      <w:r>
        <w:rPr>
          <w:spacing w:val="1"/>
        </w:rPr>
        <w:t> </w:t>
      </w:r>
      <w:r>
        <w:rPr/>
        <w:t>sickle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(HbSS),</w:t>
      </w:r>
      <w:r>
        <w:rPr>
          <w:spacing w:val="1"/>
        </w:rPr>
        <w:t> </w:t>
      </w:r>
      <w:r>
        <w:rPr/>
        <w:t>Sickle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(HbSC),</w:t>
      </w:r>
      <w:r>
        <w:rPr>
          <w:spacing w:val="1"/>
        </w:rPr>
        <w:t> </w:t>
      </w:r>
      <w:r>
        <w:rPr/>
        <w:t>Sickle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β</w:t>
      </w:r>
      <w:r>
        <w:rPr>
          <w:vertAlign w:val="superscript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thalassaemia</w:t>
      </w:r>
      <w:r>
        <w:rPr>
          <w:spacing w:val="1"/>
          <w:vertAlign w:val="baseline"/>
        </w:rPr>
        <w:t> </w:t>
      </w:r>
      <w:r>
        <w:rPr>
          <w:vertAlign w:val="baseline"/>
        </w:rPr>
        <w:t>(Sβ</w:t>
      </w:r>
      <w:r>
        <w:rPr>
          <w:vertAlign w:val="superscript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thal.),</w:t>
      </w:r>
      <w:r>
        <w:rPr>
          <w:spacing w:val="1"/>
          <w:vertAlign w:val="baseline"/>
        </w:rPr>
        <w:t> </w:t>
      </w:r>
      <w:r>
        <w:rPr>
          <w:vertAlign w:val="baseline"/>
        </w:rPr>
        <w:t>Sickle</w:t>
      </w:r>
      <w:r>
        <w:rPr>
          <w:spacing w:val="1"/>
          <w:vertAlign w:val="baseline"/>
        </w:rPr>
        <w:t> </w:t>
      </w:r>
      <w:r>
        <w:rPr>
          <w:vertAlign w:val="baseline"/>
        </w:rPr>
        <w:t>cell</w:t>
      </w:r>
      <w:r>
        <w:rPr>
          <w:spacing w:val="1"/>
          <w:vertAlign w:val="baseline"/>
        </w:rPr>
        <w:t> </w:t>
      </w:r>
      <w:r>
        <w:rPr>
          <w:vertAlign w:val="baseline"/>
        </w:rPr>
        <w:t>β</w:t>
      </w:r>
      <w:r>
        <w:rPr>
          <w:vertAlign w:val="superscript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thalassaemia type I, II, and III (Sβ</w:t>
      </w:r>
      <w:r>
        <w:rPr>
          <w:vertAlign w:val="superscript"/>
        </w:rPr>
        <w:t>+</w:t>
      </w:r>
      <w:r>
        <w:rPr>
          <w:vertAlign w:val="baseline"/>
        </w:rPr>
        <w:t> thal. Type I, Sβ</w:t>
      </w:r>
      <w:r>
        <w:rPr>
          <w:vertAlign w:val="superscript"/>
        </w:rPr>
        <w:t>+</w:t>
      </w:r>
      <w:r>
        <w:rPr>
          <w:vertAlign w:val="baseline"/>
        </w:rPr>
        <w:t> thal. Type II and Sβ</w:t>
      </w:r>
      <w:r>
        <w:rPr>
          <w:vertAlign w:val="superscript"/>
        </w:rPr>
        <w:t>+</w:t>
      </w:r>
      <w:r>
        <w:rPr>
          <w:vertAlign w:val="baseline"/>
        </w:rPr>
        <w:t> thal. Type III). Three</w:t>
      </w:r>
      <w:r>
        <w:rPr>
          <w:spacing w:val="1"/>
          <w:vertAlign w:val="baseline"/>
        </w:rPr>
        <w:t> </w:t>
      </w:r>
      <w:r>
        <w:rPr>
          <w:vertAlign w:val="baseline"/>
        </w:rPr>
        <w:t>other much less common genotypes include: Sickle cell haemoglobin D Punjab (HbD Punjab),</w:t>
      </w:r>
      <w:r>
        <w:rPr>
          <w:spacing w:val="1"/>
          <w:vertAlign w:val="baseline"/>
        </w:rPr>
        <w:t> </w:t>
      </w:r>
      <w:r>
        <w:rPr>
          <w:vertAlign w:val="baseline"/>
        </w:rPr>
        <w:t>Sickle cell haemoglobin O</w:t>
      </w:r>
      <w:r>
        <w:rPr>
          <w:spacing w:val="1"/>
          <w:vertAlign w:val="baseline"/>
        </w:rPr>
        <w:t> </w:t>
      </w:r>
      <w:r>
        <w:rPr>
          <w:vertAlign w:val="baseline"/>
        </w:rPr>
        <w:t>Arab (HbO</w:t>
      </w:r>
      <w:r>
        <w:rPr>
          <w:spacing w:val="1"/>
          <w:vertAlign w:val="baseline"/>
        </w:rPr>
        <w:t> </w:t>
      </w:r>
      <w:r>
        <w:rPr>
          <w:vertAlign w:val="baseline"/>
        </w:rPr>
        <w:t>Arab),</w:t>
      </w:r>
      <w:r>
        <w:rPr>
          <w:spacing w:val="1"/>
          <w:vertAlign w:val="baseline"/>
        </w:rPr>
        <w:t> </w:t>
      </w:r>
      <w:r>
        <w:rPr>
          <w:vertAlign w:val="baseline"/>
        </w:rPr>
        <w:t>and Sickle cell haemoglobin</w:t>
      </w:r>
      <w:r>
        <w:rPr>
          <w:spacing w:val="1"/>
          <w:vertAlign w:val="baseline"/>
        </w:rPr>
        <w:t> </w:t>
      </w:r>
      <w:r>
        <w:rPr>
          <w:vertAlign w:val="baseline"/>
        </w:rPr>
        <w:t>Lepore Boston</w:t>
      </w:r>
      <w:r>
        <w:rPr>
          <w:spacing w:val="1"/>
          <w:vertAlign w:val="baseline"/>
        </w:rPr>
        <w:t> </w:t>
      </w:r>
      <w:r>
        <w:rPr>
          <w:vertAlign w:val="baseline"/>
        </w:rPr>
        <w:t>(HbLepore Boston).</w:t>
      </w:r>
    </w:p>
    <w:p>
      <w:pPr>
        <w:pStyle w:val="BodyText"/>
        <w:spacing w:before="195"/>
        <w:ind w:left="820"/>
        <w:jc w:val="both"/>
      </w:pPr>
      <w:r>
        <w:rPr/>
        <w:t>They</w:t>
      </w:r>
      <w:r>
        <w:rPr>
          <w:spacing w:val="-11"/>
        </w:rPr>
        <w:t> </w:t>
      </w:r>
      <w:r>
        <w:rPr/>
        <w:t>are</w:t>
      </w:r>
      <w:r>
        <w:rPr>
          <w:spacing w:val="-2"/>
        </w:rPr>
        <w:t> </w:t>
      </w:r>
      <w:r>
        <w:rPr/>
        <w:t>all</w:t>
      </w:r>
      <w:r>
        <w:rPr>
          <w:spacing w:val="-5"/>
        </w:rPr>
        <w:t> </w:t>
      </w:r>
      <w:r>
        <w:rPr/>
        <w:t>single</w:t>
      </w:r>
      <w:r>
        <w:rPr>
          <w:spacing w:val="-3"/>
        </w:rPr>
        <w:t> </w:t>
      </w:r>
      <w:r>
        <w:rPr/>
        <w:t>point</w:t>
      </w:r>
      <w:r>
        <w:rPr>
          <w:spacing w:val="4"/>
        </w:rPr>
        <w:t> </w:t>
      </w:r>
      <w:r>
        <w:rPr/>
        <w:t>mutations</w:t>
      </w:r>
      <w:r>
        <w:rPr>
          <w:spacing w:val="2"/>
        </w:rPr>
        <w:t> </w:t>
      </w:r>
      <w:r>
        <w:rPr/>
        <w:t>in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codon</w:t>
      </w:r>
      <w:r>
        <w:rPr>
          <w:spacing w:val="-6"/>
        </w:rPr>
        <w:t> </w:t>
      </w:r>
      <w:r>
        <w:rPr/>
        <w:t>determining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amino-acid</w:t>
      </w:r>
      <w:r>
        <w:rPr>
          <w:spacing w:val="-1"/>
        </w:rPr>
        <w:t> </w:t>
      </w:r>
      <w:r>
        <w:rPr/>
        <w:t>has</w:t>
      </w:r>
      <w:r>
        <w:rPr>
          <w:spacing w:val="-3"/>
        </w:rPr>
        <w:t> </w:t>
      </w:r>
      <w:r>
        <w:rPr/>
        <w:t>changed.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0"/>
          <w:numId w:val="16"/>
        </w:numPr>
        <w:tabs>
          <w:tab w:pos="1539" w:val="left" w:leader="none"/>
          <w:tab w:pos="1540" w:val="left" w:leader="none"/>
        </w:tabs>
        <w:spacing w:line="350" w:lineRule="auto" w:before="0" w:after="0"/>
        <w:ind w:left="1540" w:right="1444" w:hanging="360"/>
        <w:jc w:val="left"/>
        <w:rPr>
          <w:sz w:val="24"/>
        </w:rPr>
      </w:pPr>
      <w:r>
        <w:rPr>
          <w:sz w:val="24"/>
        </w:rPr>
        <w:t>HbSS -</w:t>
      </w:r>
      <w:r>
        <w:rPr>
          <w:spacing w:val="1"/>
          <w:sz w:val="24"/>
        </w:rPr>
        <w:t> </w:t>
      </w:r>
      <w:r>
        <w:rPr>
          <w:sz w:val="24"/>
        </w:rPr>
        <w:t>Valine</w:t>
      </w:r>
      <w:r>
        <w:rPr>
          <w:spacing w:val="-2"/>
          <w:sz w:val="24"/>
        </w:rPr>
        <w:t> </w:t>
      </w:r>
      <w:r>
        <w:rPr>
          <w:sz w:val="24"/>
        </w:rPr>
        <w:t>replaces</w:t>
      </w:r>
      <w:r>
        <w:rPr>
          <w:spacing w:val="-3"/>
          <w:sz w:val="24"/>
        </w:rPr>
        <w:t> </w:t>
      </w:r>
      <w:r>
        <w:rPr>
          <w:sz w:val="24"/>
        </w:rPr>
        <w:t>glutamic</w:t>
      </w:r>
      <w:r>
        <w:rPr>
          <w:spacing w:val="-2"/>
          <w:sz w:val="24"/>
        </w:rPr>
        <w:t> </w:t>
      </w:r>
      <w:r>
        <w:rPr>
          <w:sz w:val="24"/>
        </w:rPr>
        <w:t>acid</w:t>
      </w:r>
      <w:r>
        <w:rPr>
          <w:spacing w:val="4"/>
          <w:sz w:val="24"/>
        </w:rPr>
        <w:t> </w:t>
      </w:r>
      <w:r>
        <w:rPr>
          <w:sz w:val="24"/>
        </w:rPr>
        <w:t>at</w:t>
      </w:r>
      <w:r>
        <w:rPr>
          <w:spacing w:val="4"/>
          <w:sz w:val="24"/>
        </w:rPr>
        <w:t> </w:t>
      </w:r>
      <w:r>
        <w:rPr>
          <w:sz w:val="24"/>
        </w:rPr>
        <w:t>position</w:t>
      </w:r>
      <w:r>
        <w:rPr>
          <w:spacing w:val="-5"/>
          <w:sz w:val="24"/>
        </w:rPr>
        <w:t> </w:t>
      </w:r>
      <w:r>
        <w:rPr>
          <w:sz w:val="24"/>
        </w:rPr>
        <w:t>β</w:t>
      </w:r>
      <w:r>
        <w:rPr>
          <w:sz w:val="24"/>
          <w:vertAlign w:val="superscript"/>
        </w:rPr>
        <w:t>6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i.e.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nucleotide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is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changed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from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GAG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GTG</w:t>
      </w:r>
    </w:p>
    <w:p>
      <w:pPr>
        <w:pStyle w:val="ListParagraph"/>
        <w:numPr>
          <w:ilvl w:val="0"/>
          <w:numId w:val="16"/>
        </w:numPr>
        <w:tabs>
          <w:tab w:pos="1539" w:val="left" w:leader="none"/>
          <w:tab w:pos="1540" w:val="left" w:leader="none"/>
        </w:tabs>
        <w:spacing w:line="350" w:lineRule="auto" w:before="214" w:after="0"/>
        <w:ind w:left="1540" w:right="1443" w:hanging="360"/>
        <w:jc w:val="left"/>
        <w:rPr>
          <w:sz w:val="24"/>
        </w:rPr>
      </w:pPr>
      <w:r>
        <w:rPr>
          <w:sz w:val="24"/>
        </w:rPr>
        <w:t>HbSC-</w:t>
      </w:r>
      <w:r>
        <w:rPr>
          <w:spacing w:val="1"/>
          <w:sz w:val="24"/>
        </w:rPr>
        <w:t> </w:t>
      </w:r>
      <w:r>
        <w:rPr>
          <w:sz w:val="24"/>
        </w:rPr>
        <w:t>Same</w:t>
      </w:r>
      <w:r>
        <w:rPr>
          <w:spacing w:val="7"/>
          <w:sz w:val="24"/>
        </w:rPr>
        <w:t> </w:t>
      </w:r>
      <w:r>
        <w:rPr>
          <w:sz w:val="24"/>
        </w:rPr>
        <w:t>nucleotide</w:t>
      </w:r>
      <w:r>
        <w:rPr>
          <w:spacing w:val="3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changed</w:t>
      </w:r>
      <w:r>
        <w:rPr>
          <w:spacing w:val="4"/>
          <w:sz w:val="24"/>
        </w:rPr>
        <w:t> </w:t>
      </w:r>
      <w:r>
        <w:rPr>
          <w:sz w:val="24"/>
        </w:rPr>
        <w:t>from</w:t>
      </w:r>
      <w:r>
        <w:rPr>
          <w:spacing w:val="-4"/>
          <w:sz w:val="24"/>
        </w:rPr>
        <w:t> </w:t>
      </w:r>
      <w:r>
        <w:rPr>
          <w:sz w:val="24"/>
        </w:rPr>
        <w:t>GAG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AAG,</w:t>
      </w:r>
      <w:r>
        <w:rPr>
          <w:spacing w:val="1"/>
          <w:sz w:val="24"/>
        </w:rPr>
        <w:t> </w:t>
      </w:r>
      <w:r>
        <w:rPr>
          <w:sz w:val="24"/>
        </w:rPr>
        <w:t>resulting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insertion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lysine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place of</w:t>
      </w:r>
      <w:r>
        <w:rPr>
          <w:spacing w:val="-6"/>
          <w:sz w:val="24"/>
        </w:rPr>
        <w:t> </w:t>
      </w:r>
      <w:r>
        <w:rPr>
          <w:sz w:val="24"/>
        </w:rPr>
        <w:t>glutamic</w:t>
      </w:r>
      <w:r>
        <w:rPr>
          <w:spacing w:val="1"/>
          <w:sz w:val="24"/>
        </w:rPr>
        <w:t> </w:t>
      </w:r>
      <w:r>
        <w:rPr>
          <w:sz w:val="24"/>
        </w:rPr>
        <w:t>acid</w:t>
      </w:r>
      <w:r>
        <w:rPr>
          <w:spacing w:val="2"/>
          <w:sz w:val="24"/>
        </w:rPr>
        <w:t> </w:t>
      </w:r>
      <w:r>
        <w:rPr>
          <w:sz w:val="24"/>
        </w:rPr>
        <w:t>at</w:t>
      </w:r>
      <w:r>
        <w:rPr>
          <w:spacing w:val="6"/>
          <w:sz w:val="24"/>
        </w:rPr>
        <w:t> </w:t>
      </w:r>
      <w:r>
        <w:rPr>
          <w:sz w:val="24"/>
        </w:rPr>
        <w:t>position</w:t>
      </w:r>
      <w:r>
        <w:rPr>
          <w:spacing w:val="-3"/>
          <w:sz w:val="24"/>
        </w:rPr>
        <w:t> </w:t>
      </w:r>
      <w:r>
        <w:rPr>
          <w:sz w:val="24"/>
        </w:rPr>
        <w:t>β</w:t>
      </w:r>
      <w:r>
        <w:rPr>
          <w:sz w:val="24"/>
          <w:vertAlign w:val="superscript"/>
        </w:rPr>
        <w:t>6</w:t>
      </w:r>
    </w:p>
    <w:p>
      <w:pPr>
        <w:pStyle w:val="ListParagraph"/>
        <w:numPr>
          <w:ilvl w:val="0"/>
          <w:numId w:val="16"/>
        </w:numPr>
        <w:tabs>
          <w:tab w:pos="1539" w:val="left" w:leader="none"/>
          <w:tab w:pos="1540" w:val="left" w:leader="none"/>
        </w:tabs>
        <w:spacing w:line="240" w:lineRule="auto" w:before="214" w:after="0"/>
        <w:ind w:left="1540" w:right="0" w:hanging="360"/>
        <w:jc w:val="left"/>
        <w:rPr>
          <w:sz w:val="24"/>
        </w:rPr>
      </w:pPr>
      <w:r>
        <w:rPr>
          <w:sz w:val="24"/>
        </w:rPr>
        <w:t>HbD</w:t>
      </w:r>
      <w:r>
        <w:rPr>
          <w:spacing w:val="11"/>
          <w:sz w:val="24"/>
        </w:rPr>
        <w:t> </w:t>
      </w:r>
      <w:r>
        <w:rPr>
          <w:sz w:val="24"/>
        </w:rPr>
        <w:t>Punjab-</w:t>
      </w:r>
      <w:r>
        <w:rPr>
          <w:spacing w:val="13"/>
          <w:sz w:val="24"/>
        </w:rPr>
        <w:t> </w:t>
      </w:r>
      <w:r>
        <w:rPr>
          <w:sz w:val="24"/>
        </w:rPr>
        <w:t>Codon</w:t>
      </w:r>
      <w:r>
        <w:rPr>
          <w:spacing w:val="8"/>
          <w:sz w:val="24"/>
        </w:rPr>
        <w:t> </w:t>
      </w:r>
      <w:r>
        <w:rPr>
          <w:sz w:val="24"/>
        </w:rPr>
        <w:t>CAG</w:t>
      </w:r>
      <w:r>
        <w:rPr>
          <w:spacing w:val="16"/>
          <w:sz w:val="24"/>
        </w:rPr>
        <w:t> </w:t>
      </w:r>
      <w:r>
        <w:rPr>
          <w:sz w:val="24"/>
        </w:rPr>
        <w:t>is</w:t>
      </w:r>
      <w:r>
        <w:rPr>
          <w:spacing w:val="10"/>
          <w:sz w:val="24"/>
        </w:rPr>
        <w:t> </w:t>
      </w:r>
      <w:r>
        <w:rPr>
          <w:sz w:val="24"/>
        </w:rPr>
        <w:t>changed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6"/>
          <w:sz w:val="24"/>
        </w:rPr>
        <w:t> </w:t>
      </w:r>
      <w:r>
        <w:rPr>
          <w:sz w:val="24"/>
        </w:rPr>
        <w:t>GAG</w:t>
      </w:r>
      <w:r>
        <w:rPr>
          <w:spacing w:val="12"/>
          <w:sz w:val="24"/>
        </w:rPr>
        <w:t> </w:t>
      </w:r>
      <w:r>
        <w:rPr>
          <w:sz w:val="24"/>
        </w:rPr>
        <w:t>resulting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replacement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glutamine</w:t>
      </w:r>
      <w:r>
        <w:rPr>
          <w:spacing w:val="15"/>
          <w:sz w:val="24"/>
        </w:rPr>
        <w:t> </w:t>
      </w:r>
      <w:r>
        <w:rPr>
          <w:sz w:val="24"/>
        </w:rPr>
        <w:t>for</w:t>
      </w:r>
    </w:p>
    <w:p>
      <w:pPr>
        <w:pStyle w:val="BodyText"/>
        <w:spacing w:before="136"/>
        <w:ind w:left="1540"/>
      </w:pPr>
      <w:r>
        <w:rPr/>
        <w:t>glutamic</w:t>
      </w:r>
      <w:r>
        <w:rPr>
          <w:spacing w:val="-4"/>
        </w:rPr>
        <w:t> </w:t>
      </w:r>
      <w:r>
        <w:rPr/>
        <w:t>acid</w:t>
      </w:r>
      <w:r>
        <w:rPr>
          <w:spacing w:val="-2"/>
        </w:rPr>
        <w:t> </w:t>
      </w:r>
      <w:r>
        <w:rPr/>
        <w:t>at</w:t>
      </w:r>
      <w:r>
        <w:rPr>
          <w:spacing w:val="2"/>
        </w:rPr>
        <w:t> </w:t>
      </w:r>
      <w:r>
        <w:rPr/>
        <w:t>position</w:t>
      </w:r>
      <w:r>
        <w:rPr>
          <w:spacing w:val="-7"/>
        </w:rPr>
        <w:t> </w:t>
      </w:r>
      <w:r>
        <w:rPr/>
        <w:t>β</w:t>
      </w:r>
      <w:r>
        <w:rPr>
          <w:vertAlign w:val="superscript"/>
        </w:rPr>
        <w:t>121</w:t>
      </w:r>
    </w:p>
    <w:p>
      <w:pPr>
        <w:spacing w:after="0"/>
        <w:sectPr>
          <w:pgSz w:w="12240" w:h="15840"/>
          <w:pgMar w:header="0" w:footer="1017" w:top="1360" w:bottom="1200" w:left="620" w:right="0"/>
        </w:sectPr>
      </w:pPr>
    </w:p>
    <w:p>
      <w:pPr>
        <w:pStyle w:val="ListParagraph"/>
        <w:numPr>
          <w:ilvl w:val="0"/>
          <w:numId w:val="16"/>
        </w:numPr>
        <w:tabs>
          <w:tab w:pos="1540" w:val="left" w:leader="none"/>
        </w:tabs>
        <w:spacing w:line="350" w:lineRule="auto" w:before="89" w:after="0"/>
        <w:ind w:left="1540" w:right="1447" w:hanging="360"/>
        <w:jc w:val="both"/>
        <w:rPr>
          <w:sz w:val="24"/>
        </w:rPr>
      </w:pPr>
      <w:r>
        <w:rPr>
          <w:sz w:val="24"/>
        </w:rPr>
        <w:t>HbO</w:t>
      </w:r>
      <w:r>
        <w:rPr>
          <w:spacing w:val="17"/>
          <w:sz w:val="24"/>
        </w:rPr>
        <w:t> </w:t>
      </w:r>
      <w:r>
        <w:rPr>
          <w:sz w:val="24"/>
        </w:rPr>
        <w:t>Arab-</w:t>
      </w:r>
      <w:r>
        <w:rPr>
          <w:spacing w:val="14"/>
          <w:sz w:val="24"/>
        </w:rPr>
        <w:t> </w:t>
      </w:r>
      <w:r>
        <w:rPr>
          <w:sz w:val="24"/>
        </w:rPr>
        <w:t>Same</w:t>
      </w:r>
      <w:r>
        <w:rPr>
          <w:spacing w:val="12"/>
          <w:sz w:val="24"/>
        </w:rPr>
        <w:t> </w:t>
      </w:r>
      <w:r>
        <w:rPr>
          <w:sz w:val="24"/>
        </w:rPr>
        <w:t>codon</w:t>
      </w:r>
      <w:r>
        <w:rPr>
          <w:spacing w:val="12"/>
          <w:sz w:val="24"/>
        </w:rPr>
        <w:t> </w:t>
      </w:r>
      <w:r>
        <w:rPr>
          <w:sz w:val="24"/>
        </w:rPr>
        <w:t>is</w:t>
      </w:r>
      <w:r>
        <w:rPr>
          <w:spacing w:val="11"/>
          <w:sz w:val="24"/>
        </w:rPr>
        <w:t> </w:t>
      </w:r>
      <w:r>
        <w:rPr>
          <w:sz w:val="24"/>
        </w:rPr>
        <w:t>changed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AAG</w:t>
      </w:r>
      <w:r>
        <w:rPr>
          <w:spacing w:val="13"/>
          <w:sz w:val="24"/>
        </w:rPr>
        <w:t> </w:t>
      </w:r>
      <w:r>
        <w:rPr>
          <w:sz w:val="24"/>
        </w:rPr>
        <w:t>determining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insertion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lysine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13"/>
          <w:sz w:val="24"/>
        </w:rPr>
        <w:t> </w:t>
      </w:r>
      <w:r>
        <w:rPr>
          <w:sz w:val="24"/>
        </w:rPr>
        <w:t>place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glutamic</w:t>
      </w:r>
      <w:r>
        <w:rPr>
          <w:spacing w:val="1"/>
          <w:sz w:val="24"/>
        </w:rPr>
        <w:t> </w:t>
      </w:r>
      <w:r>
        <w:rPr>
          <w:sz w:val="24"/>
        </w:rPr>
        <w:t>acid</w:t>
      </w:r>
      <w:r>
        <w:rPr>
          <w:spacing w:val="2"/>
          <w:sz w:val="24"/>
        </w:rPr>
        <w:t> </w:t>
      </w:r>
      <w:r>
        <w:rPr>
          <w:sz w:val="24"/>
        </w:rPr>
        <w:t>at</w:t>
      </w:r>
      <w:r>
        <w:rPr>
          <w:spacing w:val="7"/>
          <w:sz w:val="24"/>
        </w:rPr>
        <w:t> </w:t>
      </w:r>
      <w:r>
        <w:rPr>
          <w:sz w:val="24"/>
        </w:rPr>
        <w:t>position</w:t>
      </w:r>
      <w:r>
        <w:rPr>
          <w:spacing w:val="-3"/>
          <w:sz w:val="24"/>
        </w:rPr>
        <w:t> </w:t>
      </w:r>
      <w:r>
        <w:rPr>
          <w:sz w:val="24"/>
        </w:rPr>
        <w:t>β</w:t>
      </w:r>
      <w:r>
        <w:rPr>
          <w:sz w:val="24"/>
          <w:vertAlign w:val="superscript"/>
        </w:rPr>
        <w:t>121</w:t>
      </w:r>
    </w:p>
    <w:p>
      <w:pPr>
        <w:pStyle w:val="ListParagraph"/>
        <w:numPr>
          <w:ilvl w:val="0"/>
          <w:numId w:val="16"/>
        </w:numPr>
        <w:tabs>
          <w:tab w:pos="1540" w:val="left" w:leader="none"/>
        </w:tabs>
        <w:spacing w:line="355" w:lineRule="auto" w:before="214" w:after="0"/>
        <w:ind w:left="1540" w:right="1443" w:hanging="360"/>
        <w:jc w:val="both"/>
        <w:rPr>
          <w:sz w:val="24"/>
        </w:rPr>
      </w:pPr>
      <w:r>
        <w:rPr>
          <w:sz w:val="24"/>
        </w:rPr>
        <w:t>The thalassaemias result from a wide variety of DNA (deoxyribonucleic acid) mutations</w:t>
      </w:r>
      <w:r>
        <w:rPr>
          <w:spacing w:val="1"/>
          <w:sz w:val="24"/>
        </w:rPr>
        <w:t> </w:t>
      </w:r>
      <w:r>
        <w:rPr>
          <w:sz w:val="24"/>
        </w:rPr>
        <w:t>that have in common a reduced synthesis of globin chains. They are classified by the</w:t>
      </w:r>
      <w:r>
        <w:rPr>
          <w:spacing w:val="1"/>
          <w:sz w:val="24"/>
        </w:rPr>
        <w:t> </w:t>
      </w:r>
      <w:r>
        <w:rPr>
          <w:sz w:val="24"/>
        </w:rPr>
        <w:t>chain they affect into α, β, δβ, or γδβ thalassaemia resulting from a deletion in α, β, and</w:t>
      </w:r>
      <w:r>
        <w:rPr>
          <w:spacing w:val="1"/>
          <w:sz w:val="24"/>
        </w:rPr>
        <w:t> </w:t>
      </w:r>
      <w:r>
        <w:rPr>
          <w:sz w:val="24"/>
        </w:rPr>
        <w:t>β-complex</w:t>
      </w:r>
      <w:r>
        <w:rPr>
          <w:spacing w:val="-7"/>
          <w:sz w:val="24"/>
        </w:rPr>
        <w:t> </w:t>
      </w:r>
      <w:r>
        <w:rPr>
          <w:sz w:val="24"/>
        </w:rPr>
        <w:t>globin</w:t>
      </w:r>
      <w:r>
        <w:rPr>
          <w:spacing w:val="-6"/>
          <w:sz w:val="24"/>
        </w:rPr>
        <w:t> </w:t>
      </w:r>
      <w:r>
        <w:rPr>
          <w:sz w:val="24"/>
        </w:rPr>
        <w:t>chains</w:t>
      </w:r>
      <w:r>
        <w:rPr>
          <w:spacing w:val="-3"/>
          <w:sz w:val="24"/>
        </w:rPr>
        <w:t> </w:t>
      </w:r>
      <w:r>
        <w:rPr>
          <w:sz w:val="24"/>
        </w:rPr>
        <w:t>respectively</w:t>
      </w:r>
      <w:r>
        <w:rPr>
          <w:spacing w:val="-11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α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β</w:t>
      </w:r>
      <w:r>
        <w:rPr>
          <w:spacing w:val="-4"/>
          <w:sz w:val="24"/>
        </w:rPr>
        <w:t> </w:t>
      </w:r>
      <w:r>
        <w:rPr>
          <w:sz w:val="24"/>
        </w:rPr>
        <w:t>deletions</w:t>
      </w:r>
      <w:r>
        <w:rPr>
          <w:spacing w:val="-3"/>
          <w:sz w:val="24"/>
        </w:rPr>
        <w:t> </w:t>
      </w:r>
      <w:r>
        <w:rPr>
          <w:sz w:val="24"/>
        </w:rPr>
        <w:t>being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most</w:t>
      </w:r>
      <w:r>
        <w:rPr>
          <w:spacing w:val="3"/>
          <w:sz w:val="24"/>
        </w:rPr>
        <w:t> </w:t>
      </w:r>
      <w:r>
        <w:rPr>
          <w:sz w:val="24"/>
        </w:rPr>
        <w:t>common.</w:t>
      </w:r>
    </w:p>
    <w:p>
      <w:pPr>
        <w:pStyle w:val="Heading1"/>
        <w:spacing w:before="214"/>
      </w:pPr>
      <w:r>
        <w:rPr/>
        <w:t>Beta</w:t>
      </w:r>
      <w:r>
        <w:rPr>
          <w:spacing w:val="-6"/>
        </w:rPr>
        <w:t> </w:t>
      </w:r>
      <w:r>
        <w:rPr/>
        <w:t>(β)</w:t>
      </w:r>
      <w:r>
        <w:rPr>
          <w:spacing w:val="1"/>
        </w:rPr>
        <w:t> </w:t>
      </w:r>
      <w:r>
        <w:rPr/>
        <w:t>Globin</w:t>
      </w:r>
      <w:r>
        <w:rPr>
          <w:spacing w:val="-4"/>
        </w:rPr>
        <w:t> </w:t>
      </w:r>
      <w:r>
        <w:rPr/>
        <w:t>Haplotypes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38"/>
        <w:jc w:val="both"/>
      </w:pPr>
      <w:r>
        <w:rPr/>
        <w:t>The structure of the deoxyribonucleic acid (DNA) surrounding the β globin locus has been found</w:t>
      </w:r>
      <w:r>
        <w:rPr>
          <w:spacing w:val="-57"/>
        </w:rPr>
        <w:t> </w:t>
      </w:r>
      <w:r>
        <w:rPr/>
        <w:t>to differ between populations having sickle haemoglobin (HbS) suggesting specific ancestral</w:t>
      </w:r>
      <w:r>
        <w:rPr>
          <w:spacing w:val="1"/>
        </w:rPr>
        <w:t> </w:t>
      </w:r>
      <w:r>
        <w:rPr/>
        <w:t>DNA structures upon which the HbS</w:t>
      </w:r>
      <w:r>
        <w:rPr>
          <w:spacing w:val="1"/>
        </w:rPr>
        <w:t> </w:t>
      </w:r>
      <w:r>
        <w:rPr/>
        <w:t>mutation has arisen as a relatively recent</w:t>
      </w:r>
      <w:r>
        <w:rPr>
          <w:spacing w:val="1"/>
        </w:rPr>
        <w:t> </w:t>
      </w:r>
      <w:r>
        <w:rPr/>
        <w:t>event</w:t>
      </w:r>
      <w:r>
        <w:rPr>
          <w:spacing w:val="60"/>
        </w:rPr>
        <w:t> </w:t>
      </w:r>
      <w:r>
        <w:rPr/>
        <w:t>(Serjeant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Serjeant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polymorphisms</w:t>
      </w:r>
      <w:r>
        <w:rPr>
          <w:spacing w:val="61"/>
        </w:rPr>
        <w:t> </w:t>
      </w:r>
      <w:r>
        <w:rPr/>
        <w:t>(β-globin</w:t>
      </w:r>
      <w:r>
        <w:rPr>
          <w:spacing w:val="1"/>
        </w:rPr>
        <w:t> </w:t>
      </w:r>
      <w:r>
        <w:rPr/>
        <w:t>haplotypes), believed to represent independent occurrences of HbS mutation have occurred on at</w:t>
      </w:r>
      <w:r>
        <w:rPr>
          <w:spacing w:val="1"/>
        </w:rPr>
        <w:t> </w:t>
      </w:r>
      <w:r>
        <w:rPr/>
        <w:t>least three and possibly four occasions in Africa and are named after the areas where they were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described:</w:t>
      </w:r>
      <w:r>
        <w:rPr>
          <w:spacing w:val="1"/>
        </w:rPr>
        <w:t> </w:t>
      </w:r>
      <w:r>
        <w:rPr/>
        <w:t>Benin,</w:t>
      </w:r>
      <w:r>
        <w:rPr>
          <w:spacing w:val="1"/>
        </w:rPr>
        <w:t> </w:t>
      </w:r>
      <w:r>
        <w:rPr/>
        <w:t>Senegal,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Republic</w:t>
      </w:r>
      <w:r>
        <w:rPr>
          <w:spacing w:val="1"/>
        </w:rPr>
        <w:t> </w:t>
      </w:r>
      <w:r>
        <w:rPr/>
        <w:t>(CAR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Bantu),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Cameroon</w:t>
      </w:r>
      <w:r>
        <w:rPr>
          <w:spacing w:val="1"/>
        </w:rPr>
        <w:t> </w:t>
      </w:r>
      <w:r>
        <w:rPr/>
        <w:t>haplotypes. A further DNA structure termed Asian haplotype is associated with most of the β</w:t>
      </w:r>
      <w:r>
        <w:rPr>
          <w:vertAlign w:val="superscript"/>
        </w:rPr>
        <w:t>S</w:t>
      </w:r>
      <w:r>
        <w:rPr>
          <w:spacing w:val="1"/>
          <w:vertAlign w:val="baseline"/>
        </w:rPr>
        <w:t> </w:t>
      </w:r>
      <w:r>
        <w:rPr>
          <w:vertAlign w:val="baseline"/>
        </w:rPr>
        <w:t>genes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Eastern Province of Saudi</w:t>
      </w:r>
      <w:r>
        <w:rPr>
          <w:spacing w:val="1"/>
          <w:vertAlign w:val="baseline"/>
        </w:rPr>
        <w:t> </w:t>
      </w:r>
      <w:r>
        <w:rPr>
          <w:vertAlign w:val="baseline"/>
        </w:rPr>
        <w:t>Arabia and</w:t>
      </w:r>
      <w:r>
        <w:rPr>
          <w:spacing w:val="1"/>
          <w:vertAlign w:val="baseline"/>
        </w:rPr>
        <w:t> </w:t>
      </w:r>
      <w:r>
        <w:rPr>
          <w:vertAlign w:val="baseline"/>
        </w:rPr>
        <w:t>Central India (Desai and</w:t>
      </w:r>
      <w:r>
        <w:rPr>
          <w:spacing w:val="60"/>
          <w:vertAlign w:val="baseline"/>
        </w:rPr>
        <w:t> </w:t>
      </w:r>
      <w:r>
        <w:rPr>
          <w:vertAlign w:val="baseline"/>
        </w:rPr>
        <w:t>Dhanani 2004).</w:t>
      </w:r>
      <w:r>
        <w:rPr>
          <w:spacing w:val="1"/>
          <w:vertAlign w:val="baseline"/>
        </w:rPr>
        <w:t> </w:t>
      </w:r>
      <w:r>
        <w:rPr>
          <w:vertAlign w:val="baseline"/>
        </w:rPr>
        <w:t>From this primary distribution, the Benin haplotype spread to</w:t>
      </w:r>
      <w:r>
        <w:rPr>
          <w:spacing w:val="1"/>
          <w:vertAlign w:val="baseline"/>
        </w:rPr>
        <w:t> </w:t>
      </w:r>
      <w:r>
        <w:rPr>
          <w:vertAlign w:val="baseline"/>
        </w:rPr>
        <w:t>North Africa, Northern Greece,</w:t>
      </w:r>
      <w:r>
        <w:rPr>
          <w:spacing w:val="1"/>
          <w:vertAlign w:val="baseline"/>
        </w:rPr>
        <w:t> </w:t>
      </w:r>
      <w:r>
        <w:rPr>
          <w:vertAlign w:val="baseline"/>
        </w:rPr>
        <w:t>Southern Turkey, Sicily, Albania, South-West Saudi Arabia; the Bantu haplotype accounts for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most of the β</w:t>
      </w:r>
      <w:r>
        <w:rPr>
          <w:spacing w:val="-1"/>
          <w:vertAlign w:val="superscript"/>
        </w:rPr>
        <w:t>S</w:t>
      </w:r>
      <w:r>
        <w:rPr>
          <w:spacing w:val="-1"/>
          <w:vertAlign w:val="baseline"/>
        </w:rPr>
        <w:t> in Kenya (Serjeant and Serjeant 2001). Analysis of the beta S chromosome </w:t>
      </w:r>
      <w:r>
        <w:rPr>
          <w:vertAlign w:val="baseline"/>
        </w:rPr>
        <w:t>of 183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Nigerians</w:t>
      </w:r>
      <w:r>
        <w:rPr>
          <w:spacing w:val="-1"/>
          <w:vertAlign w:val="baseline"/>
        </w:rPr>
        <w:t> </w:t>
      </w:r>
      <w:r>
        <w:rPr>
          <w:vertAlign w:val="baseline"/>
        </w:rPr>
        <w:t>showed that</w:t>
      </w:r>
      <w:r>
        <w:rPr>
          <w:spacing w:val="6"/>
          <w:vertAlign w:val="baseline"/>
        </w:rPr>
        <w:t> </w:t>
      </w:r>
      <w:r>
        <w:rPr>
          <w:vertAlign w:val="baseline"/>
        </w:rPr>
        <w:t>98.4%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them</w:t>
      </w:r>
      <w:r>
        <w:rPr>
          <w:spacing w:val="-3"/>
          <w:vertAlign w:val="baseline"/>
        </w:rPr>
        <w:t> </w:t>
      </w:r>
      <w:r>
        <w:rPr>
          <w:vertAlign w:val="baseline"/>
        </w:rPr>
        <w:t>had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Benin</w:t>
      </w:r>
      <w:r>
        <w:rPr>
          <w:spacing w:val="-3"/>
          <w:vertAlign w:val="baseline"/>
        </w:rPr>
        <w:t> </w:t>
      </w:r>
      <w:r>
        <w:rPr>
          <w:vertAlign w:val="baseline"/>
        </w:rPr>
        <w:t>haplotype (Akinyanju,</w:t>
      </w:r>
      <w:r>
        <w:rPr>
          <w:spacing w:val="2"/>
          <w:vertAlign w:val="baseline"/>
        </w:rPr>
        <w:t> </w:t>
      </w:r>
      <w:r>
        <w:rPr>
          <w:vertAlign w:val="baseline"/>
        </w:rPr>
        <w:t>1989).</w:t>
      </w:r>
    </w:p>
    <w:p>
      <w:pPr>
        <w:pStyle w:val="Heading1"/>
        <w:numPr>
          <w:ilvl w:val="2"/>
          <w:numId w:val="15"/>
        </w:numPr>
        <w:tabs>
          <w:tab w:pos="1482" w:val="left" w:leader="none"/>
        </w:tabs>
        <w:spacing w:line="240" w:lineRule="auto" w:before="201" w:after="0"/>
        <w:ind w:left="1481" w:right="0" w:hanging="662"/>
        <w:jc w:val="both"/>
      </w:pPr>
      <w:bookmarkStart w:name="_TOC_250040" w:id="14"/>
      <w:r>
        <w:rPr/>
        <w:t>Geographical</w:t>
      </w:r>
      <w:r>
        <w:rPr>
          <w:spacing w:val="-6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Sickle</w:t>
      </w:r>
      <w:r>
        <w:rPr>
          <w:spacing w:val="-3"/>
        </w:rPr>
        <w:t> </w:t>
      </w:r>
      <w:r>
        <w:rPr/>
        <w:t>Cell</w:t>
      </w:r>
      <w:r>
        <w:rPr>
          <w:spacing w:val="-6"/>
        </w:rPr>
        <w:t> </w:t>
      </w:r>
      <w:bookmarkEnd w:id="14"/>
      <w:r>
        <w:rPr/>
        <w:t>Diseases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40"/>
        <w:jc w:val="both"/>
      </w:pPr>
      <w:r>
        <w:rPr/>
        <w:t>It is a common misconception that HbS is confined to people of African origin. The disease is</w:t>
      </w:r>
      <w:r>
        <w:rPr>
          <w:spacing w:val="1"/>
        </w:rPr>
        <w:t> </w:t>
      </w:r>
      <w:r>
        <w:rPr/>
        <w:t>more wide spread and has now been globalised due to voluntary and non-voluntary migrations.</w:t>
      </w:r>
      <w:r>
        <w:rPr>
          <w:spacing w:val="1"/>
        </w:rPr>
        <w:t> </w:t>
      </w:r>
      <w:r>
        <w:rPr/>
        <w:t>Notably, HbS appears to reduce susceptibility to malaria (</w:t>
      </w:r>
      <w:r>
        <w:rPr>
          <w:i/>
        </w:rPr>
        <w:t>Plasmodium falciparum </w:t>
      </w:r>
      <w:r>
        <w:rPr/>
        <w:t>infection); a</w:t>
      </w:r>
      <w:r>
        <w:rPr>
          <w:spacing w:val="1"/>
        </w:rPr>
        <w:t> </w:t>
      </w:r>
      <w:r>
        <w:rPr/>
        <w:t>patient with heterozygous HbAS is more resistant to malaria infection than is a patient with</w:t>
      </w:r>
      <w:r>
        <w:rPr>
          <w:spacing w:val="1"/>
        </w:rPr>
        <w:t> </w:t>
      </w:r>
      <w:r>
        <w:rPr/>
        <w:t>homozygous HbSS, and one with homozygous HbAA is the most susceptible (Lonergan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2001). Thus,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distribution of HbSS</w:t>
      </w:r>
      <w:r>
        <w:rPr>
          <w:spacing w:val="1"/>
        </w:rPr>
        <w:t> </w:t>
      </w:r>
      <w:r>
        <w:rPr/>
        <w:t>markedly coincides with the</w:t>
      </w:r>
      <w:r>
        <w:rPr>
          <w:spacing w:val="1"/>
        </w:rPr>
        <w:t> </w:t>
      </w:r>
      <w:r>
        <w:rPr/>
        <w:t>distribution of malaria.</w:t>
      </w:r>
      <w:r>
        <w:rPr>
          <w:spacing w:val="1"/>
        </w:rPr>
        <w:t> </w:t>
      </w:r>
      <w:r>
        <w:rPr/>
        <w:t>According to Serjeant and Serjeant (2001), high frequencies occur in equatorial Africa from</w:t>
      </w:r>
      <w:r>
        <w:rPr>
          <w:spacing w:val="1"/>
        </w:rPr>
        <w:t> </w:t>
      </w:r>
      <w:r>
        <w:rPr/>
        <w:t>which it</w:t>
      </w:r>
      <w:r>
        <w:rPr>
          <w:spacing w:val="6"/>
        </w:rPr>
        <w:t> </w:t>
      </w:r>
      <w:r>
        <w:rPr/>
        <w:t>spread to</w:t>
      </w:r>
      <w:r>
        <w:rPr>
          <w:spacing w:val="1"/>
        </w:rPr>
        <w:t> </w:t>
      </w:r>
      <w:r>
        <w:rPr/>
        <w:t>North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South</w:t>
      </w:r>
      <w:r>
        <w:rPr>
          <w:spacing w:val="-5"/>
        </w:rPr>
        <w:t> </w:t>
      </w:r>
      <w:r>
        <w:rPr/>
        <w:t>America,</w:t>
      </w:r>
      <w:r>
        <w:rPr>
          <w:spacing w:val="3"/>
        </w:rPr>
        <w:t> </w:t>
      </w:r>
      <w:r>
        <w:rPr/>
        <w:t>the Caribbean’s</w:t>
      </w:r>
      <w:r>
        <w:rPr>
          <w:spacing w:val="-2"/>
        </w:rPr>
        <w:t> </w:t>
      </w:r>
      <w:r>
        <w:rPr/>
        <w:t>and</w:t>
      </w:r>
      <w:r>
        <w:rPr>
          <w:spacing w:val="6"/>
        </w:rPr>
        <w:t> </w:t>
      </w:r>
      <w:r>
        <w:rPr/>
        <w:t>lately</w:t>
      </w:r>
      <w:r>
        <w:rPr>
          <w:spacing w:val="-4"/>
        </w:rPr>
        <w:t> </w:t>
      </w:r>
      <w:r>
        <w:rPr/>
        <w:t>Europe.</w:t>
      </w:r>
    </w:p>
    <w:p>
      <w:pPr>
        <w:spacing w:after="0" w:line="360" w:lineRule="auto"/>
        <w:jc w:val="both"/>
        <w:sectPr>
          <w:pgSz w:w="12240" w:h="15840"/>
          <w:pgMar w:header="0" w:footer="1017" w:top="1340" w:bottom="1200" w:left="620" w:right="0"/>
        </w:sectPr>
      </w:pPr>
    </w:p>
    <w:p>
      <w:pPr>
        <w:pStyle w:val="Heading1"/>
        <w:numPr>
          <w:ilvl w:val="2"/>
          <w:numId w:val="15"/>
        </w:numPr>
        <w:tabs>
          <w:tab w:pos="1601" w:val="left" w:leader="none"/>
          <w:tab w:pos="1602" w:val="left" w:leader="none"/>
        </w:tabs>
        <w:spacing w:line="240" w:lineRule="auto" w:before="72" w:after="0"/>
        <w:ind w:left="1601" w:right="0" w:hanging="782"/>
        <w:jc w:val="left"/>
      </w:pPr>
      <w:bookmarkStart w:name="_TOC_250039" w:id="15"/>
      <w:bookmarkEnd w:id="15"/>
      <w:r>
        <w:rPr/>
        <w:t>Pathophysiology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 w:before="1"/>
        <w:ind w:left="820" w:right="1439"/>
        <w:jc w:val="both"/>
      </w:pPr>
      <w:r>
        <w:rPr/>
        <w:t>A homozygous mutation in the gene for β globin, a subunit of adult haemoglobin A (HbA), 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valine</w:t>
      </w:r>
      <w:r>
        <w:rPr>
          <w:spacing w:val="1"/>
        </w:rPr>
        <w:t> </w:t>
      </w:r>
      <w:r>
        <w:rPr/>
        <w:t>substitutes</w:t>
      </w:r>
      <w:r>
        <w:rPr>
          <w:spacing w:val="1"/>
        </w:rPr>
        <w:t> </w:t>
      </w:r>
      <w:r>
        <w:rPr/>
        <w:t>glutamic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6,</w:t>
      </w:r>
      <w:r>
        <w:rPr>
          <w:spacing w:val="1"/>
        </w:rPr>
        <w:t> </w:t>
      </w:r>
      <w:r>
        <w:rPr/>
        <w:t>is the proximate</w:t>
      </w:r>
      <w:r>
        <w:rPr>
          <w:spacing w:val="60"/>
        </w:rPr>
        <w:t> </w:t>
      </w:r>
      <w:r>
        <w:rPr/>
        <w:t>cause of SCD</w:t>
      </w:r>
      <w:r>
        <w:rPr>
          <w:spacing w:val="60"/>
        </w:rPr>
        <w:t> </w:t>
      </w:r>
      <w:r>
        <w:rPr/>
        <w:t>(Bunn,</w:t>
      </w:r>
      <w:r>
        <w:rPr>
          <w:spacing w:val="1"/>
        </w:rPr>
        <w:t> </w:t>
      </w:r>
      <w:r>
        <w:rPr/>
        <w:t>1999). Sickle</w:t>
      </w:r>
      <w:r>
        <w:rPr>
          <w:spacing w:val="1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(HbS)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peculiar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properties,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polymerizing when deoxygenated (Taher </w:t>
      </w:r>
      <w:r>
        <w:rPr>
          <w:i/>
        </w:rPr>
        <w:t>et al</w:t>
      </w:r>
      <w:r>
        <w:rPr/>
        <w:t>., 2010).</w:t>
      </w:r>
      <w:r>
        <w:rPr>
          <w:spacing w:val="1"/>
        </w:rPr>
        <w:t> </w:t>
      </w:r>
      <w:r>
        <w:rPr/>
        <w:t>HbS polymerization is associated with a</w:t>
      </w:r>
      <w:r>
        <w:rPr>
          <w:spacing w:val="1"/>
        </w:rPr>
        <w:t> </w:t>
      </w:r>
      <w:r>
        <w:rPr/>
        <w:t>reduction in cell ion and water content (cell dehydration) as well as an increased red cell density</w:t>
      </w:r>
      <w:r>
        <w:rPr>
          <w:spacing w:val="1"/>
        </w:rPr>
        <w:t> </w:t>
      </w:r>
      <w:r>
        <w:rPr/>
        <w:t>which further accelerates HbS polymerization (Bunn, 1999). This leads to formation of a dense</w:t>
      </w:r>
      <w:r>
        <w:rPr>
          <w:spacing w:val="1"/>
        </w:rPr>
        <w:t> </w:t>
      </w:r>
      <w:r>
        <w:rPr/>
        <w:t>RBC (De Franceschi, 2009). Intravascular sickling in capillaries and small vessels leads to vaso-</w:t>
      </w:r>
      <w:r>
        <w:rPr>
          <w:spacing w:val="1"/>
        </w:rPr>
        <w:t> </w:t>
      </w:r>
      <w:r>
        <w:rPr/>
        <w:t>occlusion, impaired blood flow in a variety of organs and tissues, and cell destruction in the</w:t>
      </w:r>
      <w:r>
        <w:rPr>
          <w:spacing w:val="1"/>
        </w:rPr>
        <w:t> </w:t>
      </w:r>
      <w:r>
        <w:rPr/>
        <w:t>peripheral circulation (De Franceschi, 2009). In addition, the polymerization can have a direct</w:t>
      </w:r>
      <w:r>
        <w:rPr>
          <w:spacing w:val="1"/>
        </w:rPr>
        <w:t> </w:t>
      </w:r>
      <w:r>
        <w:rPr/>
        <w:t>impact on the RBC plasma membrane, leading to the extracellular exposure of protein epitopes</w:t>
      </w:r>
      <w:r>
        <w:rPr>
          <w:spacing w:val="1"/>
        </w:rPr>
        <w:t> </w:t>
      </w:r>
      <w:r>
        <w:rPr/>
        <w:t>and glycolipids that are normally found inside the cell increasing the adherence of sickle RBC to</w:t>
      </w:r>
      <w:r>
        <w:rPr>
          <w:spacing w:val="1"/>
        </w:rPr>
        <w:t> </w:t>
      </w:r>
      <w:r>
        <w:rPr/>
        <w:t>vascular</w:t>
      </w:r>
      <w:r>
        <w:rPr>
          <w:spacing w:val="1"/>
        </w:rPr>
        <w:t> </w:t>
      </w:r>
      <w:r>
        <w:rPr/>
        <w:t>endothelium</w:t>
      </w:r>
      <w:r>
        <w:rPr>
          <w:spacing w:val="1"/>
        </w:rPr>
        <w:t> </w:t>
      </w:r>
      <w:r>
        <w:rPr/>
        <w:t>(Frenette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George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loss of phospholipid</w:t>
      </w:r>
      <w:r>
        <w:rPr>
          <w:spacing w:val="1"/>
        </w:rPr>
        <w:t> </w:t>
      </w:r>
      <w:r>
        <w:rPr/>
        <w:t>asymmetry with externalization of phosphatidylserine in the RBC, which is believed to play 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role in promoting</w:t>
      </w:r>
      <w:r>
        <w:rPr>
          <w:spacing w:val="1"/>
        </w:rPr>
        <w:t> </w:t>
      </w:r>
      <w:r>
        <w:rPr/>
        <w:t>macrophage</w:t>
      </w:r>
      <w:r>
        <w:rPr>
          <w:spacing w:val="1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removal of</w:t>
      </w:r>
      <w:r>
        <w:rPr>
          <w:spacing w:val="1"/>
        </w:rPr>
        <w:t> </w:t>
      </w:r>
      <w:r>
        <w:rPr/>
        <w:t>erythrocytes</w:t>
      </w:r>
      <w:r>
        <w:rPr>
          <w:spacing w:val="1"/>
        </w:rPr>
        <w:t> </w:t>
      </w:r>
      <w:r>
        <w:rPr/>
        <w:t>(erythrophagocytosis), cell apoptosis and activation of coagulation explaining the shortened life</w:t>
      </w:r>
      <w:r>
        <w:rPr>
          <w:spacing w:val="1"/>
        </w:rPr>
        <w:t> </w:t>
      </w:r>
      <w:r>
        <w:rPr/>
        <w:t>span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sickled</w:t>
      </w:r>
      <w:r>
        <w:rPr>
          <w:spacing w:val="2"/>
        </w:rPr>
        <w:t> </w:t>
      </w:r>
      <w:r>
        <w:rPr/>
        <w:t>cells (De Franceschi,</w:t>
      </w:r>
      <w:r>
        <w:rPr>
          <w:spacing w:val="4"/>
        </w:rPr>
        <w:t> </w:t>
      </w:r>
      <w:r>
        <w:rPr/>
        <w:t>2009).</w:t>
      </w:r>
    </w:p>
    <w:p>
      <w:pPr>
        <w:pStyle w:val="BodyText"/>
        <w:spacing w:line="360" w:lineRule="auto" w:before="197"/>
        <w:ind w:left="820" w:right="1437"/>
        <w:jc w:val="both"/>
      </w:pPr>
      <w:r>
        <w:rPr/>
        <w:t>According to Frenette and George (2007), chronic haemolysis in SCD leads to release of plasma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heme</w:t>
      </w:r>
      <w:r>
        <w:rPr>
          <w:spacing w:val="1"/>
        </w:rPr>
        <w:t> </w:t>
      </w:r>
      <w:r>
        <w:rPr/>
        <w:t>iron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lysed</w:t>
      </w:r>
      <w:r>
        <w:rPr>
          <w:spacing w:val="1"/>
        </w:rPr>
        <w:t> </w:t>
      </w:r>
      <w:r>
        <w:rPr/>
        <w:t>RBC.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protective</w:t>
      </w:r>
      <w:r>
        <w:rPr>
          <w:spacing w:val="1"/>
        </w:rPr>
        <w:t> </w:t>
      </w:r>
      <w:r>
        <w:rPr/>
        <w:t>haemoglobin-scavenging mechanisms (haptoglobin and hemopexin) has been saturated, levels of</w:t>
      </w:r>
      <w:r>
        <w:rPr>
          <w:spacing w:val="-57"/>
        </w:rPr>
        <w:t> </w:t>
      </w:r>
      <w:r>
        <w:rPr/>
        <w:t>cell-free haemoglobin increase in the plasma resulting</w:t>
      </w:r>
      <w:r>
        <w:rPr>
          <w:spacing w:val="60"/>
        </w:rPr>
        <w:t> </w:t>
      </w:r>
      <w:r>
        <w:rPr/>
        <w:t>in the consumption of nitric oxide (NO)</w:t>
      </w:r>
      <w:r>
        <w:rPr>
          <w:spacing w:val="1"/>
        </w:rPr>
        <w:t> </w:t>
      </w:r>
      <w:r>
        <w:rPr/>
        <w:t>by haemoglobin-mediated NO scavenging. In addition, arginase released</w:t>
      </w:r>
      <w:r>
        <w:rPr>
          <w:spacing w:val="60"/>
        </w:rPr>
        <w:t> </w:t>
      </w:r>
      <w:r>
        <w:rPr/>
        <w:t>by haemolysed red</w:t>
      </w:r>
      <w:r>
        <w:rPr>
          <w:spacing w:val="1"/>
        </w:rPr>
        <w:t> </w:t>
      </w:r>
      <w:r>
        <w:rPr/>
        <w:t>cells can deplete blood plasma of arginine, the substrate for NO production by NO-synthase. NO</w:t>
      </w:r>
      <w:r>
        <w:rPr>
          <w:spacing w:val="1"/>
        </w:rPr>
        <w:t> </w:t>
      </w:r>
      <w:r>
        <w:rPr/>
        <w:t>plays a major role in vascular homeostasis and is a critical regulator of smooth muscle relaxation</w:t>
      </w:r>
      <w:r>
        <w:rPr>
          <w:spacing w:val="1"/>
        </w:rPr>
        <w:t> </w:t>
      </w:r>
      <w:r>
        <w:rPr/>
        <w:t>and vasomotor tone, expression of endothelial adhesion molecules and platelet activation and</w:t>
      </w:r>
      <w:r>
        <w:rPr>
          <w:spacing w:val="1"/>
        </w:rPr>
        <w:t> </w:t>
      </w:r>
      <w:r>
        <w:rPr/>
        <w:t>aggregation</w:t>
      </w:r>
      <w:r>
        <w:rPr>
          <w:spacing w:val="1"/>
        </w:rPr>
        <w:t> </w:t>
      </w:r>
      <w:r>
        <w:rPr/>
        <w:t>(Walford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Loscalzo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deficiency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underlie</w:t>
      </w:r>
      <w:r>
        <w:rPr>
          <w:spacing w:val="1"/>
        </w:rPr>
        <w:t> </w:t>
      </w:r>
      <w:r>
        <w:rPr/>
        <w:t>complications associated with SCD (Lin </w:t>
      </w:r>
      <w:r>
        <w:rPr>
          <w:i/>
        </w:rPr>
        <w:t>et al</w:t>
      </w:r>
      <w:r>
        <w:rPr/>
        <w:t>., 2005). No part of the</w:t>
      </w:r>
      <w:r>
        <w:rPr>
          <w:spacing w:val="60"/>
        </w:rPr>
        <w:t> </w:t>
      </w:r>
      <w:r>
        <w:rPr/>
        <w:t>human body is exempt of</w:t>
      </w:r>
      <w:r>
        <w:rPr>
          <w:spacing w:val="1"/>
        </w:rPr>
        <w:t> </w:t>
      </w:r>
      <w:r>
        <w:rPr/>
        <w:t>the sequel to </w:t>
      </w:r>
      <w:r>
        <w:rPr>
          <w:i/>
        </w:rPr>
        <w:t>in vivo </w:t>
      </w:r>
      <w:r>
        <w:rPr/>
        <w:t>sickling in SCD. The heme iron is a major cause of oxidative stress that can</w:t>
      </w:r>
      <w:r>
        <w:rPr>
          <w:spacing w:val="1"/>
        </w:rPr>
        <w:t> </w:t>
      </w:r>
      <w:r>
        <w:rPr/>
        <w:t>induce redox-sensitive transcription factors such as nuclear factor kappa-B and activator protein-</w:t>
      </w:r>
      <w:r>
        <w:rPr>
          <w:spacing w:val="1"/>
        </w:rPr>
        <w:t> </w:t>
      </w:r>
      <w:r>
        <w:rPr/>
        <w:t>1;</w:t>
      </w:r>
      <w:r>
        <w:rPr>
          <w:spacing w:val="15"/>
        </w:rPr>
        <w:t> </w:t>
      </w:r>
      <w:r>
        <w:rPr/>
        <w:t>which</w:t>
      </w:r>
      <w:r>
        <w:rPr>
          <w:spacing w:val="24"/>
        </w:rPr>
        <w:t> </w:t>
      </w:r>
      <w:r>
        <w:rPr/>
        <w:t>in</w:t>
      </w:r>
      <w:r>
        <w:rPr>
          <w:spacing w:val="19"/>
        </w:rPr>
        <w:t> </w:t>
      </w:r>
      <w:r>
        <w:rPr/>
        <w:t>turn</w:t>
      </w:r>
      <w:r>
        <w:rPr>
          <w:spacing w:val="20"/>
        </w:rPr>
        <w:t> </w:t>
      </w:r>
      <w:r>
        <w:rPr/>
        <w:t>induce</w:t>
      </w:r>
      <w:r>
        <w:rPr>
          <w:spacing w:val="23"/>
        </w:rPr>
        <w:t> </w:t>
      </w:r>
      <w:r>
        <w:rPr/>
        <w:t>the</w:t>
      </w:r>
      <w:r>
        <w:rPr>
          <w:spacing w:val="18"/>
        </w:rPr>
        <w:t> </w:t>
      </w:r>
      <w:r>
        <w:rPr/>
        <w:t>recruitment</w:t>
      </w:r>
      <w:r>
        <w:rPr>
          <w:spacing w:val="24"/>
        </w:rPr>
        <w:t> </w:t>
      </w:r>
      <w:r>
        <w:rPr/>
        <w:t>of</w:t>
      </w:r>
      <w:r>
        <w:rPr>
          <w:spacing w:val="17"/>
        </w:rPr>
        <w:t> </w:t>
      </w:r>
      <w:r>
        <w:rPr/>
        <w:t>adherent</w:t>
      </w:r>
      <w:r>
        <w:rPr>
          <w:spacing w:val="29"/>
        </w:rPr>
        <w:t> </w:t>
      </w:r>
      <w:r>
        <w:rPr/>
        <w:t>leucocytes</w:t>
      </w:r>
      <w:r>
        <w:rPr>
          <w:spacing w:val="22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23"/>
        </w:rPr>
        <w:t> </w:t>
      </w:r>
      <w:r>
        <w:rPr/>
        <w:t>venules.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presence</w:t>
      </w:r>
      <w:r>
        <w:rPr>
          <w:spacing w:val="18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60" w:lineRule="auto" w:before="72"/>
        <w:ind w:left="820" w:right="1443"/>
        <w:jc w:val="both"/>
      </w:pPr>
      <w:r>
        <w:rPr/>
        <w:t>adherent leukocytes in small post capillary venules is emerging as a key factor that contributes to</w:t>
      </w:r>
      <w:r>
        <w:rPr>
          <w:spacing w:val="-57"/>
        </w:rPr>
        <w:t> </w:t>
      </w:r>
      <w:r>
        <w:rPr/>
        <w:t>vaso-occlusion during sickle cell crises (Frenette and George 2007). Leukocytes are large cells</w:t>
      </w:r>
      <w:r>
        <w:rPr>
          <w:spacing w:val="1"/>
        </w:rPr>
        <w:t> </w:t>
      </w:r>
      <w:r>
        <w:rPr/>
        <w:t>that are more rigid than the sickled RBC, thus, their role in vaso-occlusion offers an attractive</w:t>
      </w:r>
      <w:r>
        <w:rPr>
          <w:spacing w:val="1"/>
        </w:rPr>
        <w:t> </w:t>
      </w:r>
      <w:r>
        <w:rPr/>
        <w:t>therapeutic target</w:t>
      </w:r>
      <w:r>
        <w:rPr>
          <w:spacing w:val="7"/>
        </w:rPr>
        <w:t> </w:t>
      </w:r>
      <w:r>
        <w:rPr/>
        <w:t>for</w:t>
      </w:r>
      <w:r>
        <w:rPr>
          <w:spacing w:val="-1"/>
        </w:rPr>
        <w:t> </w:t>
      </w:r>
      <w:r>
        <w:rPr/>
        <w:t>SCD.</w:t>
      </w: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929639</wp:posOffset>
            </wp:positionH>
            <wp:positionV relativeFrom="paragraph">
              <wp:posOffset>130137</wp:posOffset>
            </wp:positionV>
            <wp:extent cx="4160520" cy="6291072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5"/>
        </w:rPr>
      </w:pPr>
    </w:p>
    <w:p>
      <w:pPr>
        <w:spacing w:line="355" w:lineRule="auto" w:before="0"/>
        <w:ind w:left="820" w:right="1451" w:firstLine="0"/>
        <w:jc w:val="both"/>
        <w:rPr>
          <w:sz w:val="24"/>
        </w:rPr>
      </w:pPr>
      <w:r>
        <w:rPr>
          <w:sz w:val="24"/>
        </w:rPr>
        <w:t>Figure</w:t>
      </w:r>
      <w:r>
        <w:rPr>
          <w:spacing w:val="1"/>
          <w:sz w:val="24"/>
        </w:rPr>
        <w:t> </w:t>
      </w:r>
      <w:r>
        <w:rPr>
          <w:sz w:val="24"/>
        </w:rPr>
        <w:t>2:</w:t>
      </w:r>
      <w:r>
        <w:rPr>
          <w:spacing w:val="1"/>
          <w:sz w:val="24"/>
        </w:rPr>
        <w:t> </w:t>
      </w:r>
      <w:r>
        <w:rPr>
          <w:sz w:val="24"/>
        </w:rPr>
        <w:t>Pathophysiology of sickle</w:t>
      </w:r>
      <w:r>
        <w:rPr>
          <w:spacing w:val="1"/>
          <w:sz w:val="24"/>
        </w:rPr>
        <w:t> </w:t>
      </w:r>
      <w:r>
        <w:rPr>
          <w:sz w:val="24"/>
        </w:rPr>
        <w:t>cell disease</w:t>
      </w:r>
      <w:r>
        <w:rPr>
          <w:spacing w:val="1"/>
          <w:sz w:val="24"/>
        </w:rPr>
        <w:t> </w:t>
      </w:r>
      <w:r>
        <w:rPr>
          <w:sz w:val="24"/>
        </w:rPr>
        <w:t>(Steinberg,</w:t>
      </w:r>
      <w:r>
        <w:rPr>
          <w:spacing w:val="1"/>
          <w:sz w:val="24"/>
        </w:rPr>
        <w:t> </w:t>
      </w:r>
      <w:r>
        <w:rPr>
          <w:sz w:val="24"/>
        </w:rPr>
        <w:t>1999-</w:t>
      </w:r>
      <w:r>
        <w:rPr>
          <w:i/>
          <w:sz w:val="24"/>
        </w:rPr>
        <w:t>New England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340:1021-30)</w:t>
      </w:r>
    </w:p>
    <w:p>
      <w:pPr>
        <w:spacing w:after="0" w:line="355" w:lineRule="auto"/>
        <w:jc w:val="both"/>
        <w:rPr>
          <w:sz w:val="24"/>
        </w:rPr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numPr>
          <w:ilvl w:val="2"/>
          <w:numId w:val="15"/>
        </w:numPr>
        <w:tabs>
          <w:tab w:pos="1601" w:val="left" w:leader="none"/>
          <w:tab w:pos="1602" w:val="left" w:leader="none"/>
        </w:tabs>
        <w:spacing w:line="240" w:lineRule="auto" w:before="72" w:after="0"/>
        <w:ind w:left="1601" w:right="0" w:hanging="782"/>
        <w:jc w:val="left"/>
      </w:pPr>
      <w:bookmarkStart w:name="_TOC_250038" w:id="16"/>
      <w:bookmarkEnd w:id="16"/>
      <w:r>
        <w:rPr/>
        <w:t>Diagnosis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57" w:lineRule="auto" w:before="1"/>
        <w:ind w:left="820" w:right="1447"/>
        <w:jc w:val="both"/>
      </w:pPr>
      <w:r>
        <w:rPr/>
        <w:t>Diagnosis of the major genotypes of SCD is relatively simple, however, differentiation of the</w:t>
      </w:r>
      <w:r>
        <w:rPr>
          <w:spacing w:val="1"/>
        </w:rPr>
        <w:t> </w:t>
      </w:r>
      <w:r>
        <w:rPr/>
        <w:t>genetic sub-divisions may be complex requiring genetic studies and a variety of sophisticated</w:t>
      </w:r>
      <w:r>
        <w:rPr>
          <w:spacing w:val="1"/>
        </w:rPr>
        <w:t> </w:t>
      </w:r>
      <w:r>
        <w:rPr/>
        <w:t>laboratory</w:t>
      </w:r>
      <w:r>
        <w:rPr>
          <w:spacing w:val="-9"/>
        </w:rPr>
        <w:t> </w:t>
      </w:r>
      <w:r>
        <w:rPr/>
        <w:t>procedures (Serjeant</w:t>
      </w:r>
      <w:r>
        <w:rPr>
          <w:spacing w:val="6"/>
        </w:rPr>
        <w:t> </w:t>
      </w:r>
      <w:r>
        <w:rPr/>
        <w:t>and</w:t>
      </w:r>
      <w:r>
        <w:rPr>
          <w:spacing w:val="2"/>
        </w:rPr>
        <w:t> </w:t>
      </w:r>
      <w:r>
        <w:rPr/>
        <w:t>Serjeant</w:t>
      </w:r>
      <w:r>
        <w:rPr>
          <w:spacing w:val="6"/>
        </w:rPr>
        <w:t> </w:t>
      </w:r>
      <w:r>
        <w:rPr/>
        <w:t>2001).</w:t>
      </w:r>
    </w:p>
    <w:p>
      <w:pPr>
        <w:pStyle w:val="Heading2"/>
        <w:numPr>
          <w:ilvl w:val="3"/>
          <w:numId w:val="15"/>
        </w:numPr>
        <w:tabs>
          <w:tab w:pos="1665" w:val="left" w:leader="none"/>
        </w:tabs>
        <w:spacing w:line="240" w:lineRule="auto" w:before="206" w:after="0"/>
        <w:ind w:left="1664" w:right="0" w:hanging="845"/>
        <w:jc w:val="left"/>
      </w:pPr>
      <w:r>
        <w:rPr/>
        <w:t>The</w:t>
      </w:r>
      <w:r>
        <w:rPr>
          <w:spacing w:val="-2"/>
        </w:rPr>
        <w:t> </w:t>
      </w:r>
      <w:r>
        <w:rPr/>
        <w:t>Sickle</w:t>
      </w:r>
      <w:r>
        <w:rPr>
          <w:spacing w:val="-6"/>
        </w:rPr>
        <w:t> </w:t>
      </w:r>
      <w:r>
        <w:rPr/>
        <w:t>test</w:t>
      </w:r>
    </w:p>
    <w:p>
      <w:pPr>
        <w:pStyle w:val="BodyText"/>
        <w:spacing w:before="5"/>
        <w:rPr>
          <w:b/>
          <w:i/>
          <w:sz w:val="29"/>
        </w:rPr>
      </w:pPr>
    </w:p>
    <w:p>
      <w:pPr>
        <w:pStyle w:val="BodyText"/>
        <w:spacing w:line="360" w:lineRule="auto"/>
        <w:ind w:left="820" w:right="1440"/>
        <w:jc w:val="both"/>
      </w:pPr>
      <w:r>
        <w:rPr/>
        <w:t>The standard technique for performing this test is the method of Daland and Castle (1948) in</w:t>
      </w:r>
      <w:r>
        <w:rPr>
          <w:spacing w:val="1"/>
        </w:rPr>
        <w:t> </w:t>
      </w:r>
      <w:r>
        <w:rPr/>
        <w:t>Konotey-Ahulu, (1991). It is based on the morphological changes of the HbS containing red cell</w:t>
      </w:r>
      <w:r>
        <w:rPr>
          <w:spacing w:val="1"/>
        </w:rPr>
        <w:t> </w:t>
      </w:r>
      <w:r>
        <w:rPr/>
        <w:t>when de-oxygenated. One drop of two percent solution of sodium metabisulphite is mixed with</w:t>
      </w:r>
      <w:r>
        <w:rPr>
          <w:spacing w:val="1"/>
        </w:rPr>
        <w:t> </w:t>
      </w:r>
      <w:r>
        <w:rPr/>
        <w:t>one drop of blood on a microscope slide, covered with a coverslip, and sealed with wax to</w:t>
      </w:r>
      <w:r>
        <w:rPr>
          <w:spacing w:val="1"/>
        </w:rPr>
        <w:t> </w:t>
      </w:r>
      <w:r>
        <w:rPr/>
        <w:t>exclude air and to prevent drying. Sickling of the cells is usually apparent under a microscope</w:t>
      </w:r>
      <w:r>
        <w:rPr>
          <w:spacing w:val="1"/>
        </w:rPr>
        <w:t> </w:t>
      </w:r>
      <w:r>
        <w:rPr/>
        <w:t>within</w:t>
      </w:r>
      <w:r>
        <w:rPr>
          <w:spacing w:val="-4"/>
        </w:rPr>
        <w:t> </w:t>
      </w:r>
      <w:r>
        <w:rPr/>
        <w:t>an</w:t>
      </w:r>
      <w:r>
        <w:rPr>
          <w:spacing w:val="2"/>
        </w:rPr>
        <w:t> </w:t>
      </w:r>
      <w:r>
        <w:rPr/>
        <w:t>hour,</w:t>
      </w:r>
      <w:r>
        <w:rPr>
          <w:spacing w:val="3"/>
        </w:rPr>
        <w:t> </w:t>
      </w:r>
      <w:r>
        <w:rPr/>
        <w:t>but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6"/>
        </w:rPr>
        <w:t> </w:t>
      </w:r>
      <w:r>
        <w:rPr/>
        <w:t>is read</w:t>
      </w:r>
      <w:r>
        <w:rPr>
          <w:spacing w:val="1"/>
        </w:rPr>
        <w:t> </w:t>
      </w:r>
      <w:r>
        <w:rPr/>
        <w:t>after</w:t>
      </w:r>
      <w:r>
        <w:rPr>
          <w:spacing w:val="-1"/>
        </w:rPr>
        <w:t> </w:t>
      </w:r>
      <w:r>
        <w:rPr/>
        <w:t>twenty-four</w:t>
      </w:r>
      <w:r>
        <w:rPr>
          <w:spacing w:val="-2"/>
        </w:rPr>
        <w:t> </w:t>
      </w:r>
      <w:r>
        <w:rPr/>
        <w:t>hours.</w:t>
      </w:r>
    </w:p>
    <w:p>
      <w:pPr>
        <w:pStyle w:val="BodyText"/>
        <w:spacing w:line="360" w:lineRule="auto" w:before="199"/>
        <w:ind w:left="820" w:right="1438"/>
        <w:jc w:val="both"/>
      </w:pPr>
      <w:r>
        <w:rPr/>
        <w:t>The sodium metabisulphite should be freshly prepared because unless it</w:t>
      </w:r>
      <w:r>
        <w:rPr>
          <w:spacing w:val="60"/>
        </w:rPr>
        <w:t> </w:t>
      </w:r>
      <w:r>
        <w:rPr/>
        <w:t>is stored at 4</w:t>
      </w:r>
      <w:r>
        <w:rPr>
          <w:vertAlign w:val="superscript"/>
        </w:rPr>
        <w:t>o</w:t>
      </w:r>
      <w:r>
        <w:rPr>
          <w:vertAlign w:val="baseline"/>
        </w:rPr>
        <w:t>C (in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case, it can last 6 months), it deteriorates rapidly leading to a false negative. Also, a higher</w:t>
      </w:r>
      <w:r>
        <w:rPr>
          <w:spacing w:val="-57"/>
          <w:vertAlign w:val="baseline"/>
        </w:rPr>
        <w:t> </w:t>
      </w:r>
      <w:r>
        <w:rPr>
          <w:vertAlign w:val="baseline"/>
        </w:rPr>
        <w:t>concentration of four percent should not be used because it is a hypertonic solution which will</w:t>
      </w:r>
      <w:r>
        <w:rPr>
          <w:spacing w:val="1"/>
          <w:vertAlign w:val="baseline"/>
        </w:rPr>
        <w:t> </w:t>
      </w:r>
      <w:r>
        <w:rPr>
          <w:vertAlign w:val="baseline"/>
        </w:rPr>
        <w:t>give a</w:t>
      </w:r>
      <w:r>
        <w:rPr>
          <w:spacing w:val="5"/>
          <w:vertAlign w:val="baseline"/>
        </w:rPr>
        <w:t> </w:t>
      </w:r>
      <w:r>
        <w:rPr>
          <w:vertAlign w:val="baseline"/>
        </w:rPr>
        <w:t>false</w:t>
      </w:r>
      <w:r>
        <w:rPr>
          <w:spacing w:val="1"/>
          <w:vertAlign w:val="baseline"/>
        </w:rPr>
        <w:t> </w:t>
      </w:r>
      <w:r>
        <w:rPr>
          <w:vertAlign w:val="baseline"/>
        </w:rPr>
        <w:t>positive (Serjeant</w:t>
      </w:r>
      <w:r>
        <w:rPr>
          <w:spacing w:val="7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Serjeant</w:t>
      </w:r>
      <w:r>
        <w:rPr>
          <w:spacing w:val="7"/>
          <w:vertAlign w:val="baseline"/>
        </w:rPr>
        <w:t> </w:t>
      </w:r>
      <w:r>
        <w:rPr>
          <w:vertAlign w:val="baseline"/>
        </w:rPr>
        <w:t>2001).</w:t>
      </w:r>
    </w:p>
    <w:p>
      <w:pPr>
        <w:pStyle w:val="BodyText"/>
        <w:spacing w:before="197"/>
        <w:ind w:left="820"/>
        <w:jc w:val="both"/>
      </w:pPr>
      <w:r>
        <w:rPr>
          <w:u w:val="single"/>
        </w:rPr>
        <w:t>Limitations</w:t>
      </w:r>
      <w:r>
        <w:rPr>
          <w:spacing w:val="-2"/>
          <w:u w:val="single"/>
        </w:rPr>
        <w:t> </w:t>
      </w:r>
      <w:r>
        <w:rPr>
          <w:u w:val="single"/>
        </w:rPr>
        <w:t>include</w:t>
      </w:r>
      <w:r>
        <w:rPr/>
        <w:t>:</w:t>
      </w:r>
      <w:r>
        <w:rPr>
          <w:spacing w:val="-3"/>
        </w:rPr>
        <w:t> </w:t>
      </w:r>
      <w:r>
        <w:rPr/>
        <w:t>too insensitive</w:t>
      </w:r>
      <w:r>
        <w:rPr>
          <w:spacing w:val="-4"/>
        </w:rPr>
        <w:t> </w:t>
      </w:r>
      <w:r>
        <w:rPr/>
        <w:t>to consistently</w:t>
      </w:r>
      <w:r>
        <w:rPr>
          <w:spacing w:val="-3"/>
        </w:rPr>
        <w:t> </w:t>
      </w:r>
      <w:r>
        <w:rPr/>
        <w:t>detect low</w:t>
      </w:r>
      <w:r>
        <w:rPr>
          <w:spacing w:val="-4"/>
        </w:rPr>
        <w:t> </w:t>
      </w:r>
      <w:r>
        <w:rPr/>
        <w:t>levels</w:t>
      </w:r>
      <w:r>
        <w:rPr>
          <w:spacing w:val="-5"/>
        </w:rPr>
        <w:t> </w:t>
      </w:r>
      <w:r>
        <w:rPr/>
        <w:t>of</w:t>
      </w:r>
      <w:r>
        <w:rPr>
          <w:spacing w:val="-11"/>
        </w:rPr>
        <w:t> </w:t>
      </w:r>
      <w:r>
        <w:rPr/>
        <w:t>HbS</w:t>
      </w:r>
      <w:r>
        <w:rPr>
          <w:spacing w:val="-3"/>
        </w:rPr>
        <w:t> </w:t>
      </w:r>
      <w:r>
        <w:rPr/>
        <w:t>present</w:t>
      </w:r>
      <w:r>
        <w:rPr>
          <w:spacing w:val="1"/>
        </w:rPr>
        <w:t> </w:t>
      </w:r>
      <w:r>
        <w:rPr/>
        <w:t>at</w:t>
      </w:r>
      <w:r>
        <w:rPr>
          <w:spacing w:val="-4"/>
        </w:rPr>
        <w:t> </w:t>
      </w:r>
      <w:r>
        <w:rPr/>
        <w:t>birth.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numPr>
          <w:ilvl w:val="3"/>
          <w:numId w:val="15"/>
        </w:numPr>
        <w:tabs>
          <w:tab w:pos="1841" w:val="left" w:leader="none"/>
          <w:tab w:pos="1842" w:val="left" w:leader="none"/>
        </w:tabs>
        <w:spacing w:line="240" w:lineRule="auto" w:before="90" w:after="0"/>
        <w:ind w:left="1841" w:right="0" w:hanging="1022"/>
        <w:jc w:val="left"/>
      </w:pPr>
      <w:r>
        <w:rPr/>
        <w:t>Solubility</w:t>
      </w:r>
      <w:r>
        <w:rPr>
          <w:spacing w:val="-6"/>
        </w:rPr>
        <w:t> </w:t>
      </w:r>
      <w:r>
        <w:rPr/>
        <w:t>test</w:t>
      </w:r>
    </w:p>
    <w:p>
      <w:pPr>
        <w:pStyle w:val="BodyText"/>
        <w:spacing w:before="4"/>
        <w:rPr>
          <w:b/>
          <w:i/>
          <w:sz w:val="29"/>
        </w:rPr>
      </w:pPr>
    </w:p>
    <w:p>
      <w:pPr>
        <w:pStyle w:val="BodyText"/>
        <w:spacing w:line="360" w:lineRule="auto"/>
        <w:ind w:left="820" w:right="1438"/>
        <w:jc w:val="both"/>
      </w:pPr>
      <w:r>
        <w:rPr/>
        <w:t>De-oxygenated HbS is relatively insoluble in solutions of high molarity such as concentrated</w:t>
      </w:r>
      <w:r>
        <w:rPr>
          <w:spacing w:val="1"/>
        </w:rPr>
        <w:t> </w:t>
      </w:r>
      <w:r>
        <w:rPr/>
        <w:t>phosphate buffers, lysing and reducing agents. The solubility test is performed by adding 4 drops</w:t>
      </w:r>
      <w:r>
        <w:rPr>
          <w:spacing w:val="-57"/>
        </w:rPr>
        <w:t> </w:t>
      </w:r>
      <w:r>
        <w:rPr/>
        <w:t>of blood to 2mls of freshly prepared sodium diothionate and potassium phosphate in a test tube.</w:t>
      </w:r>
      <w:r>
        <w:rPr>
          <w:spacing w:val="1"/>
        </w:rPr>
        <w:t> </w:t>
      </w:r>
      <w:r>
        <w:rPr/>
        <w:t>Appearance of a clear solution indicates HbA, C or D; a precipitate above and a clear solution</w:t>
      </w:r>
      <w:r>
        <w:rPr>
          <w:spacing w:val="1"/>
        </w:rPr>
        <w:t> </w:t>
      </w:r>
      <w:r>
        <w:rPr/>
        <w:t>below indicates HbSS; while a precipitate above and a pink solution beneath indicates HbAS</w:t>
      </w:r>
      <w:r>
        <w:rPr>
          <w:spacing w:val="1"/>
        </w:rPr>
        <w:t> </w:t>
      </w:r>
      <w:r>
        <w:rPr/>
        <w:t>(Serjeant</w:t>
      </w:r>
      <w:r>
        <w:rPr>
          <w:spacing w:val="6"/>
        </w:rPr>
        <w:t> </w:t>
      </w:r>
      <w:r>
        <w:rPr/>
        <w:t>and</w:t>
      </w:r>
      <w:r>
        <w:rPr>
          <w:spacing w:val="2"/>
        </w:rPr>
        <w:t> </w:t>
      </w:r>
      <w:r>
        <w:rPr/>
        <w:t>Serjeant</w:t>
      </w:r>
      <w:r>
        <w:rPr>
          <w:spacing w:val="7"/>
        </w:rPr>
        <w:t> </w:t>
      </w:r>
      <w:r>
        <w:rPr/>
        <w:t>2001)</w:t>
      </w:r>
      <w:r>
        <w:rPr>
          <w:spacing w:val="-1"/>
        </w:rPr>
        <w:t> </w:t>
      </w:r>
      <w:r>
        <w:rPr/>
        <w:t>.</w:t>
      </w:r>
    </w:p>
    <w:p>
      <w:pPr>
        <w:pStyle w:val="BodyText"/>
        <w:spacing w:line="360" w:lineRule="auto" w:before="200"/>
        <w:ind w:left="820" w:right="1440"/>
        <w:jc w:val="both"/>
      </w:pPr>
      <w:r>
        <w:rPr>
          <w:u w:val="single"/>
        </w:rPr>
        <w:t>Limitations include</w:t>
      </w:r>
      <w:r>
        <w:rPr/>
        <w:t>: too insensitive to consistently detect low levels of HbS present at birth,</w:t>
      </w:r>
      <w:r>
        <w:rPr>
          <w:spacing w:val="1"/>
        </w:rPr>
        <w:t> </w:t>
      </w:r>
      <w:r>
        <w:rPr/>
        <w:t>inability to differentiate a harmless AS genotype from the clinically significant homozygous and</w:t>
      </w:r>
      <w:r>
        <w:rPr>
          <w:spacing w:val="1"/>
        </w:rPr>
        <w:t> </w:t>
      </w:r>
      <w:r>
        <w:rPr/>
        <w:t>compound</w:t>
      </w:r>
      <w:r>
        <w:rPr>
          <w:spacing w:val="16"/>
        </w:rPr>
        <w:t> </w:t>
      </w:r>
      <w:r>
        <w:rPr/>
        <w:t>heterozygous</w:t>
      </w:r>
      <w:r>
        <w:rPr>
          <w:spacing w:val="14"/>
        </w:rPr>
        <w:t> </w:t>
      </w:r>
      <w:r>
        <w:rPr/>
        <w:t>forms.</w:t>
      </w:r>
      <w:r>
        <w:rPr>
          <w:spacing w:val="14"/>
        </w:rPr>
        <w:t> </w:t>
      </w:r>
      <w:r>
        <w:rPr/>
        <w:t>It</w:t>
      </w:r>
      <w:r>
        <w:rPr>
          <w:spacing w:val="16"/>
        </w:rPr>
        <w:t> </w:t>
      </w:r>
      <w:r>
        <w:rPr/>
        <w:t>also</w:t>
      </w:r>
      <w:r>
        <w:rPr>
          <w:spacing w:val="21"/>
        </w:rPr>
        <w:t> </w:t>
      </w:r>
      <w:r>
        <w:rPr/>
        <w:t>fails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/>
        <w:t>detect</w:t>
      </w:r>
      <w:r>
        <w:rPr>
          <w:spacing w:val="16"/>
        </w:rPr>
        <w:t> </w:t>
      </w:r>
      <w:r>
        <w:rPr/>
        <w:t>HbC,</w:t>
      </w:r>
      <w:r>
        <w:rPr>
          <w:spacing w:val="15"/>
        </w:rPr>
        <w:t> </w:t>
      </w:r>
      <w:r>
        <w:rPr/>
        <w:t>β-thalassaemia</w:t>
      </w:r>
      <w:r>
        <w:rPr>
          <w:spacing w:val="10"/>
        </w:rPr>
        <w:t> </w:t>
      </w:r>
      <w:r>
        <w:rPr/>
        <w:t>trait,</w:t>
      </w:r>
      <w:r>
        <w:rPr>
          <w:spacing w:val="14"/>
        </w:rPr>
        <w:t> </w:t>
      </w:r>
      <w:r>
        <w:rPr/>
        <w:t>and</w:t>
      </w:r>
      <w:r>
        <w:rPr>
          <w:spacing w:val="12"/>
        </w:rPr>
        <w:t> </w:t>
      </w:r>
      <w:r>
        <w:rPr/>
        <w:t>some</w:t>
      </w:r>
      <w:r>
        <w:rPr>
          <w:spacing w:val="10"/>
        </w:rPr>
        <w:t> </w:t>
      </w:r>
      <w:r>
        <w:rPr/>
        <w:t>other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55" w:lineRule="auto" w:before="72"/>
        <w:ind w:left="820" w:right="1450"/>
        <w:jc w:val="both"/>
      </w:pPr>
      <w:r>
        <w:rPr/>
        <w:t>pathological variants. There is</w:t>
      </w:r>
      <w:r>
        <w:rPr>
          <w:spacing w:val="60"/>
        </w:rPr>
        <w:t> </w:t>
      </w:r>
      <w:r>
        <w:rPr/>
        <w:t>no situation in which a positive sickling or solubility test should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without</w:t>
      </w:r>
      <w:r>
        <w:rPr>
          <w:spacing w:val="6"/>
        </w:rPr>
        <w:t> </w:t>
      </w:r>
      <w:r>
        <w:rPr/>
        <w:t>further</w:t>
      </w:r>
      <w:r>
        <w:rPr>
          <w:spacing w:val="2"/>
        </w:rPr>
        <w:t> </w:t>
      </w:r>
      <w:r>
        <w:rPr/>
        <w:t>investigation</w:t>
      </w:r>
      <w:r>
        <w:rPr>
          <w:spacing w:val="-4"/>
        </w:rPr>
        <w:t> </w:t>
      </w:r>
      <w:r>
        <w:rPr/>
        <w:t>by</w:t>
      </w:r>
      <w:r>
        <w:rPr>
          <w:spacing w:val="1"/>
        </w:rPr>
        <w:t> </w:t>
      </w:r>
      <w:r>
        <w:rPr/>
        <w:t>haemoglobin</w:t>
      </w:r>
      <w:r>
        <w:rPr>
          <w:spacing w:val="-4"/>
        </w:rPr>
        <w:t> </w:t>
      </w:r>
      <w:r>
        <w:rPr/>
        <w:t>electrophoresis.</w:t>
      </w:r>
    </w:p>
    <w:p>
      <w:pPr>
        <w:pStyle w:val="Heading2"/>
        <w:numPr>
          <w:ilvl w:val="3"/>
          <w:numId w:val="15"/>
        </w:numPr>
        <w:tabs>
          <w:tab w:pos="1722" w:val="left" w:leader="none"/>
        </w:tabs>
        <w:spacing w:line="240" w:lineRule="auto" w:before="210" w:after="0"/>
        <w:ind w:left="1721" w:right="0" w:hanging="902"/>
        <w:jc w:val="both"/>
      </w:pPr>
      <w:r>
        <w:rPr/>
        <w:t>Haemoglobin</w:t>
      </w:r>
      <w:r>
        <w:rPr>
          <w:spacing w:val="-8"/>
        </w:rPr>
        <w:t> </w:t>
      </w:r>
      <w:r>
        <w:rPr/>
        <w:t>electrophoresis:</w:t>
      </w:r>
    </w:p>
    <w:p>
      <w:pPr>
        <w:pStyle w:val="BodyText"/>
        <w:spacing w:before="5"/>
        <w:rPr>
          <w:b/>
          <w:i/>
          <w:sz w:val="29"/>
        </w:rPr>
      </w:pPr>
    </w:p>
    <w:p>
      <w:pPr>
        <w:pStyle w:val="BodyText"/>
        <w:spacing w:line="360" w:lineRule="auto"/>
        <w:ind w:left="820" w:right="1440"/>
        <w:jc w:val="both"/>
      </w:pPr>
      <w:r>
        <w:rPr/>
        <w:t>Haemoglobin electrophoresis is the major technique used for diagnosis in neonatal and postnatal</w:t>
      </w:r>
      <w:r>
        <w:rPr>
          <w:spacing w:val="1"/>
        </w:rPr>
        <w:t> </w:t>
      </w:r>
      <w:r>
        <w:rPr/>
        <w:t>life. It</w:t>
      </w:r>
      <w:r>
        <w:rPr>
          <w:spacing w:val="60"/>
        </w:rPr>
        <w:t> </w:t>
      </w:r>
      <w:r>
        <w:rPr/>
        <w:t>is performed at an alkaline pH of 8.4-8.9; and is based on the principle that charge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molecules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substitutions.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replacement</w:t>
      </w:r>
      <w:r>
        <w:rPr>
          <w:spacing w:val="1"/>
        </w:rPr>
        <w:t> </w:t>
      </w:r>
      <w:r>
        <w:rPr/>
        <w:t>of negatively charged glutamic acid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position β</w:t>
      </w:r>
      <w:r>
        <w:rPr>
          <w:vertAlign w:val="superscript"/>
        </w:rPr>
        <w:t>6</w:t>
      </w:r>
      <w:r>
        <w:rPr>
          <w:vertAlign w:val="baseline"/>
        </w:rPr>
        <w:t> by neutrally charged valine</w:t>
      </w:r>
      <w:r>
        <w:rPr>
          <w:spacing w:val="60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HbS results in one net positive charge per chain and two net positive charges per molecule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relative to</w:t>
      </w:r>
      <w:r>
        <w:rPr>
          <w:spacing w:val="1"/>
          <w:vertAlign w:val="baseline"/>
        </w:rPr>
        <w:t> </w:t>
      </w:r>
      <w:r>
        <w:rPr>
          <w:vertAlign w:val="baseline"/>
        </w:rPr>
        <w:t>HbA; thus, the haemoglobin</w:t>
      </w:r>
      <w:r>
        <w:rPr>
          <w:spacing w:val="60"/>
          <w:vertAlign w:val="baseline"/>
        </w:rPr>
        <w:t> </w:t>
      </w:r>
      <w:r>
        <w:rPr>
          <w:vertAlign w:val="baseline"/>
        </w:rPr>
        <w:t>in HbS will move more slowly towards the anode than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HbA.</w:t>
      </w:r>
      <w:r>
        <w:rPr>
          <w:spacing w:val="1"/>
          <w:vertAlign w:val="baseline"/>
        </w:rPr>
        <w:t> </w:t>
      </w:r>
      <w:r>
        <w:rPr>
          <w:vertAlign w:val="baseline"/>
        </w:rPr>
        <w:t>HbC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negatively</w:t>
      </w:r>
      <w:r>
        <w:rPr>
          <w:spacing w:val="1"/>
          <w:vertAlign w:val="baseline"/>
        </w:rPr>
        <w:t> </w:t>
      </w:r>
      <w:r>
        <w:rPr>
          <w:vertAlign w:val="baseline"/>
        </w:rPr>
        <w:t>charged</w:t>
      </w:r>
      <w:r>
        <w:rPr>
          <w:spacing w:val="1"/>
          <w:vertAlign w:val="baseline"/>
        </w:rPr>
        <w:t> </w:t>
      </w:r>
      <w:r>
        <w:rPr>
          <w:vertAlign w:val="baseline"/>
        </w:rPr>
        <w:t>glutamic</w:t>
      </w:r>
      <w:r>
        <w:rPr>
          <w:spacing w:val="1"/>
          <w:vertAlign w:val="baseline"/>
        </w:rPr>
        <w:t> </w:t>
      </w:r>
      <w:r>
        <w:rPr>
          <w:vertAlign w:val="baseline"/>
        </w:rPr>
        <w:t>acid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been</w:t>
      </w:r>
      <w:r>
        <w:rPr>
          <w:spacing w:val="1"/>
          <w:vertAlign w:val="baseline"/>
        </w:rPr>
        <w:t> </w:t>
      </w:r>
      <w:r>
        <w:rPr>
          <w:vertAlign w:val="baseline"/>
        </w:rPr>
        <w:t>substituted by positively charged lysine has four positive charges relative to HbA and thus moves</w:t>
      </w:r>
      <w:r>
        <w:rPr>
          <w:spacing w:val="-58"/>
          <w:vertAlign w:val="baseline"/>
        </w:rPr>
        <w:t> </w:t>
      </w:r>
      <w:r>
        <w:rPr>
          <w:vertAlign w:val="baseline"/>
        </w:rPr>
        <w:t>even</w:t>
      </w:r>
      <w:r>
        <w:rPr>
          <w:spacing w:val="1"/>
          <w:vertAlign w:val="baseline"/>
        </w:rPr>
        <w:t> </w:t>
      </w:r>
      <w:r>
        <w:rPr>
          <w:vertAlign w:val="baseline"/>
        </w:rPr>
        <w:t>more slowly</w:t>
      </w:r>
      <w:r>
        <w:rPr>
          <w:spacing w:val="-3"/>
          <w:vertAlign w:val="baseline"/>
        </w:rPr>
        <w:t> </w:t>
      </w:r>
      <w:r>
        <w:rPr>
          <w:vertAlign w:val="baseline"/>
        </w:rPr>
        <w:t>than</w:t>
      </w:r>
      <w:r>
        <w:rPr>
          <w:spacing w:val="-4"/>
          <w:vertAlign w:val="baseline"/>
        </w:rPr>
        <w:t> </w:t>
      </w:r>
      <w:r>
        <w:rPr>
          <w:vertAlign w:val="baseline"/>
        </w:rPr>
        <w:t>HbS</w:t>
      </w:r>
      <w:r>
        <w:rPr>
          <w:spacing w:val="3"/>
          <w:vertAlign w:val="baseline"/>
        </w:rPr>
        <w:t> </w:t>
      </w:r>
      <w:r>
        <w:rPr>
          <w:vertAlign w:val="baseline"/>
        </w:rPr>
        <w:t>(Serjeant</w:t>
      </w:r>
      <w:r>
        <w:rPr>
          <w:spacing w:val="6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Serjeant</w:t>
      </w:r>
      <w:r>
        <w:rPr>
          <w:spacing w:val="6"/>
          <w:vertAlign w:val="baseline"/>
        </w:rPr>
        <w:t> </w:t>
      </w:r>
      <w:r>
        <w:rPr>
          <w:vertAlign w:val="baseline"/>
        </w:rPr>
        <w:t>2001).</w:t>
      </w:r>
    </w:p>
    <w:p>
      <w:pPr>
        <w:pStyle w:val="BodyText"/>
        <w:spacing w:line="355" w:lineRule="auto" w:before="201"/>
        <w:ind w:left="820" w:right="1442"/>
        <w:jc w:val="both"/>
      </w:pPr>
      <w:r>
        <w:rPr>
          <w:u w:val="single"/>
        </w:rPr>
        <w:t>Limitations of electrophoresis include</w:t>
      </w:r>
      <w:r>
        <w:rPr/>
        <w:t> its inability to differentiate abnormal haemoglobins with</w:t>
      </w:r>
      <w:r>
        <w:rPr>
          <w:spacing w:val="1"/>
        </w:rPr>
        <w:t> </w:t>
      </w:r>
      <w:r>
        <w:rPr/>
        <w:t>the same</w:t>
      </w:r>
      <w:r>
        <w:rPr>
          <w:spacing w:val="1"/>
        </w:rPr>
        <w:t> </w:t>
      </w:r>
      <w:r>
        <w:rPr/>
        <w:t>charge.</w:t>
      </w:r>
    </w:p>
    <w:p>
      <w:pPr>
        <w:pStyle w:val="ListParagraph"/>
        <w:numPr>
          <w:ilvl w:val="3"/>
          <w:numId w:val="15"/>
        </w:numPr>
        <w:tabs>
          <w:tab w:pos="1669" w:val="left" w:leader="none"/>
        </w:tabs>
        <w:spacing w:line="360" w:lineRule="auto" w:before="210" w:after="0"/>
        <w:ind w:left="820" w:right="1438" w:firstLine="0"/>
        <w:jc w:val="both"/>
        <w:rPr>
          <w:sz w:val="24"/>
        </w:rPr>
      </w:pPr>
      <w:r>
        <w:rPr>
          <w:b/>
          <w:i/>
          <w:sz w:val="24"/>
        </w:rPr>
        <w:t>Other methods</w:t>
      </w:r>
      <w:r>
        <w:rPr>
          <w:sz w:val="24"/>
        </w:rPr>
        <w:t>: Restriction endonuclease analysis of DNA (using foetal blood, amniotic</w:t>
      </w:r>
      <w:r>
        <w:rPr>
          <w:spacing w:val="-57"/>
          <w:sz w:val="24"/>
        </w:rPr>
        <w:t> </w:t>
      </w:r>
      <w:r>
        <w:rPr>
          <w:sz w:val="24"/>
        </w:rPr>
        <w:t>fluid,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chorionic</w:t>
      </w:r>
      <w:r>
        <w:rPr>
          <w:spacing w:val="1"/>
          <w:sz w:val="24"/>
        </w:rPr>
        <w:t> </w:t>
      </w:r>
      <w:r>
        <w:rPr>
          <w:sz w:val="24"/>
        </w:rPr>
        <w:t>villi)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amniocentesis</w:t>
      </w:r>
      <w:r>
        <w:rPr>
          <w:spacing w:val="1"/>
          <w:sz w:val="24"/>
        </w:rPr>
        <w:t> </w:t>
      </w:r>
      <w:r>
        <w:rPr>
          <w:sz w:val="24"/>
        </w:rPr>
        <w:t>(Serjeant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Serjeant</w:t>
      </w:r>
      <w:r>
        <w:rPr>
          <w:spacing w:val="1"/>
          <w:sz w:val="24"/>
        </w:rPr>
        <w:t> </w:t>
      </w:r>
      <w:r>
        <w:rPr>
          <w:sz w:val="24"/>
        </w:rPr>
        <w:t>2001).</w:t>
      </w:r>
      <w:r>
        <w:rPr>
          <w:spacing w:val="1"/>
          <w:sz w:val="24"/>
        </w:rPr>
        <w:t> </w:t>
      </w:r>
      <w:r>
        <w:rPr>
          <w:sz w:val="24"/>
        </w:rPr>
        <w:t>However,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-57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antenatal</w:t>
      </w:r>
      <w:r>
        <w:rPr>
          <w:spacing w:val="1"/>
          <w:sz w:val="24"/>
        </w:rPr>
        <w:t> </w:t>
      </w:r>
      <w:r>
        <w:rPr>
          <w:sz w:val="24"/>
        </w:rPr>
        <w:t>diagnosis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expensive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associated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number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emotional</w:t>
      </w:r>
      <w:r>
        <w:rPr>
          <w:spacing w:val="1"/>
          <w:sz w:val="24"/>
        </w:rPr>
        <w:t> </w:t>
      </w:r>
      <w:r>
        <w:rPr>
          <w:sz w:val="24"/>
        </w:rPr>
        <w:t>disorders,</w:t>
      </w:r>
      <w:r>
        <w:rPr>
          <w:spacing w:val="3"/>
          <w:sz w:val="24"/>
        </w:rPr>
        <w:t> </w:t>
      </w:r>
      <w:r>
        <w:rPr>
          <w:sz w:val="24"/>
        </w:rPr>
        <w:t>ethical,</w:t>
      </w:r>
      <w:r>
        <w:rPr>
          <w:spacing w:val="4"/>
          <w:sz w:val="24"/>
        </w:rPr>
        <w:t> </w:t>
      </w:r>
      <w:r>
        <w:rPr>
          <w:sz w:val="24"/>
        </w:rPr>
        <w:t>social,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cultural</w:t>
      </w:r>
      <w:r>
        <w:rPr>
          <w:spacing w:val="-8"/>
          <w:sz w:val="24"/>
        </w:rPr>
        <w:t> </w:t>
      </w:r>
      <w:r>
        <w:rPr>
          <w:sz w:val="24"/>
        </w:rPr>
        <w:t>difficulties.</w:t>
      </w:r>
    </w:p>
    <w:p>
      <w:pPr>
        <w:pStyle w:val="ListParagraph"/>
        <w:numPr>
          <w:ilvl w:val="3"/>
          <w:numId w:val="15"/>
        </w:numPr>
        <w:tabs>
          <w:tab w:pos="1578" w:val="left" w:leader="none"/>
        </w:tabs>
        <w:spacing w:line="357" w:lineRule="auto" w:before="202" w:after="0"/>
        <w:ind w:left="820" w:right="1445" w:firstLine="0"/>
        <w:jc w:val="both"/>
        <w:rPr>
          <w:sz w:val="24"/>
        </w:rPr>
      </w:pPr>
      <w:r>
        <w:rPr>
          <w:b/>
          <w:i/>
          <w:sz w:val="24"/>
        </w:rPr>
        <w:t>Diagnosis of subdivisions of major genotypes</w:t>
      </w:r>
      <w:r>
        <w:rPr>
          <w:b/>
          <w:sz w:val="24"/>
        </w:rPr>
        <w:t>: </w:t>
      </w:r>
      <w:r>
        <w:rPr>
          <w:sz w:val="24"/>
        </w:rPr>
        <w:t>This includes diagnosis of such major</w:t>
      </w:r>
      <w:r>
        <w:rPr>
          <w:spacing w:val="1"/>
          <w:sz w:val="24"/>
        </w:rPr>
        <w:t> </w:t>
      </w:r>
      <w:r>
        <w:rPr>
          <w:sz w:val="24"/>
        </w:rPr>
        <w:t>genotypes as the heterozygous and homozygous α</w:t>
      </w:r>
      <w:r>
        <w:rPr>
          <w:sz w:val="24"/>
          <w:vertAlign w:val="superscript"/>
        </w:rPr>
        <w:t>+</w:t>
      </w:r>
      <w:r>
        <w:rPr>
          <w:sz w:val="24"/>
          <w:vertAlign w:val="baseline"/>
        </w:rPr>
        <w:t>-thalassaemias. The diagnosis is done using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 restriction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enzyme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Bam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HI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(Serjeant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Serjeant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2001).</w:t>
      </w:r>
    </w:p>
    <w:p>
      <w:pPr>
        <w:pStyle w:val="Heading1"/>
        <w:numPr>
          <w:ilvl w:val="2"/>
          <w:numId w:val="15"/>
        </w:numPr>
        <w:tabs>
          <w:tab w:pos="1602" w:val="left" w:leader="none"/>
        </w:tabs>
        <w:spacing w:line="240" w:lineRule="auto" w:before="206" w:after="0"/>
        <w:ind w:left="1601" w:right="0" w:hanging="782"/>
        <w:jc w:val="both"/>
      </w:pPr>
      <w:bookmarkStart w:name="_TOC_250037" w:id="17"/>
      <w:r>
        <w:rPr/>
        <w:t>Clinical</w:t>
      </w:r>
      <w:r>
        <w:rPr>
          <w:spacing w:val="-7"/>
        </w:rPr>
        <w:t> </w:t>
      </w:r>
      <w:r>
        <w:rPr/>
        <w:t>Features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bookmarkEnd w:id="17"/>
      <w:r>
        <w:rPr/>
        <w:t>Complications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35"/>
        <w:jc w:val="both"/>
      </w:pPr>
      <w:r>
        <w:rPr/>
        <w:t>The versatile clinical features of SCD result from chronic variable intravascular haemolysis,</w:t>
      </w:r>
      <w:r>
        <w:rPr>
          <w:spacing w:val="1"/>
        </w:rPr>
        <w:t> </w:t>
      </w:r>
      <w:r>
        <w:rPr/>
        <w:t>microvascular ischemia and organ damage (Aliyu </w:t>
      </w:r>
      <w:r>
        <w:rPr>
          <w:i/>
        </w:rPr>
        <w:t>et al</w:t>
      </w:r>
      <w:r>
        <w:rPr/>
        <w:t>., 2006). The severity and nature of tissue</w:t>
      </w:r>
      <w:r>
        <w:rPr>
          <w:spacing w:val="1"/>
        </w:rPr>
        <w:t> </w:t>
      </w:r>
      <w:r>
        <w:rPr/>
        <w:t>involvement depends on several internal environmental factors. These include, the amount of</w:t>
      </w:r>
      <w:r>
        <w:rPr>
          <w:spacing w:val="1"/>
        </w:rPr>
        <w:t> </w:t>
      </w:r>
      <w:r>
        <w:rPr/>
        <w:t>HbS present, the quantity of HbF, haematocrit level, immunological competence of the patient,</w:t>
      </w:r>
      <w:r>
        <w:rPr>
          <w:spacing w:val="1"/>
        </w:rPr>
        <w:t> </w:t>
      </w:r>
      <w:r>
        <w:rPr/>
        <w:t>and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haemodynamics</w:t>
      </w:r>
      <w:r>
        <w:rPr>
          <w:spacing w:val="37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43"/>
        </w:rPr>
        <w:t> </w:t>
      </w:r>
      <w:r>
        <w:rPr/>
        <w:t>organ</w:t>
      </w:r>
      <w:r>
        <w:rPr>
          <w:spacing w:val="35"/>
        </w:rPr>
        <w:t> </w:t>
      </w:r>
      <w:r>
        <w:rPr/>
        <w:t>or</w:t>
      </w:r>
      <w:r>
        <w:rPr>
          <w:spacing w:val="42"/>
        </w:rPr>
        <w:t> </w:t>
      </w:r>
      <w:r>
        <w:rPr/>
        <w:t>tissue</w:t>
      </w:r>
      <w:r>
        <w:rPr>
          <w:spacing w:val="43"/>
        </w:rPr>
        <w:t> </w:t>
      </w:r>
      <w:r>
        <w:rPr/>
        <w:t>affected</w:t>
      </w:r>
      <w:r>
        <w:rPr>
          <w:spacing w:val="39"/>
        </w:rPr>
        <w:t> </w:t>
      </w:r>
      <w:r>
        <w:rPr/>
        <w:t>(Konotey-Ahulu,</w:t>
      </w:r>
      <w:r>
        <w:rPr>
          <w:spacing w:val="43"/>
        </w:rPr>
        <w:t> </w:t>
      </w:r>
      <w:r>
        <w:rPr/>
        <w:t>1991).</w:t>
      </w:r>
      <w:r>
        <w:rPr>
          <w:spacing w:val="42"/>
        </w:rPr>
        <w:t> </w:t>
      </w:r>
      <w:r>
        <w:rPr/>
        <w:t>All</w:t>
      </w:r>
      <w:r>
        <w:rPr>
          <w:spacing w:val="35"/>
        </w:rPr>
        <w:t> </w:t>
      </w:r>
      <w:r>
        <w:rPr/>
        <w:t>of</w:t>
      </w:r>
      <w:r>
        <w:rPr>
          <w:spacing w:val="37"/>
        </w:rPr>
        <w:t> </w:t>
      </w:r>
      <w:r>
        <w:rPr/>
        <w:t>these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55" w:lineRule="auto" w:before="72"/>
        <w:ind w:left="820" w:right="1442"/>
        <w:jc w:val="both"/>
      </w:pPr>
      <w:r>
        <w:rPr/>
        <w:t>contribute to the end organ damage and other complications which are seen in the SCD patient.</w:t>
      </w:r>
      <w:r>
        <w:rPr>
          <w:spacing w:val="1"/>
        </w:rPr>
        <w:t> </w:t>
      </w:r>
      <w:r>
        <w:rPr/>
        <w:t>Some</w:t>
      </w:r>
      <w:r>
        <w:rPr>
          <w:spacing w:val="-1"/>
        </w:rPr>
        <w:t> </w:t>
      </w:r>
      <w:r>
        <w:rPr/>
        <w:t>clinical</w:t>
      </w:r>
      <w:r>
        <w:rPr>
          <w:spacing w:val="-4"/>
        </w:rPr>
        <w:t> </w:t>
      </w:r>
      <w:r>
        <w:rPr/>
        <w:t>features</w:t>
      </w:r>
      <w:r>
        <w:rPr>
          <w:spacing w:val="-2"/>
        </w:rPr>
        <w:t> </w:t>
      </w:r>
      <w:r>
        <w:rPr/>
        <w:t>and complications</w:t>
      </w:r>
      <w:r>
        <w:rPr>
          <w:spacing w:val="-2"/>
        </w:rPr>
        <w:t> </w:t>
      </w:r>
      <w:r>
        <w:rPr/>
        <w:t>seen in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SCD patient</w:t>
      </w:r>
      <w:r>
        <w:rPr>
          <w:spacing w:val="5"/>
        </w:rPr>
        <w:t> </w:t>
      </w:r>
      <w:r>
        <w:rPr/>
        <w:t>are</w:t>
      </w:r>
      <w:r>
        <w:rPr>
          <w:spacing w:val="-6"/>
        </w:rPr>
        <w:t> </w:t>
      </w:r>
      <w:r>
        <w:rPr/>
        <w:t>discussed</w:t>
      </w:r>
      <w:r>
        <w:rPr>
          <w:spacing w:val="5"/>
        </w:rPr>
        <w:t> </w:t>
      </w:r>
      <w:r>
        <w:rPr/>
        <w:t>below.</w:t>
      </w:r>
    </w:p>
    <w:p>
      <w:pPr>
        <w:pStyle w:val="Heading1"/>
        <w:numPr>
          <w:ilvl w:val="0"/>
          <w:numId w:val="17"/>
        </w:numPr>
        <w:tabs>
          <w:tab w:pos="1540" w:val="left" w:leader="none"/>
        </w:tabs>
        <w:spacing w:line="240" w:lineRule="auto" w:before="210" w:after="0"/>
        <w:ind w:left="1540" w:right="0" w:hanging="360"/>
        <w:jc w:val="both"/>
      </w:pPr>
      <w:r>
        <w:rPr/>
        <w:t>Infection,</w:t>
      </w:r>
      <w:r>
        <w:rPr>
          <w:spacing w:val="1"/>
        </w:rPr>
        <w:t> </w:t>
      </w:r>
      <w:r>
        <w:rPr/>
        <w:t>Sepsis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Meningitis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36"/>
        <w:jc w:val="both"/>
      </w:pPr>
      <w:r>
        <w:rPr/>
        <w:t>Serious bacterial infections are a major cause of morbidity and mortality in patients with SCD,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susceptibility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vaso-occlusive</w:t>
      </w:r>
      <w:r>
        <w:rPr>
          <w:spacing w:val="1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(Steinberg,</w:t>
      </w:r>
      <w:r>
        <w:rPr>
          <w:spacing w:val="1"/>
        </w:rPr>
        <w:t> </w:t>
      </w:r>
      <w:r>
        <w:rPr/>
        <w:t>1999). Severe, overwhelming septicaemia/meningitis due to </w:t>
      </w:r>
      <w:r>
        <w:rPr>
          <w:i/>
        </w:rPr>
        <w:t>Streptococcus pneumoniae </w:t>
      </w:r>
      <w:r>
        <w:rPr/>
        <w:t>is the</w:t>
      </w:r>
      <w:r>
        <w:rPr>
          <w:spacing w:val="1"/>
        </w:rPr>
        <w:t> </w:t>
      </w:r>
      <w:r>
        <w:rPr/>
        <w:t>most common cause of death during early childhood in the United States and other developed</w:t>
      </w:r>
      <w:r>
        <w:rPr>
          <w:spacing w:val="1"/>
        </w:rPr>
        <w:t> </w:t>
      </w:r>
      <w:r>
        <w:rPr/>
        <w:t>countries (SCAC, 2002). In early childhood, 85-95% infections are caused by </w:t>
      </w:r>
      <w:r>
        <w:rPr>
          <w:i/>
        </w:rPr>
        <w:t>Streptococcus</w:t>
      </w:r>
      <w:r>
        <w:rPr>
          <w:i/>
          <w:spacing w:val="1"/>
        </w:rPr>
        <w:t> </w:t>
      </w:r>
      <w:r>
        <w:rPr>
          <w:i/>
        </w:rPr>
        <w:t>pneumoniae </w:t>
      </w:r>
      <w:r>
        <w:rPr/>
        <w:t>(Serjeant, 2005). However,</w:t>
      </w:r>
      <w:r>
        <w:rPr>
          <w:spacing w:val="1"/>
        </w:rPr>
        <w:t> </w:t>
      </w:r>
      <w:r>
        <w:rPr/>
        <w:t>more recent</w:t>
      </w:r>
      <w:r>
        <w:rPr>
          <w:spacing w:val="1"/>
        </w:rPr>
        <w:t> </w:t>
      </w:r>
      <w:r>
        <w:rPr/>
        <w:t>studies of septicaemia</w:t>
      </w:r>
      <w:r>
        <w:rPr>
          <w:spacing w:val="1"/>
        </w:rPr>
        <w:t> </w:t>
      </w:r>
      <w:r>
        <w:rPr/>
        <w:t>in SCD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Uganda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10%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septicaemias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i/>
        </w:rPr>
        <w:t>Streptococcus pneumonia </w:t>
      </w:r>
      <w:r>
        <w:rPr/>
        <w:t>(Akuse, 1996). Prevention and early aggressive treatment of infection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SCD.</w:t>
      </w:r>
      <w:r>
        <w:rPr>
          <w:spacing w:val="1"/>
        </w:rPr>
        <w:t> </w:t>
      </w:r>
      <w:r>
        <w:rPr/>
        <w:t>Prophylactic</w:t>
      </w:r>
      <w:r>
        <w:rPr>
          <w:spacing w:val="1"/>
        </w:rPr>
        <w:t> </w:t>
      </w:r>
      <w:r>
        <w:rPr/>
        <w:t>penicillin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proven</w:t>
      </w:r>
      <w:r>
        <w:rPr>
          <w:spacing w:val="1"/>
        </w:rPr>
        <w:t> </w:t>
      </w:r>
      <w:r>
        <w:rPr/>
        <w:t>effective in reducing the number of life-threatening episodes of pneumococcal sepsis in children</w:t>
      </w:r>
      <w:r>
        <w:rPr>
          <w:spacing w:val="1"/>
        </w:rPr>
        <w:t> </w:t>
      </w:r>
      <w:r>
        <w:rPr/>
        <w:t>with SCD under the age of 5years in most states in America. However, pneumococcal vaccines</w:t>
      </w:r>
      <w:r>
        <w:rPr>
          <w:spacing w:val="1"/>
        </w:rPr>
        <w:t> </w:t>
      </w:r>
      <w:r>
        <w:rPr/>
        <w:t>may not be effective in Nigeria where </w:t>
      </w:r>
      <w:r>
        <w:rPr>
          <w:i/>
        </w:rPr>
        <w:t>Streptococcus pneumonia</w:t>
      </w:r>
      <w:r>
        <w:rPr/>
        <w:t>e is not predominant. In a study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Lagos,</w:t>
      </w:r>
      <w:r>
        <w:rPr>
          <w:spacing w:val="1"/>
        </w:rPr>
        <w:t> </w:t>
      </w:r>
      <w:r>
        <w:rPr/>
        <w:t>Kaduna,</w:t>
      </w:r>
      <w:r>
        <w:rPr>
          <w:spacing w:val="1"/>
        </w:rPr>
        <w:t> </w:t>
      </w:r>
      <w:r>
        <w:rPr/>
        <w:t>Benin,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Ibadan,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predominant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>
          <w:i/>
        </w:rPr>
        <w:t>Staphylococcus </w:t>
      </w:r>
      <w:r>
        <w:rPr/>
        <w:t>species, </w:t>
      </w:r>
      <w:r>
        <w:rPr>
          <w:i/>
        </w:rPr>
        <w:t>Salmonella </w:t>
      </w:r>
      <w:r>
        <w:rPr/>
        <w:t>Species, </w:t>
      </w:r>
      <w:r>
        <w:rPr>
          <w:i/>
        </w:rPr>
        <w:t>Klebsiella</w:t>
      </w:r>
      <w:r>
        <w:rPr/>
        <w:t>, and </w:t>
      </w:r>
      <w:r>
        <w:rPr>
          <w:i/>
        </w:rPr>
        <w:t>Escherichia coli</w:t>
      </w:r>
      <w:r>
        <w:rPr>
          <w:i/>
          <w:spacing w:val="1"/>
        </w:rPr>
        <w:t> </w:t>
      </w:r>
      <w:r>
        <w:rPr/>
        <w:t>(Akuse, 1996;</w:t>
      </w:r>
      <w:r>
        <w:rPr>
          <w:spacing w:val="1"/>
        </w:rPr>
        <w:t> </w:t>
      </w:r>
      <w:r>
        <w:rPr/>
        <w:t>Kizito</w:t>
      </w:r>
      <w:r>
        <w:rPr>
          <w:spacing w:val="6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 2007).</w:t>
      </w:r>
    </w:p>
    <w:p>
      <w:pPr>
        <w:pStyle w:val="Heading1"/>
        <w:numPr>
          <w:ilvl w:val="0"/>
          <w:numId w:val="17"/>
        </w:numPr>
        <w:tabs>
          <w:tab w:pos="1540" w:val="left" w:leader="none"/>
        </w:tabs>
        <w:spacing w:line="240" w:lineRule="auto" w:before="198" w:after="0"/>
        <w:ind w:left="1540" w:right="0" w:hanging="360"/>
        <w:jc w:val="both"/>
      </w:pPr>
      <w:r>
        <w:rPr/>
        <w:t>Splenic</w:t>
      </w:r>
      <w:r>
        <w:rPr>
          <w:spacing w:val="-4"/>
        </w:rPr>
        <w:t> </w:t>
      </w:r>
      <w:r>
        <w:rPr/>
        <w:t>Dysfunction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Acute</w:t>
      </w:r>
      <w:r>
        <w:rPr>
          <w:spacing w:val="-9"/>
        </w:rPr>
        <w:t> </w:t>
      </w:r>
      <w:r>
        <w:rPr/>
        <w:t>Splenic</w:t>
      </w:r>
      <w:r>
        <w:rPr>
          <w:spacing w:val="-3"/>
        </w:rPr>
        <w:t> </w:t>
      </w:r>
      <w:r>
        <w:rPr/>
        <w:t>Sequestration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45"/>
        <w:jc w:val="both"/>
      </w:pPr>
      <w:r>
        <w:rPr/>
        <w:t>Splenic sequestration is a significant complication of SCD and a leading cause of death in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(Steinberg,</w:t>
      </w:r>
      <w:r>
        <w:rPr>
          <w:spacing w:val="1"/>
        </w:rPr>
        <w:t> </w:t>
      </w:r>
      <w:r>
        <w:rPr/>
        <w:t>1999).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spleen</w:t>
      </w:r>
      <w:r>
        <w:rPr>
          <w:spacing w:val="1"/>
        </w:rPr>
        <w:t> </w:t>
      </w:r>
      <w:r>
        <w:rPr/>
        <w:t>possesses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slow,</w:t>
      </w:r>
      <w:r>
        <w:rPr>
          <w:spacing w:val="1"/>
        </w:rPr>
        <w:t> </w:t>
      </w:r>
      <w:r>
        <w:rPr/>
        <w:t>tortuous</w:t>
      </w:r>
      <w:r>
        <w:rPr>
          <w:spacing w:val="1"/>
        </w:rPr>
        <w:t> </w:t>
      </w:r>
      <w:r>
        <w:rPr/>
        <w:t>microcirculation.</w:t>
      </w:r>
      <w:r>
        <w:rPr>
          <w:spacing w:val="60"/>
        </w:rPr>
        <w:t> </w:t>
      </w:r>
      <w:r>
        <w:rPr/>
        <w:t>This</w:t>
      </w:r>
      <w:r>
        <w:rPr>
          <w:spacing w:val="1"/>
        </w:rPr>
        <w:t> </w:t>
      </w:r>
      <w:r>
        <w:rPr/>
        <w:t>increases the susceptibility of circulating RBCs to congestion, sludging, and polymerization,</w:t>
      </w:r>
      <w:r>
        <w:rPr>
          <w:spacing w:val="1"/>
        </w:rPr>
        <w:t> </w:t>
      </w:r>
      <w:r>
        <w:rPr/>
        <w:t>leading to formation of rigid sickled cells (Lonergan </w:t>
      </w:r>
      <w:r>
        <w:rPr>
          <w:i/>
        </w:rPr>
        <w:t>et al</w:t>
      </w:r>
      <w:r>
        <w:rPr/>
        <w:t>., 2001). The sickled RBCs formed</w:t>
      </w:r>
      <w:r>
        <w:rPr>
          <w:spacing w:val="1"/>
        </w:rPr>
        <w:t> </w:t>
      </w:r>
      <w:r>
        <w:rPr/>
        <w:t>cause occlusion of the reticular networks and interendothelial slits in the spleen, obstructing</w:t>
      </w:r>
      <w:r>
        <w:rPr>
          <w:spacing w:val="1"/>
        </w:rPr>
        <w:t> </w:t>
      </w:r>
      <w:r>
        <w:rPr/>
        <w:t>splenic blood flow which may result in chronic sustained splenic enlargement, acute intermittent</w:t>
      </w:r>
      <w:r>
        <w:rPr>
          <w:spacing w:val="1"/>
        </w:rPr>
        <w:t> </w:t>
      </w:r>
      <w:r>
        <w:rPr/>
        <w:t>enlargement</w:t>
      </w:r>
      <w:r>
        <w:rPr>
          <w:spacing w:val="1"/>
        </w:rPr>
        <w:t> </w:t>
      </w:r>
      <w:r>
        <w:rPr/>
        <w:t>(acute</w:t>
      </w:r>
      <w:r>
        <w:rPr>
          <w:spacing w:val="1"/>
        </w:rPr>
        <w:t> </w:t>
      </w:r>
      <w:r>
        <w:rPr/>
        <w:t>splenic</w:t>
      </w:r>
      <w:r>
        <w:rPr>
          <w:spacing w:val="1"/>
        </w:rPr>
        <w:t> </w:t>
      </w:r>
      <w:r>
        <w:rPr/>
        <w:t>seqeuestration),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progressive</w:t>
      </w:r>
      <w:r>
        <w:rPr>
          <w:spacing w:val="1"/>
        </w:rPr>
        <w:t> </w:t>
      </w:r>
      <w:r>
        <w:rPr/>
        <w:t>splenic</w:t>
      </w:r>
      <w:r>
        <w:rPr>
          <w:spacing w:val="1"/>
        </w:rPr>
        <w:t> </w:t>
      </w:r>
      <w:r>
        <w:rPr/>
        <w:t>fibrosis</w:t>
      </w:r>
      <w:r>
        <w:rPr>
          <w:spacing w:val="1"/>
        </w:rPr>
        <w:t> </w:t>
      </w:r>
      <w:r>
        <w:rPr/>
        <w:t>(Serjeant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Serjeant 2001). Chronic enlarged spleen which is common in the tropics and subtropics may also</w:t>
      </w:r>
      <w:r>
        <w:rPr>
          <w:spacing w:val="-57"/>
        </w:rPr>
        <w:t> </w:t>
      </w:r>
      <w:r>
        <w:rPr/>
        <w:t>be caused by infections such as malaria, leishmaniasis, schistosomiasis, rickettsia, as well as</w:t>
      </w:r>
      <w:r>
        <w:rPr>
          <w:spacing w:val="1"/>
        </w:rPr>
        <w:t> </w:t>
      </w:r>
      <w:r>
        <w:rPr/>
        <w:t>bacterial</w:t>
      </w:r>
      <w:r>
        <w:rPr>
          <w:spacing w:val="18"/>
        </w:rPr>
        <w:t> </w:t>
      </w:r>
      <w:r>
        <w:rPr/>
        <w:t>and</w:t>
      </w:r>
      <w:r>
        <w:rPr>
          <w:spacing w:val="27"/>
        </w:rPr>
        <w:t> </w:t>
      </w:r>
      <w:r>
        <w:rPr/>
        <w:t>viral</w:t>
      </w:r>
      <w:r>
        <w:rPr>
          <w:spacing w:val="18"/>
        </w:rPr>
        <w:t> </w:t>
      </w:r>
      <w:r>
        <w:rPr/>
        <w:t>infections</w:t>
      </w:r>
      <w:r>
        <w:rPr>
          <w:spacing w:val="21"/>
        </w:rPr>
        <w:t> </w:t>
      </w:r>
      <w:r>
        <w:rPr/>
        <w:t>(Konotey</w:t>
      </w:r>
      <w:r>
        <w:rPr>
          <w:spacing w:val="17"/>
        </w:rPr>
        <w:t> </w:t>
      </w:r>
      <w:r>
        <w:rPr/>
        <w:t>Ahulu,</w:t>
      </w:r>
      <w:r>
        <w:rPr>
          <w:spacing w:val="24"/>
        </w:rPr>
        <w:t> </w:t>
      </w:r>
      <w:r>
        <w:rPr/>
        <w:t>1991).</w:t>
      </w:r>
      <w:r>
        <w:rPr>
          <w:spacing w:val="24"/>
        </w:rPr>
        <w:t> </w:t>
      </w:r>
      <w:r>
        <w:rPr/>
        <w:t>Progressive</w:t>
      </w:r>
      <w:r>
        <w:rPr>
          <w:spacing w:val="27"/>
        </w:rPr>
        <w:t> </w:t>
      </w:r>
      <w:r>
        <w:rPr/>
        <w:t>splenic</w:t>
      </w:r>
      <w:r>
        <w:rPr>
          <w:spacing w:val="26"/>
        </w:rPr>
        <w:t> </w:t>
      </w:r>
      <w:r>
        <w:rPr/>
        <w:t>fibrosis</w:t>
      </w:r>
      <w:r>
        <w:rPr>
          <w:spacing w:val="25"/>
        </w:rPr>
        <w:t> </w:t>
      </w:r>
      <w:r>
        <w:rPr/>
        <w:t>in</w:t>
      </w:r>
      <w:r>
        <w:rPr>
          <w:spacing w:val="17"/>
        </w:rPr>
        <w:t> </w:t>
      </w:r>
      <w:r>
        <w:rPr/>
        <w:t>which</w:t>
      </w:r>
      <w:r>
        <w:rPr>
          <w:spacing w:val="18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60" w:lineRule="auto" w:before="72"/>
        <w:ind w:left="820" w:right="1436"/>
        <w:jc w:val="both"/>
      </w:pPr>
      <w:r>
        <w:rPr/>
        <w:t>spleen in the SCD patient shrinks with age into a small fibrotic lump of no functional importance</w:t>
      </w:r>
      <w:r>
        <w:rPr>
          <w:spacing w:val="-57"/>
        </w:rPr>
        <w:t> </w:t>
      </w:r>
      <w:r>
        <w:rPr/>
        <w:t>also occurs (Konotey Ahulu, 1991), this seriously compromises its immune functions which</w:t>
      </w:r>
      <w:r>
        <w:rPr>
          <w:spacing w:val="1"/>
        </w:rPr>
        <w:t> </w:t>
      </w:r>
      <w:r>
        <w:rPr/>
        <w:t>include the removal of particulate blood borne antigens and the production of specific antibodies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renders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SCD</w:t>
      </w:r>
      <w:r>
        <w:rPr>
          <w:spacing w:val="1"/>
        </w:rPr>
        <w:t> </w:t>
      </w:r>
      <w:r>
        <w:rPr/>
        <w:t>prone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overwhelming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borne</w:t>
      </w:r>
      <w:r>
        <w:rPr>
          <w:spacing w:val="1"/>
        </w:rPr>
        <w:t> </w:t>
      </w:r>
      <w:r>
        <w:rPr/>
        <w:t>infections</w:t>
      </w:r>
      <w:r>
        <w:rPr>
          <w:spacing w:val="60"/>
        </w:rPr>
        <w:t> </w:t>
      </w:r>
      <w:r>
        <w:rPr/>
        <w:t>(Konotey</w:t>
      </w:r>
      <w:r>
        <w:rPr>
          <w:spacing w:val="-57"/>
        </w:rPr>
        <w:t> </w:t>
      </w:r>
      <w:r>
        <w:rPr/>
        <w:t>Ahulu, 1991). At 6 months of age, 14% of patients with SCD are asplenic; at 2 years, 58% are</w:t>
      </w:r>
      <w:r>
        <w:rPr>
          <w:spacing w:val="1"/>
        </w:rPr>
        <w:t> </w:t>
      </w:r>
      <w:r>
        <w:rPr/>
        <w:t>asplenic;</w:t>
      </w:r>
      <w:r>
        <w:rPr>
          <w:spacing w:val="-3"/>
        </w:rPr>
        <w:t> </w:t>
      </w:r>
      <w:r>
        <w:rPr/>
        <w:t>and</w:t>
      </w:r>
      <w:r>
        <w:rPr>
          <w:spacing w:val="6"/>
        </w:rPr>
        <w:t> </w:t>
      </w:r>
      <w:r>
        <w:rPr/>
        <w:t>by</w:t>
      </w:r>
      <w:r>
        <w:rPr>
          <w:spacing w:val="-9"/>
        </w:rPr>
        <w:t> </w:t>
      </w:r>
      <w:r>
        <w:rPr/>
        <w:t>5</w:t>
      </w:r>
      <w:r>
        <w:rPr>
          <w:spacing w:val="7"/>
        </w:rPr>
        <w:t> </w:t>
      </w:r>
      <w:r>
        <w:rPr/>
        <w:t>years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age,</w:t>
      </w:r>
      <w:r>
        <w:rPr>
          <w:spacing w:val="4"/>
        </w:rPr>
        <w:t> </w:t>
      </w:r>
      <w:r>
        <w:rPr/>
        <w:t>94%</w:t>
      </w:r>
      <w:r>
        <w:rPr>
          <w:spacing w:val="3"/>
        </w:rPr>
        <w:t> </w:t>
      </w:r>
      <w:r>
        <w:rPr/>
        <w:t>are asplenic</w:t>
      </w:r>
      <w:r>
        <w:rPr>
          <w:spacing w:val="1"/>
        </w:rPr>
        <w:t> </w:t>
      </w:r>
      <w:r>
        <w:rPr/>
        <w:t>(Lonergan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2001).</w:t>
      </w:r>
    </w:p>
    <w:p>
      <w:pPr>
        <w:pStyle w:val="Heading1"/>
        <w:numPr>
          <w:ilvl w:val="0"/>
          <w:numId w:val="17"/>
        </w:numPr>
        <w:tabs>
          <w:tab w:pos="1540" w:val="left" w:leader="none"/>
        </w:tabs>
        <w:spacing w:line="240" w:lineRule="auto" w:before="199" w:after="0"/>
        <w:ind w:left="1540" w:right="0" w:hanging="360"/>
        <w:jc w:val="both"/>
      </w:pPr>
      <w:r>
        <w:rPr/>
        <w:t>Anaemia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37"/>
        <w:jc w:val="both"/>
      </w:pPr>
      <w:r>
        <w:rPr/>
        <w:t>Chronic anaemia occurs</w:t>
      </w:r>
      <w:r>
        <w:rPr>
          <w:spacing w:val="1"/>
        </w:rPr>
        <w:t> </w:t>
      </w:r>
      <w:r>
        <w:rPr/>
        <w:t>in patients with SCD especially HbSS and Sβ</w:t>
      </w:r>
      <w:r>
        <w:rPr>
          <w:vertAlign w:val="super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thalassemia.</w:t>
      </w:r>
      <w:r>
        <w:rPr>
          <w:spacing w:val="60"/>
          <w:vertAlign w:val="baseline"/>
        </w:rPr>
        <w:t> </w:t>
      </w:r>
      <w:r>
        <w:rPr>
          <w:vertAlign w:val="baseline"/>
        </w:rPr>
        <w:t>Patients</w:t>
      </w:r>
      <w:r>
        <w:rPr>
          <w:spacing w:val="1"/>
          <w:vertAlign w:val="baseline"/>
        </w:rPr>
        <w:t> </w:t>
      </w:r>
      <w:r>
        <w:rPr>
          <w:vertAlign w:val="baseline"/>
        </w:rPr>
        <w:t>with SC disease or Sβ</w:t>
      </w:r>
      <w:r>
        <w:rPr>
          <w:vertAlign w:val="superscript"/>
        </w:rPr>
        <w:t>+</w:t>
      </w:r>
      <w:r>
        <w:rPr>
          <w:vertAlign w:val="baseline"/>
        </w:rPr>
        <w:t> thalassemia usually have haemoglobin in the normal or low normal range</w:t>
      </w:r>
      <w:r>
        <w:rPr>
          <w:spacing w:val="-57"/>
          <w:vertAlign w:val="baseline"/>
        </w:rPr>
        <w:t> </w:t>
      </w:r>
      <w:r>
        <w:rPr>
          <w:vertAlign w:val="baseline"/>
        </w:rPr>
        <w:t>(SCAC,</w:t>
      </w:r>
      <w:r>
        <w:rPr>
          <w:spacing w:val="3"/>
          <w:vertAlign w:val="baseline"/>
        </w:rPr>
        <w:t> </w:t>
      </w:r>
      <w:r>
        <w:rPr>
          <w:vertAlign w:val="baseline"/>
        </w:rPr>
        <w:t>2002).</w:t>
      </w:r>
    </w:p>
    <w:p>
      <w:pPr>
        <w:pStyle w:val="BodyText"/>
        <w:spacing w:before="193"/>
        <w:ind w:left="820"/>
        <w:jc w:val="both"/>
      </w:pPr>
      <w:r>
        <w:rPr/>
        <w:t>Acute</w:t>
      </w:r>
      <w:r>
        <w:rPr>
          <w:spacing w:val="-4"/>
        </w:rPr>
        <w:t> </w:t>
      </w:r>
      <w:r>
        <w:rPr/>
        <w:t>anaemia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triggered</w:t>
      </w:r>
      <w:r>
        <w:rPr>
          <w:spacing w:val="-3"/>
        </w:rPr>
        <w:t> </w:t>
      </w:r>
      <w:r>
        <w:rPr/>
        <w:t>by: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0"/>
          <w:numId w:val="18"/>
        </w:numPr>
        <w:tabs>
          <w:tab w:pos="1540" w:val="left" w:leader="none"/>
        </w:tabs>
        <w:spacing w:line="240" w:lineRule="auto" w:before="0" w:after="0"/>
        <w:ind w:left="1540" w:right="0" w:hanging="360"/>
        <w:jc w:val="both"/>
        <w:rPr>
          <w:sz w:val="24"/>
        </w:rPr>
      </w:pPr>
      <w:r>
        <w:rPr>
          <w:sz w:val="24"/>
        </w:rPr>
        <w:t>infection</w:t>
      </w:r>
      <w:r>
        <w:rPr>
          <w:spacing w:val="-7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parvovirus</w:t>
      </w:r>
      <w:r>
        <w:rPr>
          <w:spacing w:val="-3"/>
          <w:sz w:val="24"/>
        </w:rPr>
        <w:t> </w:t>
      </w:r>
      <w:r>
        <w:rPr>
          <w:sz w:val="24"/>
        </w:rPr>
        <w:t>B-19</w:t>
      </w:r>
      <w:r>
        <w:rPr>
          <w:spacing w:val="-2"/>
          <w:sz w:val="24"/>
        </w:rPr>
        <w:t> </w:t>
      </w:r>
      <w:r>
        <w:rPr>
          <w:sz w:val="24"/>
        </w:rPr>
        <w:t>(aplastic</w:t>
      </w:r>
      <w:r>
        <w:rPr>
          <w:spacing w:val="-2"/>
          <w:sz w:val="24"/>
        </w:rPr>
        <w:t> </w:t>
      </w:r>
      <w:r>
        <w:rPr>
          <w:sz w:val="24"/>
        </w:rPr>
        <w:t>crises),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18"/>
        </w:numPr>
        <w:tabs>
          <w:tab w:pos="1539" w:val="left" w:leader="none"/>
          <w:tab w:pos="1540" w:val="left" w:leader="none"/>
        </w:tabs>
        <w:spacing w:line="240" w:lineRule="auto" w:before="0" w:after="0"/>
        <w:ind w:left="1540" w:right="0" w:hanging="360"/>
        <w:jc w:val="left"/>
        <w:rPr>
          <w:sz w:val="24"/>
        </w:rPr>
      </w:pPr>
      <w:r>
        <w:rPr>
          <w:sz w:val="24"/>
        </w:rPr>
        <w:t>suppression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bone</w:t>
      </w:r>
      <w:r>
        <w:rPr>
          <w:spacing w:val="3"/>
          <w:sz w:val="24"/>
        </w:rPr>
        <w:t> </w:t>
      </w:r>
      <w:r>
        <w:rPr>
          <w:sz w:val="24"/>
        </w:rPr>
        <w:t>marrow</w:t>
      </w:r>
      <w:r>
        <w:rPr>
          <w:spacing w:val="-1"/>
          <w:sz w:val="24"/>
        </w:rPr>
        <w:t> </w:t>
      </w:r>
      <w:r>
        <w:rPr>
          <w:sz w:val="24"/>
        </w:rPr>
        <w:t>(viral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4"/>
          <w:sz w:val="24"/>
        </w:rPr>
        <w:t> </w:t>
      </w:r>
      <w:r>
        <w:rPr>
          <w:sz w:val="24"/>
        </w:rPr>
        <w:t>other infections),</w:t>
      </w: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0"/>
          <w:numId w:val="18"/>
        </w:numPr>
        <w:tabs>
          <w:tab w:pos="1539" w:val="left" w:leader="none"/>
          <w:tab w:pos="1540" w:val="left" w:leader="none"/>
        </w:tabs>
        <w:spacing w:line="240" w:lineRule="auto" w:before="1" w:after="0"/>
        <w:ind w:left="1540" w:right="0" w:hanging="360"/>
        <w:jc w:val="left"/>
        <w:rPr>
          <w:sz w:val="24"/>
        </w:rPr>
      </w:pPr>
      <w:r>
        <w:rPr>
          <w:sz w:val="24"/>
        </w:rPr>
        <w:t>pooling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blood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spleen</w:t>
      </w:r>
      <w:r>
        <w:rPr>
          <w:spacing w:val="-6"/>
          <w:sz w:val="24"/>
        </w:rPr>
        <w:t> </w:t>
      </w:r>
      <w:r>
        <w:rPr>
          <w:sz w:val="24"/>
        </w:rPr>
        <w:t>or liver (sequestration),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18"/>
        </w:numPr>
        <w:tabs>
          <w:tab w:pos="1539" w:val="left" w:leader="none"/>
          <w:tab w:pos="1540" w:val="left" w:leader="none"/>
        </w:tabs>
        <w:spacing w:line="240" w:lineRule="auto" w:before="0" w:after="0"/>
        <w:ind w:left="1540" w:right="0" w:hanging="360"/>
        <w:jc w:val="left"/>
        <w:rPr>
          <w:sz w:val="24"/>
        </w:rPr>
      </w:pPr>
      <w:r>
        <w:rPr>
          <w:sz w:val="24"/>
        </w:rPr>
        <w:t>increased</w:t>
      </w:r>
      <w:r>
        <w:rPr>
          <w:spacing w:val="-5"/>
          <w:sz w:val="24"/>
        </w:rPr>
        <w:t> </w:t>
      </w:r>
      <w:r>
        <w:rPr>
          <w:sz w:val="24"/>
        </w:rPr>
        <w:t>intravascular</w:t>
      </w:r>
      <w:r>
        <w:rPr>
          <w:spacing w:val="-9"/>
          <w:sz w:val="24"/>
        </w:rPr>
        <w:t> </w:t>
      </w:r>
      <w:r>
        <w:rPr>
          <w:sz w:val="24"/>
        </w:rPr>
        <w:t>haemolysis,</w:t>
      </w: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0"/>
          <w:numId w:val="18"/>
        </w:numPr>
        <w:tabs>
          <w:tab w:pos="1539" w:val="left" w:leader="none"/>
          <w:tab w:pos="1540" w:val="left" w:leader="none"/>
        </w:tabs>
        <w:spacing w:line="240" w:lineRule="auto" w:before="0" w:after="0"/>
        <w:ind w:left="1540" w:right="0" w:hanging="360"/>
        <w:jc w:val="left"/>
        <w:rPr>
          <w:sz w:val="24"/>
        </w:rPr>
      </w:pPr>
      <w:r>
        <w:rPr>
          <w:sz w:val="24"/>
        </w:rPr>
        <w:t>hyper-haemolytic</w:t>
      </w:r>
      <w:r>
        <w:rPr>
          <w:spacing w:val="-3"/>
          <w:sz w:val="24"/>
        </w:rPr>
        <w:t> </w:t>
      </w:r>
      <w:r>
        <w:rPr>
          <w:sz w:val="24"/>
        </w:rPr>
        <w:t>episodes</w:t>
      </w:r>
      <w:r>
        <w:rPr>
          <w:spacing w:val="-4"/>
          <w:sz w:val="24"/>
        </w:rPr>
        <w:t> </w:t>
      </w:r>
      <w:r>
        <w:rPr>
          <w:sz w:val="24"/>
        </w:rPr>
        <w:t>(e.g., in</w:t>
      </w:r>
      <w:r>
        <w:rPr>
          <w:spacing w:val="-1"/>
          <w:sz w:val="24"/>
        </w:rPr>
        <w:t> </w:t>
      </w:r>
      <w:r>
        <w:rPr>
          <w:sz w:val="24"/>
        </w:rPr>
        <w:t>malaria)</w:t>
      </w:r>
      <w:r>
        <w:rPr>
          <w:spacing w:val="-1"/>
          <w:sz w:val="24"/>
        </w:rPr>
        <w:t> </w:t>
      </w:r>
      <w:r>
        <w:rPr>
          <w:sz w:val="24"/>
        </w:rPr>
        <w:t>(Juwah</w:t>
      </w:r>
      <w:r>
        <w:rPr>
          <w:spacing w:val="-4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-4"/>
          <w:sz w:val="24"/>
        </w:rPr>
        <w:t> </w:t>
      </w:r>
      <w:r>
        <w:rPr>
          <w:sz w:val="24"/>
        </w:rPr>
        <w:t>2004),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18"/>
        </w:numPr>
        <w:tabs>
          <w:tab w:pos="1539" w:val="left" w:leader="none"/>
          <w:tab w:pos="1540" w:val="left" w:leader="none"/>
        </w:tabs>
        <w:spacing w:line="240" w:lineRule="auto" w:before="0" w:after="0"/>
        <w:ind w:left="1540" w:right="0" w:hanging="360"/>
        <w:jc w:val="left"/>
        <w:rPr>
          <w:sz w:val="24"/>
        </w:rPr>
      </w:pPr>
      <w:r>
        <w:rPr>
          <w:sz w:val="24"/>
        </w:rPr>
        <w:t>transient</w:t>
      </w:r>
      <w:r>
        <w:rPr>
          <w:spacing w:val="1"/>
          <w:sz w:val="24"/>
        </w:rPr>
        <w:t> </w:t>
      </w:r>
      <w:r>
        <w:rPr>
          <w:sz w:val="24"/>
        </w:rPr>
        <w:t>suppression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erythropoeisis</w:t>
      </w:r>
      <w:r>
        <w:rPr>
          <w:spacing w:val="-5"/>
          <w:sz w:val="24"/>
        </w:rPr>
        <w:t> </w:t>
      </w:r>
      <w:r>
        <w:rPr>
          <w:sz w:val="24"/>
        </w:rPr>
        <w:t>(transient</w:t>
      </w:r>
      <w:r>
        <w:rPr>
          <w:spacing w:val="2"/>
          <w:sz w:val="24"/>
        </w:rPr>
        <w:t> </w:t>
      </w:r>
      <w:r>
        <w:rPr>
          <w:sz w:val="24"/>
        </w:rPr>
        <w:t>aplastic</w:t>
      </w:r>
      <w:r>
        <w:rPr>
          <w:spacing w:val="-4"/>
          <w:sz w:val="24"/>
        </w:rPr>
        <w:t> </w:t>
      </w:r>
      <w:r>
        <w:rPr>
          <w:sz w:val="24"/>
        </w:rPr>
        <w:t>crises),</w:t>
      </w: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0"/>
          <w:numId w:val="18"/>
        </w:numPr>
        <w:tabs>
          <w:tab w:pos="1539" w:val="left" w:leader="none"/>
          <w:tab w:pos="1540" w:val="left" w:leader="none"/>
        </w:tabs>
        <w:spacing w:line="240" w:lineRule="auto" w:before="0" w:after="0"/>
        <w:ind w:left="1540" w:right="0" w:hanging="360"/>
        <w:jc w:val="left"/>
        <w:rPr>
          <w:sz w:val="24"/>
        </w:rPr>
      </w:pPr>
      <w:r>
        <w:rPr>
          <w:sz w:val="24"/>
        </w:rPr>
        <w:t>other causes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anaemia</w:t>
      </w:r>
      <w:r>
        <w:rPr>
          <w:spacing w:val="-1"/>
          <w:sz w:val="24"/>
        </w:rPr>
        <w:t> </w:t>
      </w:r>
      <w:r>
        <w:rPr>
          <w:sz w:val="24"/>
        </w:rPr>
        <w:t>such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3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loss</w:t>
      </w:r>
      <w:r>
        <w:rPr>
          <w:spacing w:val="-2"/>
          <w:sz w:val="24"/>
        </w:rPr>
        <w:t> </w:t>
      </w:r>
      <w:r>
        <w:rPr>
          <w:sz w:val="24"/>
        </w:rPr>
        <w:t>(SCAC,</w:t>
      </w:r>
      <w:r>
        <w:rPr>
          <w:spacing w:val="1"/>
          <w:sz w:val="24"/>
        </w:rPr>
        <w:t> </w:t>
      </w:r>
      <w:r>
        <w:rPr>
          <w:sz w:val="24"/>
        </w:rPr>
        <w:t>2002).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7"/>
        </w:rPr>
      </w:pPr>
    </w:p>
    <w:p>
      <w:pPr>
        <w:pStyle w:val="Heading1"/>
        <w:numPr>
          <w:ilvl w:val="0"/>
          <w:numId w:val="17"/>
        </w:numPr>
        <w:tabs>
          <w:tab w:pos="1540" w:val="left" w:leader="none"/>
        </w:tabs>
        <w:spacing w:line="240" w:lineRule="auto" w:before="0" w:after="0"/>
        <w:ind w:left="1540" w:right="0" w:hanging="360"/>
        <w:jc w:val="left"/>
      </w:pPr>
      <w:r>
        <w:rPr/>
        <w:t>Chest</w:t>
      </w:r>
      <w:r>
        <w:rPr>
          <w:spacing w:val="-1"/>
        </w:rPr>
        <w:t> </w:t>
      </w:r>
      <w:r>
        <w:rPr/>
        <w:t>Pain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Acute</w:t>
      </w:r>
      <w:r>
        <w:rPr>
          <w:spacing w:val="-3"/>
        </w:rPr>
        <w:t> </w:t>
      </w:r>
      <w:r>
        <w:rPr/>
        <w:t>Chest</w:t>
      </w:r>
      <w:r>
        <w:rPr>
          <w:spacing w:val="-4"/>
        </w:rPr>
        <w:t> </w:t>
      </w:r>
      <w:r>
        <w:rPr/>
        <w:t>Syndrome</w:t>
      </w:r>
      <w:r>
        <w:rPr>
          <w:spacing w:val="-3"/>
        </w:rPr>
        <w:t> </w:t>
      </w:r>
      <w:r>
        <w:rPr/>
        <w:t>(ACS)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39"/>
        <w:jc w:val="both"/>
      </w:pPr>
      <w:r>
        <w:rPr/>
        <w:t>ACS is a term that describes an acute pulmonary illness characterised by a new pulmonary</w:t>
      </w:r>
      <w:r>
        <w:rPr>
          <w:spacing w:val="1"/>
        </w:rPr>
        <w:t> </w:t>
      </w:r>
      <w:r>
        <w:rPr/>
        <w:t>consolidation with signs of fever, chest pain, cough, dyspnea, and tachypnea (Lane, 1996).</w:t>
      </w:r>
      <w:r>
        <w:rPr>
          <w:spacing w:val="1"/>
        </w:rPr>
        <w:t> </w:t>
      </w:r>
      <w:r>
        <w:rPr/>
        <w:t>ACS</w:t>
      </w:r>
      <w:r>
        <w:rPr>
          <w:spacing w:val="1"/>
        </w:rPr>
        <w:t> </w:t>
      </w:r>
      <w:r>
        <w:rPr/>
        <w:t>affects 40% of all patients with SCD and it</w:t>
      </w:r>
      <w:r>
        <w:rPr>
          <w:spacing w:val="60"/>
        </w:rPr>
        <w:t> </w:t>
      </w:r>
      <w:r>
        <w:rPr/>
        <w:t>is more common in children, but more severe in</w:t>
      </w:r>
      <w:r>
        <w:rPr>
          <w:spacing w:val="1"/>
        </w:rPr>
        <w:t> </w:t>
      </w:r>
      <w:r>
        <w:rPr/>
        <w:t>adults (Steinberg, 1999). ACS is the second leading cause of hospitalization in patients with SCD</w:t>
      </w:r>
      <w:r>
        <w:rPr>
          <w:spacing w:val="-58"/>
        </w:rPr>
        <w:t> </w:t>
      </w:r>
      <w:r>
        <w:rPr/>
        <w:t>and</w:t>
      </w:r>
      <w:r>
        <w:rPr>
          <w:spacing w:val="33"/>
        </w:rPr>
        <w:t> </w:t>
      </w:r>
      <w:r>
        <w:rPr/>
        <w:t>has</w:t>
      </w:r>
      <w:r>
        <w:rPr>
          <w:spacing w:val="28"/>
        </w:rPr>
        <w:t> </w:t>
      </w:r>
      <w:r>
        <w:rPr/>
        <w:t>a</w:t>
      </w:r>
      <w:r>
        <w:rPr>
          <w:spacing w:val="33"/>
        </w:rPr>
        <w:t> </w:t>
      </w:r>
      <w:r>
        <w:rPr/>
        <w:t>mortality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approximately</w:t>
      </w:r>
      <w:r>
        <w:rPr>
          <w:spacing w:val="25"/>
        </w:rPr>
        <w:t> </w:t>
      </w:r>
      <w:r>
        <w:rPr/>
        <w:t>1.8%</w:t>
      </w:r>
      <w:r>
        <w:rPr>
          <w:spacing w:val="35"/>
        </w:rPr>
        <w:t> </w:t>
      </w:r>
      <w:r>
        <w:rPr/>
        <w:t>in</w:t>
      </w:r>
      <w:r>
        <w:rPr>
          <w:spacing w:val="30"/>
        </w:rPr>
        <w:t> </w:t>
      </w:r>
      <w:r>
        <w:rPr/>
        <w:t>children</w:t>
      </w:r>
      <w:r>
        <w:rPr>
          <w:spacing w:val="25"/>
        </w:rPr>
        <w:t> </w:t>
      </w:r>
      <w:r>
        <w:rPr/>
        <w:t>and</w:t>
      </w:r>
      <w:r>
        <w:rPr>
          <w:spacing w:val="29"/>
        </w:rPr>
        <w:t> </w:t>
      </w:r>
      <w:r>
        <w:rPr/>
        <w:t>4.3%</w:t>
      </w:r>
      <w:r>
        <w:rPr>
          <w:spacing w:val="36"/>
        </w:rPr>
        <w:t> </w:t>
      </w:r>
      <w:r>
        <w:rPr/>
        <w:t>in</w:t>
      </w:r>
      <w:r>
        <w:rPr>
          <w:spacing w:val="24"/>
        </w:rPr>
        <w:t> </w:t>
      </w:r>
      <w:r>
        <w:rPr/>
        <w:t>adults</w:t>
      </w:r>
      <w:r>
        <w:rPr>
          <w:spacing w:val="28"/>
        </w:rPr>
        <w:t> </w:t>
      </w:r>
      <w:r>
        <w:rPr/>
        <w:t>(Vinchinsky</w:t>
      </w:r>
      <w:r>
        <w:rPr>
          <w:spacing w:val="31"/>
        </w:rPr>
        <w:t> </w:t>
      </w:r>
      <w:r>
        <w:rPr>
          <w:i/>
        </w:rPr>
        <w:t>et</w:t>
      </w:r>
      <w:r>
        <w:rPr>
          <w:i/>
          <w:spacing w:val="30"/>
        </w:rPr>
        <w:t> </w:t>
      </w:r>
      <w:r>
        <w:rPr>
          <w:i/>
        </w:rPr>
        <w:t>al</w:t>
      </w:r>
      <w:r>
        <w:rPr/>
        <w:t>.,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60" w:lineRule="auto" w:before="72"/>
        <w:ind w:left="820" w:right="1440"/>
        <w:jc w:val="both"/>
      </w:pPr>
      <w:r>
        <w:rPr/>
        <w:t>1997). Three major causes of ACS have been proposed: pulmonary infection, embolization of</w:t>
      </w:r>
      <w:r>
        <w:rPr>
          <w:spacing w:val="1"/>
        </w:rPr>
        <w:t> </w:t>
      </w:r>
      <w:r>
        <w:rPr/>
        <w:t>bone</w:t>
      </w:r>
      <w:r>
        <w:rPr>
          <w:spacing w:val="1"/>
        </w:rPr>
        <w:t> </w:t>
      </w:r>
      <w:r>
        <w:rPr/>
        <w:t>marrow</w:t>
      </w:r>
      <w:r>
        <w:rPr>
          <w:spacing w:val="1"/>
        </w:rPr>
        <w:t> </w:t>
      </w:r>
      <w:r>
        <w:rPr/>
        <w:t>fat, and</w:t>
      </w:r>
      <w:r>
        <w:rPr>
          <w:spacing w:val="60"/>
        </w:rPr>
        <w:t> </w:t>
      </w:r>
      <w:r>
        <w:rPr/>
        <w:t>intravascular pulmonary sequestration of sickled erythrocytes (Gladwin</w:t>
      </w:r>
      <w:r>
        <w:rPr>
          <w:spacing w:val="1"/>
        </w:rPr>
        <w:t> </w:t>
      </w:r>
      <w:r>
        <w:rPr/>
        <w:t>and Vinchinsky 2008). Other factors linked to ACS include opioid use, pulmonary oedema, and</w:t>
      </w:r>
      <w:r>
        <w:rPr>
          <w:spacing w:val="1"/>
        </w:rPr>
        <w:t> </w:t>
      </w:r>
      <w:r>
        <w:rPr/>
        <w:t>parvovirus B19 (the latter may cause bone marrow infarction and lead to fat emboli) (Quinn and</w:t>
      </w:r>
      <w:r>
        <w:rPr>
          <w:spacing w:val="1"/>
        </w:rPr>
        <w:t> </w:t>
      </w:r>
      <w:r>
        <w:rPr/>
        <w:t>Buchanan</w:t>
      </w:r>
      <w:r>
        <w:rPr>
          <w:spacing w:val="-3"/>
        </w:rPr>
        <w:t> </w:t>
      </w:r>
      <w:r>
        <w:rPr/>
        <w:t>1999).</w:t>
      </w:r>
    </w:p>
    <w:p>
      <w:pPr>
        <w:pStyle w:val="Heading1"/>
        <w:numPr>
          <w:ilvl w:val="0"/>
          <w:numId w:val="17"/>
        </w:numPr>
        <w:tabs>
          <w:tab w:pos="1425" w:val="left" w:leader="none"/>
        </w:tabs>
        <w:spacing w:line="240" w:lineRule="auto" w:before="200" w:after="0"/>
        <w:ind w:left="1424" w:right="0" w:hanging="241"/>
        <w:jc w:val="both"/>
      </w:pPr>
      <w:r>
        <w:rPr/>
        <w:t>Pulmonary</w:t>
      </w:r>
      <w:r>
        <w:rPr>
          <w:spacing w:val="-5"/>
        </w:rPr>
        <w:t> </w:t>
      </w:r>
      <w:r>
        <w:rPr/>
        <w:t>arterial</w:t>
      </w:r>
      <w:r>
        <w:rPr>
          <w:spacing w:val="-8"/>
        </w:rPr>
        <w:t> </w:t>
      </w:r>
      <w:r>
        <w:rPr/>
        <w:t>hypertension</w:t>
      </w:r>
      <w:r>
        <w:rPr>
          <w:spacing w:val="-4"/>
        </w:rPr>
        <w:t> </w:t>
      </w:r>
      <w:r>
        <w:rPr/>
        <w:t>(PAH)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36"/>
        <w:jc w:val="both"/>
      </w:pPr>
      <w:r>
        <w:rPr/>
        <w:t>The depletion of nitric oxide by free haemoglobin released into circulation during haemolysis</w:t>
      </w:r>
      <w:r>
        <w:rPr>
          <w:spacing w:val="1"/>
        </w:rPr>
        <w:t> </w:t>
      </w:r>
      <w:r>
        <w:rPr/>
        <w:t>leads to an increase in blood pressure which predisposes the sickle cell patient to high blood</w:t>
      </w:r>
      <w:r>
        <w:rPr>
          <w:spacing w:val="1"/>
        </w:rPr>
        <w:t> </w:t>
      </w:r>
      <w:r>
        <w:rPr/>
        <w:t>pressure (Gladwin </w:t>
      </w:r>
      <w:r>
        <w:rPr>
          <w:i/>
        </w:rPr>
        <w:t>et al</w:t>
      </w:r>
      <w:r>
        <w:rPr/>
        <w:t>., 2003). PAH is a rare blood vessel disorder of the lungs, in which the</w:t>
      </w:r>
      <w:r>
        <w:rPr>
          <w:spacing w:val="1"/>
        </w:rPr>
        <w:t> </w:t>
      </w:r>
      <w:r>
        <w:rPr/>
        <w:t>pressure in the pulmonary artery rises above normal levels and may become life threatening. It</w:t>
      </w:r>
      <w:r>
        <w:rPr>
          <w:spacing w:val="1"/>
        </w:rPr>
        <w:t> </w:t>
      </w:r>
      <w:r>
        <w:rPr/>
        <w:t>has been defined as mean pulmonary artery pressure &gt; 25 mm Hg at rest or &gt; 30 mm Hg during</w:t>
      </w:r>
      <w:r>
        <w:rPr>
          <w:spacing w:val="1"/>
        </w:rPr>
        <w:t> </w:t>
      </w:r>
      <w:r>
        <w:rPr/>
        <w:t>exercise,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mm</w:t>
      </w:r>
      <w:r>
        <w:rPr>
          <w:spacing w:val="1"/>
        </w:rPr>
        <w:t> </w:t>
      </w:r>
      <w:r>
        <w:rPr/>
        <w:t>Hg</w:t>
      </w:r>
      <w:r>
        <w:rPr>
          <w:spacing w:val="1"/>
        </w:rPr>
        <w:t> </w:t>
      </w:r>
      <w:r>
        <w:rPr/>
        <w:t>(Clarke,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pulmonary</w:t>
      </w:r>
      <w:r>
        <w:rPr>
          <w:spacing w:val="1"/>
        </w:rPr>
        <w:t> </w:t>
      </w:r>
      <w:r>
        <w:rPr/>
        <w:t>hypertension (PAH) has been shown to have a prevalence of 30% in patients with SCD (Aliyu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2008). PAH is a risk factor for mortality in SCD (Hecht and Hecht 2010), with death rates</w:t>
      </w:r>
      <w:r>
        <w:rPr>
          <w:spacing w:val="1"/>
        </w:rPr>
        <w:t> </w:t>
      </w:r>
      <w:r>
        <w:rPr/>
        <w:t>significantly higher in sickle cell patients with the disorder as compared to patients without PAH</w:t>
      </w:r>
      <w:r>
        <w:rPr>
          <w:spacing w:val="1"/>
        </w:rPr>
        <w:t> </w:t>
      </w:r>
      <w:r>
        <w:rPr/>
        <w:t>(Castro </w:t>
      </w:r>
      <w:r>
        <w:rPr>
          <w:i/>
        </w:rPr>
        <w:t>et al</w:t>
      </w:r>
      <w:r>
        <w:rPr/>
        <w:t>., 2002). In the United States, mortality rates of 40% at 40 months after diagnosis</w:t>
      </w:r>
      <w:r>
        <w:rPr>
          <w:spacing w:val="1"/>
        </w:rPr>
        <w:t> </w:t>
      </w:r>
      <w:r>
        <w:rPr/>
        <w:t>have</w:t>
      </w:r>
      <w:r>
        <w:rPr>
          <w:spacing w:val="5"/>
        </w:rPr>
        <w:t> </w:t>
      </w:r>
      <w:r>
        <w:rPr/>
        <w:t>been</w:t>
      </w:r>
      <w:r>
        <w:rPr>
          <w:spacing w:val="-3"/>
        </w:rPr>
        <w:t> </w:t>
      </w:r>
      <w:r>
        <w:rPr/>
        <w:t>seen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patients with</w:t>
      </w:r>
      <w:r>
        <w:rPr>
          <w:spacing w:val="-3"/>
        </w:rPr>
        <w:t> </w:t>
      </w:r>
      <w:r>
        <w:rPr/>
        <w:t>SCD</w:t>
      </w:r>
      <w:r>
        <w:rPr>
          <w:spacing w:val="2"/>
        </w:rPr>
        <w:t> </w:t>
      </w:r>
      <w:r>
        <w:rPr/>
        <w:t>(Sutton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 1994).</w:t>
      </w:r>
    </w:p>
    <w:p>
      <w:pPr>
        <w:pStyle w:val="Heading1"/>
        <w:numPr>
          <w:ilvl w:val="0"/>
          <w:numId w:val="17"/>
        </w:numPr>
        <w:tabs>
          <w:tab w:pos="1540" w:val="left" w:leader="none"/>
        </w:tabs>
        <w:spacing w:line="240" w:lineRule="auto" w:before="199" w:after="0"/>
        <w:ind w:left="1540" w:right="0" w:hanging="360"/>
        <w:jc w:val="both"/>
      </w:pPr>
      <w:r>
        <w:rPr/>
        <w:t>Heart</w:t>
      </w:r>
      <w:r>
        <w:rPr>
          <w:spacing w:val="-3"/>
        </w:rPr>
        <w:t> </w:t>
      </w:r>
      <w:r>
        <w:rPr/>
        <w:t>Diseases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 w:before="1"/>
        <w:ind w:left="820" w:right="1435"/>
        <w:jc w:val="both"/>
      </w:pPr>
      <w:r>
        <w:rPr/>
        <w:t>Vascular occlusion of small and large vessels can lead to impaired myocardial function including</w:t>
      </w:r>
      <w:r>
        <w:rPr>
          <w:spacing w:val="-57"/>
        </w:rPr>
        <w:t> </w:t>
      </w:r>
      <w:r>
        <w:rPr/>
        <w:t>right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ventricular</w:t>
      </w:r>
      <w:r>
        <w:rPr>
          <w:spacing w:val="1"/>
        </w:rPr>
        <w:t> </w:t>
      </w:r>
      <w:r>
        <w:rPr/>
        <w:t>systolic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diastolic</w:t>
      </w:r>
      <w:r>
        <w:rPr>
          <w:spacing w:val="1"/>
        </w:rPr>
        <w:t> </w:t>
      </w:r>
      <w:r>
        <w:rPr/>
        <w:t>dysfunction,</w:t>
      </w:r>
      <w:r>
        <w:rPr>
          <w:spacing w:val="1"/>
        </w:rPr>
        <w:t> </w:t>
      </w:r>
      <w:r>
        <w:rPr/>
        <w:t>elevated</w:t>
      </w:r>
      <w:r>
        <w:rPr>
          <w:spacing w:val="1"/>
        </w:rPr>
        <w:t> </w:t>
      </w:r>
      <w:r>
        <w:rPr/>
        <w:t>cardiac</w:t>
      </w:r>
      <w:r>
        <w:rPr>
          <w:spacing w:val="61"/>
        </w:rPr>
        <w:t> </w:t>
      </w:r>
      <w:r>
        <w:rPr/>
        <w:t>output,</w:t>
      </w:r>
      <w:r>
        <w:rPr>
          <w:spacing w:val="1"/>
        </w:rPr>
        <w:t> </w:t>
      </w:r>
      <w:r>
        <w:rPr/>
        <w:t>cardiomegaly and myocardial ischaemia (Voskaridou </w:t>
      </w:r>
      <w:r>
        <w:rPr>
          <w:i/>
        </w:rPr>
        <w:t>et al</w:t>
      </w:r>
      <w:r>
        <w:rPr/>
        <w:t>., 2012). Progressive heart damage</w:t>
      </w:r>
      <w:r>
        <w:rPr>
          <w:spacing w:val="1"/>
        </w:rPr>
        <w:t> </w:t>
      </w:r>
      <w:r>
        <w:rPr/>
        <w:t>from iron overload occurs in patients requiring routine transfusion therapy (Voskaridou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2012). Principally, chronic anaemia</w:t>
      </w:r>
      <w:r>
        <w:rPr>
          <w:spacing w:val="1"/>
        </w:rPr>
        <w:t> </w:t>
      </w:r>
      <w:r>
        <w:rPr/>
        <w:t>increases cardiac output and may cause left</w:t>
      </w:r>
      <w:r>
        <w:rPr>
          <w:spacing w:val="1"/>
        </w:rPr>
        <w:t> </w:t>
      </w:r>
      <w:r>
        <w:rPr/>
        <w:t>ventricular</w:t>
      </w:r>
      <w:r>
        <w:rPr>
          <w:spacing w:val="1"/>
        </w:rPr>
        <w:t> </w:t>
      </w:r>
      <w:r>
        <w:rPr/>
        <w:t>enlargement</w:t>
      </w:r>
      <w:r>
        <w:rPr>
          <w:spacing w:val="5"/>
        </w:rPr>
        <w:t> </w:t>
      </w:r>
      <w:r>
        <w:rPr/>
        <w:t>and</w:t>
      </w:r>
      <w:r>
        <w:rPr>
          <w:spacing w:val="1"/>
        </w:rPr>
        <w:t> </w:t>
      </w:r>
      <w:r>
        <w:rPr/>
        <w:t>cardiac</w:t>
      </w:r>
      <w:r>
        <w:rPr>
          <w:spacing w:val="5"/>
        </w:rPr>
        <w:t> </w:t>
      </w:r>
      <w:r>
        <w:rPr/>
        <w:t>insufficiency</w:t>
      </w:r>
      <w:r>
        <w:rPr>
          <w:spacing w:val="-9"/>
        </w:rPr>
        <w:t> </w:t>
      </w:r>
      <w:r>
        <w:rPr/>
        <w:t>(De Montalembert</w:t>
      </w:r>
      <w:r>
        <w:rPr>
          <w:spacing w:val="10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2004).</w:t>
      </w:r>
    </w:p>
    <w:p>
      <w:pPr>
        <w:pStyle w:val="Heading1"/>
        <w:numPr>
          <w:ilvl w:val="0"/>
          <w:numId w:val="17"/>
        </w:numPr>
        <w:tabs>
          <w:tab w:pos="1540" w:val="left" w:leader="none"/>
        </w:tabs>
        <w:spacing w:line="240" w:lineRule="auto" w:before="199" w:after="0"/>
        <w:ind w:left="1540" w:right="0" w:hanging="360"/>
        <w:jc w:val="both"/>
      </w:pPr>
      <w:r>
        <w:rPr/>
        <w:t>Cerebrovascular</w:t>
      </w:r>
      <w:r>
        <w:rPr>
          <w:spacing w:val="-9"/>
        </w:rPr>
        <w:t> </w:t>
      </w:r>
      <w:r>
        <w:rPr/>
        <w:t>Accident</w:t>
      </w:r>
      <w:r>
        <w:rPr>
          <w:spacing w:val="-2"/>
        </w:rPr>
        <w:t> </w:t>
      </w:r>
      <w:r>
        <w:rPr/>
        <w:t>(CVA)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37"/>
        <w:jc w:val="both"/>
      </w:pPr>
      <w:r>
        <w:rPr/>
        <w:t>Approximately 25% of all patients with SCD will have a neurologic complication over their</w:t>
      </w:r>
      <w:r>
        <w:rPr>
          <w:spacing w:val="1"/>
        </w:rPr>
        <w:t> </w:t>
      </w:r>
      <w:r>
        <w:rPr/>
        <w:t>lifetime,</w:t>
      </w:r>
      <w:r>
        <w:rPr>
          <w:spacing w:val="1"/>
        </w:rPr>
        <w:t> </w:t>
      </w:r>
      <w:r>
        <w:rPr/>
        <w:t>11%</w:t>
      </w:r>
      <w:r>
        <w:rPr>
          <w:spacing w:val="1"/>
        </w:rPr>
        <w:t> </w:t>
      </w:r>
      <w:r>
        <w:rPr/>
        <w:t>of these</w:t>
      </w:r>
      <w:r>
        <w:rPr>
          <w:spacing w:val="1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(Lonergan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Individuals</w:t>
      </w:r>
      <w:r>
        <w:rPr>
          <w:spacing w:val="21"/>
        </w:rPr>
        <w:t> </w:t>
      </w:r>
      <w:r>
        <w:rPr/>
        <w:t>with</w:t>
      </w:r>
      <w:r>
        <w:rPr>
          <w:spacing w:val="19"/>
        </w:rPr>
        <w:t> </w:t>
      </w:r>
      <w:r>
        <w:rPr/>
        <w:t>SCD</w:t>
      </w:r>
      <w:r>
        <w:rPr>
          <w:spacing w:val="24"/>
        </w:rPr>
        <w:t> </w:t>
      </w:r>
      <w:r>
        <w:rPr/>
        <w:t>are</w:t>
      </w:r>
      <w:r>
        <w:rPr>
          <w:spacing w:val="23"/>
        </w:rPr>
        <w:t> </w:t>
      </w:r>
      <w:r>
        <w:rPr/>
        <w:t>at</w:t>
      </w:r>
      <w:r>
        <w:rPr>
          <w:spacing w:val="29"/>
        </w:rPr>
        <w:t> </w:t>
      </w:r>
      <w:r>
        <w:rPr/>
        <w:t>risk</w:t>
      </w:r>
      <w:r>
        <w:rPr>
          <w:spacing w:val="28"/>
        </w:rPr>
        <w:t> </w:t>
      </w:r>
      <w:r>
        <w:rPr/>
        <w:t>for</w:t>
      </w:r>
      <w:r>
        <w:rPr>
          <w:spacing w:val="25"/>
        </w:rPr>
        <w:t> </w:t>
      </w:r>
      <w:r>
        <w:rPr/>
        <w:t>a</w:t>
      </w:r>
      <w:r>
        <w:rPr>
          <w:spacing w:val="23"/>
        </w:rPr>
        <w:t> </w:t>
      </w:r>
      <w:r>
        <w:rPr/>
        <w:t>CVA</w:t>
      </w:r>
      <w:r>
        <w:rPr>
          <w:spacing w:val="19"/>
        </w:rPr>
        <w:t> </w:t>
      </w:r>
      <w:r>
        <w:rPr/>
        <w:t>at</w:t>
      </w:r>
      <w:r>
        <w:rPr>
          <w:spacing w:val="29"/>
        </w:rPr>
        <w:t> </w:t>
      </w:r>
      <w:r>
        <w:rPr/>
        <w:t>a</w:t>
      </w:r>
      <w:r>
        <w:rPr>
          <w:spacing w:val="22"/>
        </w:rPr>
        <w:t> </w:t>
      </w:r>
      <w:r>
        <w:rPr/>
        <w:t>rate</w:t>
      </w:r>
      <w:r>
        <w:rPr>
          <w:spacing w:val="18"/>
        </w:rPr>
        <w:t> </w:t>
      </w:r>
      <w:r>
        <w:rPr/>
        <w:t>of</w:t>
      </w:r>
      <w:r>
        <w:rPr>
          <w:spacing w:val="16"/>
        </w:rPr>
        <w:t> </w:t>
      </w:r>
      <w:r>
        <w:rPr/>
        <w:t>approximately</w:t>
      </w:r>
      <w:r>
        <w:rPr>
          <w:spacing w:val="19"/>
        </w:rPr>
        <w:t> </w:t>
      </w:r>
      <w:r>
        <w:rPr/>
        <w:t>0.5%</w:t>
      </w:r>
      <w:r>
        <w:rPr>
          <w:spacing w:val="26"/>
        </w:rPr>
        <w:t> </w:t>
      </w:r>
      <w:r>
        <w:rPr/>
        <w:t>per</w:t>
      </w:r>
      <w:r>
        <w:rPr>
          <w:spacing w:val="25"/>
        </w:rPr>
        <w:t> </w:t>
      </w:r>
      <w:r>
        <w:rPr/>
        <w:t>year</w:t>
      </w:r>
      <w:r>
        <w:rPr>
          <w:spacing w:val="25"/>
        </w:rPr>
        <w:t> </w:t>
      </w:r>
      <w:r>
        <w:rPr/>
        <w:t>(SCAC,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57" w:lineRule="auto" w:before="72"/>
        <w:ind w:left="820" w:right="1449"/>
        <w:jc w:val="both"/>
      </w:pPr>
      <w:r>
        <w:rPr/>
        <w:t>2002). About 10% of all children with SCD have a CVA, and recurrence is likely (Steinberg,</w:t>
      </w:r>
      <w:r>
        <w:rPr>
          <w:spacing w:val="1"/>
        </w:rPr>
        <w:t> </w:t>
      </w:r>
      <w:r>
        <w:rPr/>
        <w:t>1999). These CVA’s comprise: development of aneurysms, intracranial haemorrhage, continued</w:t>
      </w:r>
      <w:r>
        <w:rPr>
          <w:spacing w:val="1"/>
        </w:rPr>
        <w:t> </w:t>
      </w:r>
      <w:r>
        <w:rPr/>
        <w:t>vascular</w:t>
      </w:r>
      <w:r>
        <w:rPr>
          <w:spacing w:val="2"/>
        </w:rPr>
        <w:t> </w:t>
      </w:r>
      <w:r>
        <w:rPr/>
        <w:t>damage and</w:t>
      </w:r>
      <w:r>
        <w:rPr>
          <w:spacing w:val="1"/>
        </w:rPr>
        <w:t> </w:t>
      </w:r>
      <w:r>
        <w:rPr/>
        <w:t>transient</w:t>
      </w:r>
      <w:r>
        <w:rPr>
          <w:spacing w:val="6"/>
        </w:rPr>
        <w:t> </w:t>
      </w:r>
      <w:r>
        <w:rPr/>
        <w:t>ischemic</w:t>
      </w:r>
      <w:r>
        <w:rPr>
          <w:spacing w:val="1"/>
        </w:rPr>
        <w:t> </w:t>
      </w:r>
      <w:r>
        <w:rPr/>
        <w:t>strokes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children.</w:t>
      </w:r>
    </w:p>
    <w:p>
      <w:pPr>
        <w:pStyle w:val="Heading1"/>
        <w:numPr>
          <w:ilvl w:val="0"/>
          <w:numId w:val="17"/>
        </w:numPr>
        <w:tabs>
          <w:tab w:pos="1540" w:val="left" w:leader="none"/>
        </w:tabs>
        <w:spacing w:line="240" w:lineRule="auto" w:before="206" w:after="0"/>
        <w:ind w:left="1540" w:right="0" w:hanging="360"/>
        <w:jc w:val="both"/>
      </w:pPr>
      <w:r>
        <w:rPr/>
        <w:t>Ocular</w:t>
      </w:r>
      <w:r>
        <w:rPr>
          <w:spacing w:val="-8"/>
        </w:rPr>
        <w:t> </w:t>
      </w:r>
      <w:r>
        <w:rPr/>
        <w:t>Abnormalities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40"/>
        <w:jc w:val="both"/>
      </w:pPr>
      <w:r>
        <w:rPr/>
        <w:t>Red blood cell sickling can occur in the microvasculature of the eye (SCAC, 2002). Ocular</w:t>
      </w:r>
      <w:r>
        <w:rPr>
          <w:spacing w:val="1"/>
        </w:rPr>
        <w:t> </w:t>
      </w:r>
      <w:r>
        <w:rPr/>
        <w:t>findings,</w:t>
      </w:r>
      <w:r>
        <w:rPr>
          <w:spacing w:val="1"/>
        </w:rPr>
        <w:t> </w:t>
      </w:r>
      <w:r>
        <w:rPr/>
        <w:t>potentially</w:t>
      </w:r>
      <w:r>
        <w:rPr>
          <w:spacing w:val="1"/>
        </w:rPr>
        <w:t> </w:t>
      </w:r>
      <w:r>
        <w:rPr/>
        <w:t>blinding,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eyes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sickle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haemoglobinopathy including SS disease, SC disease and Sβ thalassemia (Penman and Serjeant</w:t>
      </w:r>
      <w:r>
        <w:rPr>
          <w:spacing w:val="1"/>
        </w:rPr>
        <w:t> </w:t>
      </w:r>
      <w:r>
        <w:rPr/>
        <w:t>1992). However, it is most prevalent in the HbSC patient probably due to higher levels of</w:t>
      </w:r>
      <w:r>
        <w:rPr>
          <w:spacing w:val="1"/>
        </w:rPr>
        <w:t> </w:t>
      </w:r>
      <w:r>
        <w:rPr/>
        <w:t>haemoglobin (Konotey Ahulu, 1991). In the United States, of the 0.017% African-Americans</w:t>
      </w:r>
      <w:r>
        <w:rPr>
          <w:spacing w:val="1"/>
        </w:rPr>
        <w:t> </w:t>
      </w:r>
      <w:r>
        <w:rPr/>
        <w:t>with</w:t>
      </w:r>
      <w:r>
        <w:rPr>
          <w:spacing w:val="-5"/>
        </w:rPr>
        <w:t> </w:t>
      </w:r>
      <w:r>
        <w:rPr/>
        <w:t>HbSC,</w:t>
      </w:r>
      <w:r>
        <w:rPr>
          <w:spacing w:val="3"/>
        </w:rPr>
        <w:t> </w:t>
      </w:r>
      <w:r>
        <w:rPr/>
        <w:t>as</w:t>
      </w:r>
      <w:r>
        <w:rPr>
          <w:spacing w:val="4"/>
        </w:rPr>
        <w:t> </w:t>
      </w:r>
      <w:r>
        <w:rPr/>
        <w:t>many</w:t>
      </w:r>
      <w:r>
        <w:rPr>
          <w:spacing w:val="-4"/>
        </w:rPr>
        <w:t> </w:t>
      </w:r>
      <w:r>
        <w:rPr/>
        <w:t>as</w:t>
      </w:r>
      <w:r>
        <w:rPr>
          <w:spacing w:val="-2"/>
        </w:rPr>
        <w:t> </w:t>
      </w:r>
      <w:r>
        <w:rPr/>
        <w:t>33%</w:t>
      </w:r>
      <w:r>
        <w:rPr>
          <w:spacing w:val="3"/>
        </w:rPr>
        <w:t> </w:t>
      </w:r>
      <w:r>
        <w:rPr/>
        <w:t>present</w:t>
      </w:r>
      <w:r>
        <w:rPr>
          <w:spacing w:val="6"/>
        </w:rPr>
        <w:t> </w:t>
      </w:r>
      <w:r>
        <w:rPr/>
        <w:t>with</w:t>
      </w:r>
      <w:r>
        <w:rPr>
          <w:spacing w:val="-4"/>
        </w:rPr>
        <w:t> </w:t>
      </w:r>
      <w:r>
        <w:rPr/>
        <w:t>sickle</w:t>
      </w:r>
      <w:r>
        <w:rPr>
          <w:spacing w:val="-1"/>
        </w:rPr>
        <w:t> </w:t>
      </w:r>
      <w:r>
        <w:rPr/>
        <w:t>cell</w:t>
      </w:r>
      <w:r>
        <w:rPr>
          <w:spacing w:val="-8"/>
        </w:rPr>
        <w:t> </w:t>
      </w:r>
      <w:r>
        <w:rPr/>
        <w:t>retinopathy</w:t>
      </w:r>
      <w:r>
        <w:rPr>
          <w:spacing w:val="-9"/>
        </w:rPr>
        <w:t> </w:t>
      </w:r>
      <w:r>
        <w:rPr/>
        <w:t>(McLeod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2"/>
        </w:rPr>
        <w:t> </w:t>
      </w:r>
      <w:r>
        <w:rPr/>
        <w:t>1997).</w:t>
      </w:r>
    </w:p>
    <w:p>
      <w:pPr>
        <w:pStyle w:val="Heading1"/>
        <w:numPr>
          <w:ilvl w:val="0"/>
          <w:numId w:val="17"/>
        </w:numPr>
        <w:tabs>
          <w:tab w:pos="1540" w:val="left" w:leader="none"/>
        </w:tabs>
        <w:spacing w:line="240" w:lineRule="auto" w:before="199" w:after="0"/>
        <w:ind w:left="1540" w:right="0" w:hanging="360"/>
        <w:jc w:val="both"/>
      </w:pPr>
      <w:r>
        <w:rPr/>
        <w:t>Priapism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40"/>
        <w:jc w:val="both"/>
      </w:pPr>
      <w:r>
        <w:rPr/>
        <w:t>The term priapism is restricted to a condition of persistent and prolonged penile erection, usually</w:t>
      </w:r>
      <w:r>
        <w:rPr>
          <w:spacing w:val="1"/>
        </w:rPr>
        <w:t> </w:t>
      </w:r>
      <w:r>
        <w:rPr/>
        <w:t>painful,</w:t>
      </w:r>
      <w:r>
        <w:rPr>
          <w:spacing w:val="1"/>
        </w:rPr>
        <w:t> </w:t>
      </w:r>
      <w:r>
        <w:rPr/>
        <w:t>unaccompanied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desire,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relieved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intercourse</w:t>
      </w:r>
      <w:r>
        <w:rPr>
          <w:spacing w:val="60"/>
        </w:rPr>
        <w:t> </w:t>
      </w:r>
      <w:r>
        <w:rPr/>
        <w:t>(Konotey</w:t>
      </w:r>
      <w:r>
        <w:rPr>
          <w:spacing w:val="-57"/>
        </w:rPr>
        <w:t> </w:t>
      </w:r>
      <w:r>
        <w:rPr/>
        <w:t>Ahulu, 1991). It can occur at any age and may persist for hours, days, or even weeks. 89% of</w:t>
      </w:r>
      <w:r>
        <w:rPr>
          <w:spacing w:val="1"/>
        </w:rPr>
        <w:t> </w:t>
      </w:r>
      <w:r>
        <w:rPr/>
        <w:t>males with SCD have at least one episode by the age of 20, with an average age of 12 years for</w:t>
      </w:r>
      <w:r>
        <w:rPr>
          <w:spacing w:val="1"/>
        </w:rPr>
        <w:t> </w:t>
      </w:r>
      <w:r>
        <w:rPr/>
        <w:t>the first episode (Bruno </w:t>
      </w:r>
      <w:r>
        <w:rPr>
          <w:i/>
        </w:rPr>
        <w:t>et al</w:t>
      </w:r>
      <w:r>
        <w:rPr/>
        <w:t>., 2001). The diagnosis of priapism is usually clinical (Sharpsteen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1993). The causes of priapism range from trauma/neoplasm of the spinal cord, to infection,</w:t>
      </w:r>
      <w:r>
        <w:rPr>
          <w:spacing w:val="1"/>
        </w:rPr>
        <w:t> </w:t>
      </w:r>
      <w:r>
        <w:rPr/>
        <w:t>tumour, or calculi of the urinary tract, haemorrhage into the penile substance, obstruction of</w:t>
      </w:r>
      <w:r>
        <w:rPr>
          <w:spacing w:val="1"/>
        </w:rPr>
        <w:t> </w:t>
      </w:r>
      <w:r>
        <w:rPr/>
        <w:t>venous</w:t>
      </w:r>
      <w:r>
        <w:rPr>
          <w:spacing w:val="1"/>
        </w:rPr>
        <w:t> </w:t>
      </w:r>
      <w:r>
        <w:rPr/>
        <w:t>drainage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penis,</w:t>
      </w:r>
      <w:r>
        <w:rPr>
          <w:spacing w:val="1"/>
        </w:rPr>
        <w:t> </w:t>
      </w:r>
      <w:r>
        <w:rPr/>
        <w:t>leukaemia,</w:t>
      </w:r>
      <w:r>
        <w:rPr>
          <w:spacing w:val="1"/>
        </w:rPr>
        <w:t> </w:t>
      </w:r>
      <w:r>
        <w:rPr/>
        <w:t>psychogenic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sickle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haemoglobinipathies</w:t>
      </w:r>
      <w:r>
        <w:rPr>
          <w:spacing w:val="-1"/>
        </w:rPr>
        <w:t> </w:t>
      </w:r>
      <w:r>
        <w:rPr/>
        <w:t>(Konotey</w:t>
      </w:r>
      <w:r>
        <w:rPr>
          <w:spacing w:val="-8"/>
        </w:rPr>
        <w:t> </w:t>
      </w:r>
      <w:r>
        <w:rPr/>
        <w:t>Ahulu,</w:t>
      </w:r>
      <w:r>
        <w:rPr>
          <w:spacing w:val="4"/>
        </w:rPr>
        <w:t> </w:t>
      </w:r>
      <w:r>
        <w:rPr/>
        <w:t>1991).</w:t>
      </w:r>
    </w:p>
    <w:p>
      <w:pPr>
        <w:pStyle w:val="Heading1"/>
        <w:numPr>
          <w:ilvl w:val="0"/>
          <w:numId w:val="17"/>
        </w:numPr>
        <w:tabs>
          <w:tab w:pos="1540" w:val="left" w:leader="none"/>
        </w:tabs>
        <w:spacing w:line="240" w:lineRule="auto" w:before="201" w:after="0"/>
        <w:ind w:left="1540" w:right="0" w:hanging="360"/>
        <w:jc w:val="both"/>
      </w:pPr>
      <w:r>
        <w:rPr/>
        <w:t>Avascular</w:t>
      </w:r>
      <w:r>
        <w:rPr>
          <w:spacing w:val="-8"/>
        </w:rPr>
        <w:t> </w:t>
      </w:r>
      <w:r>
        <w:rPr/>
        <w:t>Necrosis</w:t>
      </w:r>
      <w:r>
        <w:rPr>
          <w:spacing w:val="-4"/>
        </w:rPr>
        <w:t> </w:t>
      </w:r>
      <w:r>
        <w:rPr/>
        <w:t>(AVN)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43"/>
        <w:jc w:val="both"/>
      </w:pPr>
      <w:r>
        <w:rPr/>
        <w:t>Avascular necrosis (AVN) of the humeral and femoral heads, and less commonly the knees and</w:t>
      </w:r>
      <w:r>
        <w:rPr>
          <w:spacing w:val="1"/>
        </w:rPr>
        <w:t> </w:t>
      </w:r>
      <w:r>
        <w:rPr/>
        <w:t>spine affect patients with SCDs (SCAC, 2002), however, it is more common in the HbSC patient</w:t>
      </w:r>
      <w:r>
        <w:rPr>
          <w:spacing w:val="-57"/>
        </w:rPr>
        <w:t> </w:t>
      </w:r>
      <w:r>
        <w:rPr/>
        <w:t>because they have more red blood cells per unit volume of blood and therefore greater blood</w:t>
      </w:r>
      <w:r>
        <w:rPr>
          <w:spacing w:val="1"/>
        </w:rPr>
        <w:t> </w:t>
      </w:r>
      <w:r>
        <w:rPr/>
        <w:t>viscosity 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undergo</w:t>
      </w:r>
      <w:r>
        <w:rPr>
          <w:spacing w:val="1"/>
        </w:rPr>
        <w:t> </w:t>
      </w:r>
      <w:r>
        <w:rPr/>
        <w:t>sickling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localised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(Konotey Ahulu,</w:t>
      </w:r>
      <w:r>
        <w:rPr>
          <w:spacing w:val="1"/>
        </w:rPr>
        <w:t> </w:t>
      </w:r>
      <w:r>
        <w:rPr/>
        <w:t>1991).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progressive destructive process is accompanied by varying degrees of pain and disability. The</w:t>
      </w:r>
      <w:r>
        <w:rPr>
          <w:spacing w:val="1"/>
        </w:rPr>
        <w:t> </w:t>
      </w:r>
      <w:r>
        <w:rPr/>
        <w:t>diagnosis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AVN</w:t>
      </w:r>
      <w:r>
        <w:rPr>
          <w:spacing w:val="4"/>
        </w:rPr>
        <w:t> </w:t>
      </w:r>
      <w:r>
        <w:rPr/>
        <w:t>is</w:t>
      </w:r>
      <w:r>
        <w:rPr>
          <w:spacing w:val="2"/>
        </w:rPr>
        <w:t> </w:t>
      </w:r>
      <w:r>
        <w:rPr/>
        <w:t>contemplated</w:t>
      </w:r>
      <w:r>
        <w:rPr>
          <w:spacing w:val="-1"/>
        </w:rPr>
        <w:t> </w:t>
      </w:r>
      <w:r>
        <w:rPr/>
        <w:t>when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patient</w:t>
      </w:r>
      <w:r>
        <w:rPr>
          <w:spacing w:val="4"/>
        </w:rPr>
        <w:t> </w:t>
      </w:r>
      <w:r>
        <w:rPr/>
        <w:t>seeks</w:t>
      </w:r>
      <w:r>
        <w:rPr>
          <w:spacing w:val="6"/>
        </w:rPr>
        <w:t> </w:t>
      </w:r>
      <w:r>
        <w:rPr/>
        <w:t>medical</w:t>
      </w:r>
      <w:r>
        <w:rPr>
          <w:spacing w:val="-5"/>
        </w:rPr>
        <w:t> </w:t>
      </w:r>
      <w:r>
        <w:rPr/>
        <w:t>treatment</w:t>
      </w:r>
      <w:r>
        <w:rPr>
          <w:spacing w:val="9"/>
        </w:rPr>
        <w:t> </w:t>
      </w:r>
      <w:r>
        <w:rPr/>
        <w:t>for</w:t>
      </w:r>
      <w:r>
        <w:rPr>
          <w:spacing w:val="1"/>
        </w:rPr>
        <w:t> </w:t>
      </w:r>
      <w:r>
        <w:rPr/>
        <w:t>acute</w:t>
      </w:r>
      <w:r>
        <w:rPr>
          <w:spacing w:val="-2"/>
        </w:rPr>
        <w:t> </w:t>
      </w:r>
      <w:r>
        <w:rPr/>
        <w:t>pain</w:t>
      </w:r>
      <w:r>
        <w:rPr>
          <w:spacing w:val="-1"/>
        </w:rPr>
        <w:t> </w:t>
      </w:r>
      <w:r>
        <w:rPr/>
        <w:t>in the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55" w:lineRule="auto" w:before="72"/>
        <w:ind w:left="820" w:right="1447"/>
        <w:jc w:val="both"/>
      </w:pPr>
      <w:r>
        <w:rPr/>
        <w:t>hips,</w:t>
      </w:r>
      <w:r>
        <w:rPr>
          <w:spacing w:val="1"/>
        </w:rPr>
        <w:t> </w:t>
      </w:r>
      <w:r>
        <w:rPr/>
        <w:t>buttocks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shoulders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motion</w:t>
      </w:r>
      <w:r>
        <w:rPr>
          <w:spacing w:val="1"/>
        </w:rPr>
        <w:t> </w:t>
      </w:r>
      <w:r>
        <w:rPr/>
        <w:t>limitation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pain.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intermittent</w:t>
      </w:r>
      <w:r>
        <w:rPr>
          <w:spacing w:val="6"/>
        </w:rPr>
        <w:t> </w:t>
      </w:r>
      <w:r>
        <w:rPr/>
        <w:t>or</w:t>
      </w:r>
      <w:r>
        <w:rPr>
          <w:spacing w:val="3"/>
        </w:rPr>
        <w:t> </w:t>
      </w:r>
      <w:r>
        <w:rPr/>
        <w:t>become</w:t>
      </w:r>
      <w:r>
        <w:rPr>
          <w:spacing w:val="1"/>
        </w:rPr>
        <w:t> </w:t>
      </w:r>
      <w:r>
        <w:rPr/>
        <w:t>persistent.</w:t>
      </w:r>
    </w:p>
    <w:p>
      <w:pPr>
        <w:pStyle w:val="Heading1"/>
        <w:numPr>
          <w:ilvl w:val="0"/>
          <w:numId w:val="17"/>
        </w:numPr>
        <w:tabs>
          <w:tab w:pos="1540" w:val="left" w:leader="none"/>
        </w:tabs>
        <w:spacing w:line="240" w:lineRule="auto" w:before="210" w:after="0"/>
        <w:ind w:left="1540" w:right="0" w:hanging="360"/>
        <w:jc w:val="both"/>
      </w:pPr>
      <w:r>
        <w:rPr/>
        <w:t>Gnathopathy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bossing of</w:t>
      </w:r>
      <w:r>
        <w:rPr>
          <w:spacing w:val="-4"/>
        </w:rPr>
        <w:t> </w:t>
      </w:r>
      <w:r>
        <w:rPr/>
        <w:t>skull</w:t>
      </w:r>
      <w:r>
        <w:rPr>
          <w:spacing w:val="-4"/>
        </w:rPr>
        <w:t> </w:t>
      </w:r>
      <w:r>
        <w:rPr/>
        <w:t>bones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38"/>
        <w:jc w:val="both"/>
      </w:pPr>
      <w:r>
        <w:rPr/>
        <w:t>Gnathopathy from the Greek word “gnathos” (jaw) is a peculiar growth of the maxilla commonly</w:t>
      </w:r>
      <w:r>
        <w:rPr>
          <w:spacing w:val="-57"/>
        </w:rPr>
        <w:t> </w:t>
      </w:r>
      <w:r>
        <w:rPr/>
        <w:t>found in the African presentation of SCD (Konotey-Ahulu, 1991). It is a complication of chronic</w:t>
      </w:r>
      <w:r>
        <w:rPr>
          <w:spacing w:val="-57"/>
        </w:rPr>
        <w:t> </w:t>
      </w:r>
      <w:r>
        <w:rPr/>
        <w:t>severe haemolytic states and more commonly occurs in thalassaemias and SCD where it often</w:t>
      </w:r>
      <w:r>
        <w:rPr>
          <w:spacing w:val="1"/>
        </w:rPr>
        <w:t> </w:t>
      </w:r>
      <w:r>
        <w:rPr/>
        <w:t>requires surgical intervention due to its progressive nature of uncontrolled maxillary overgrowth</w:t>
      </w:r>
      <w:r>
        <w:rPr>
          <w:spacing w:val="1"/>
        </w:rPr>
        <w:t> </w:t>
      </w:r>
      <w:r>
        <w:rPr/>
        <w:t>(Konotey-Ahulu,</w:t>
      </w:r>
      <w:r>
        <w:rPr>
          <w:spacing w:val="2"/>
        </w:rPr>
        <w:t> </w:t>
      </w:r>
      <w:r>
        <w:rPr/>
        <w:t>1991)</w:t>
      </w:r>
      <w:r>
        <w:rPr>
          <w:spacing w:val="2"/>
        </w:rPr>
        <w:t> </w:t>
      </w:r>
      <w:r>
        <w:rPr/>
        <w:t>caused by</w:t>
      </w:r>
      <w:r>
        <w:rPr>
          <w:spacing w:val="1"/>
        </w:rPr>
        <w:t> </w:t>
      </w:r>
      <w:r>
        <w:rPr/>
        <w:t>marrow</w:t>
      </w:r>
      <w:r>
        <w:rPr>
          <w:spacing w:val="1"/>
        </w:rPr>
        <w:t> </w:t>
      </w:r>
      <w:r>
        <w:rPr/>
        <w:t>hyperplasia</w:t>
      </w:r>
      <w:r>
        <w:rPr>
          <w:spacing w:val="-1"/>
        </w:rPr>
        <w:t> </w:t>
      </w:r>
      <w:r>
        <w:rPr/>
        <w:t>(Brown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Sebes</w:t>
      </w:r>
      <w:r>
        <w:rPr>
          <w:spacing w:val="-1"/>
        </w:rPr>
        <w:t> </w:t>
      </w:r>
      <w:r>
        <w:rPr/>
        <w:t>1986).</w:t>
      </w:r>
    </w:p>
    <w:p>
      <w:pPr>
        <w:pStyle w:val="BodyText"/>
        <w:spacing w:line="360" w:lineRule="auto" w:before="200"/>
        <w:ind w:left="820" w:right="1433"/>
        <w:jc w:val="both"/>
      </w:pPr>
      <w:r>
        <w:rPr/>
        <w:t>Bossing of the skull bones in SCD is another evidence of the chronicity and severity of anaemia.</w:t>
      </w:r>
      <w:r>
        <w:rPr>
          <w:spacing w:val="1"/>
        </w:rPr>
        <w:t> </w:t>
      </w:r>
      <w:r>
        <w:rPr/>
        <w:t>In most cases, it can be seen clinically and is most marked over the frontal, parietal, and occipital</w:t>
      </w:r>
      <w:r>
        <w:rPr>
          <w:spacing w:val="-57"/>
        </w:rPr>
        <w:t> </w:t>
      </w:r>
      <w:r>
        <w:rPr/>
        <w:t>bones (Konotey-Ahulu, 1991). In the skull, thickening of the frontal and parietal bones occur and</w:t>
      </w:r>
      <w:r>
        <w:rPr>
          <w:spacing w:val="-57"/>
        </w:rPr>
        <w:t> </w:t>
      </w:r>
      <w:r>
        <w:rPr/>
        <w:t>result clinically in bossing from about the age of three. It is present in about 5% of patients with</w:t>
      </w:r>
      <w:r>
        <w:rPr>
          <w:spacing w:val="1"/>
        </w:rPr>
        <w:t> </w:t>
      </w:r>
      <w:r>
        <w:rPr/>
        <w:t>sickle cell.</w:t>
      </w:r>
    </w:p>
    <w:p>
      <w:pPr>
        <w:pStyle w:val="Heading1"/>
        <w:numPr>
          <w:ilvl w:val="0"/>
          <w:numId w:val="17"/>
        </w:numPr>
        <w:tabs>
          <w:tab w:pos="1540" w:val="left" w:leader="none"/>
        </w:tabs>
        <w:spacing w:line="240" w:lineRule="auto" w:before="201" w:after="0"/>
        <w:ind w:left="1540" w:right="0" w:hanging="360"/>
        <w:jc w:val="both"/>
      </w:pPr>
      <w:r>
        <w:rPr/>
        <w:t>Liver/Hyperbilirubinemia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35"/>
        <w:jc w:val="both"/>
      </w:pP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SCD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pigmented</w:t>
      </w:r>
      <w:r>
        <w:rPr>
          <w:spacing w:val="1"/>
        </w:rPr>
        <w:t> </w:t>
      </w:r>
      <w:r>
        <w:rPr/>
        <w:t>gall</w:t>
      </w:r>
      <w:r>
        <w:rPr>
          <w:spacing w:val="1"/>
        </w:rPr>
        <w:t> </w:t>
      </w:r>
      <w:r>
        <w:rPr/>
        <w:t>stones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haemolysis. The incidence varies from one population to another and increases with age. The</w:t>
      </w:r>
      <w:r>
        <w:rPr>
          <w:spacing w:val="1"/>
        </w:rPr>
        <w:t> </w:t>
      </w:r>
      <w:r>
        <w:rPr/>
        <w:t>reported prevalence of gall stones in homozygous SCD (Hb-SS) in the United States varied from</w:t>
      </w:r>
      <w:r>
        <w:rPr>
          <w:spacing w:val="1"/>
        </w:rPr>
        <w:t> </w:t>
      </w:r>
      <w:r>
        <w:rPr/>
        <w:t>34% to 70% and 29% in Jamaica and Africa (Meshikhes and Al-Faraj 1998). Gall stones may be</w:t>
      </w:r>
      <w:r>
        <w:rPr>
          <w:spacing w:val="1"/>
        </w:rPr>
        <w:t> </w:t>
      </w:r>
      <w:r>
        <w:rPr/>
        <w:t>asymptomatic or may present with repeated attacks of biliary colic or with acute cholecystitis.</w:t>
      </w:r>
      <w:r>
        <w:rPr>
          <w:spacing w:val="1"/>
        </w:rPr>
        <w:t> </w:t>
      </w:r>
      <w:r>
        <w:rPr/>
        <w:t>Gallstones may occur as early as two years of age; and are typically most marked in HbSS</w:t>
      </w:r>
      <w:r>
        <w:rPr>
          <w:spacing w:val="1"/>
        </w:rPr>
        <w:t> </w:t>
      </w:r>
      <w:r>
        <w:rPr/>
        <w:t>disease and Sβ° thalassemia and much less in HbSC disease and Sβ</w:t>
      </w:r>
      <w:r>
        <w:rPr>
          <w:vertAlign w:val="superscript"/>
        </w:rPr>
        <w:t>+</w:t>
      </w:r>
      <w:r>
        <w:rPr>
          <w:vertAlign w:val="baseline"/>
        </w:rPr>
        <w:t> thalassemia (SCAC, 2002).</w:t>
      </w:r>
      <w:r>
        <w:rPr>
          <w:spacing w:val="1"/>
          <w:vertAlign w:val="baseline"/>
        </w:rPr>
        <w:t> </w:t>
      </w:r>
      <w:r>
        <w:rPr>
          <w:vertAlign w:val="baseline"/>
        </w:rPr>
        <w:t>Hepatomegaly is present in 40% to 80% of patients with SS disease (Serjeant and Serjeant 2001).</w:t>
      </w:r>
      <w:r>
        <w:rPr>
          <w:spacing w:val="-57"/>
          <w:vertAlign w:val="baseline"/>
        </w:rPr>
        <w:t> </w:t>
      </w:r>
      <w:r>
        <w:rPr>
          <w:vertAlign w:val="baseline"/>
        </w:rPr>
        <w:t>It does not correlate with liver function tests that can be normal or slightly abnormal. Other</w:t>
      </w:r>
      <w:r>
        <w:rPr>
          <w:spacing w:val="1"/>
          <w:vertAlign w:val="baseline"/>
        </w:rPr>
        <w:t> </w:t>
      </w:r>
      <w:r>
        <w:rPr>
          <w:vertAlign w:val="baseline"/>
        </w:rPr>
        <w:t>hepatobiliary complications that occur in SCD include: hepatic necrosis secondary to anoxic</w:t>
      </w:r>
      <w:r>
        <w:rPr>
          <w:spacing w:val="1"/>
          <w:vertAlign w:val="baseline"/>
        </w:rPr>
        <w:t> </w:t>
      </w:r>
      <w:r>
        <w:rPr>
          <w:vertAlign w:val="baseline"/>
        </w:rPr>
        <w:t>damage or</w:t>
      </w:r>
      <w:r>
        <w:rPr>
          <w:spacing w:val="2"/>
          <w:vertAlign w:val="baseline"/>
        </w:rPr>
        <w:t> </w:t>
      </w:r>
      <w:r>
        <w:rPr>
          <w:vertAlign w:val="baseline"/>
        </w:rPr>
        <w:t>blockade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hepatic</w:t>
      </w:r>
      <w:r>
        <w:rPr>
          <w:spacing w:val="1"/>
          <w:vertAlign w:val="baseline"/>
        </w:rPr>
        <w:t> </w:t>
      </w:r>
      <w:r>
        <w:rPr>
          <w:vertAlign w:val="baseline"/>
        </w:rPr>
        <w:t>arteries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rarely</w:t>
      </w:r>
      <w:r>
        <w:rPr>
          <w:spacing w:val="-4"/>
          <w:vertAlign w:val="baseline"/>
        </w:rPr>
        <w:t> </w:t>
      </w:r>
      <w:r>
        <w:rPr>
          <w:vertAlign w:val="baseline"/>
        </w:rPr>
        <w:t>hepatic coma.</w:t>
      </w:r>
    </w:p>
    <w:p>
      <w:pPr>
        <w:pStyle w:val="Heading1"/>
        <w:numPr>
          <w:ilvl w:val="0"/>
          <w:numId w:val="17"/>
        </w:numPr>
        <w:tabs>
          <w:tab w:pos="1540" w:val="left" w:leader="none"/>
        </w:tabs>
        <w:spacing w:line="240" w:lineRule="auto" w:before="198" w:after="0"/>
        <w:ind w:left="1540" w:right="0" w:hanging="360"/>
        <w:jc w:val="both"/>
      </w:pPr>
      <w:r>
        <w:rPr/>
        <w:t>Kidney/Urinary</w:t>
      </w:r>
      <w:r>
        <w:rPr>
          <w:spacing w:val="-5"/>
        </w:rPr>
        <w:t> </w:t>
      </w:r>
      <w:r>
        <w:rPr/>
        <w:t>Tract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40"/>
        <w:jc w:val="both"/>
      </w:pPr>
      <w:r>
        <w:rPr/>
        <w:t>Renal intravascular sickling is a very common event, which begins early in life and continues for</w:t>
      </w:r>
      <w:r>
        <w:rPr>
          <w:spacing w:val="-57"/>
        </w:rPr>
        <w:t> </w:t>
      </w:r>
      <w:r>
        <w:rPr/>
        <w:t>the</w:t>
      </w:r>
      <w:r>
        <w:rPr>
          <w:spacing w:val="52"/>
        </w:rPr>
        <w:t> </w:t>
      </w:r>
      <w:r>
        <w:rPr/>
        <w:t>life</w:t>
      </w:r>
      <w:r>
        <w:rPr>
          <w:spacing w:val="52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patient.</w:t>
      </w:r>
      <w:r>
        <w:rPr>
          <w:spacing w:val="51"/>
        </w:rPr>
        <w:t> </w:t>
      </w:r>
      <w:r>
        <w:rPr/>
        <w:t>The</w:t>
      </w:r>
      <w:r>
        <w:rPr>
          <w:spacing w:val="54"/>
        </w:rPr>
        <w:t> </w:t>
      </w:r>
      <w:r>
        <w:rPr/>
        <w:t>combination</w:t>
      </w:r>
      <w:r>
        <w:rPr>
          <w:spacing w:val="49"/>
        </w:rPr>
        <w:t> </w:t>
      </w:r>
      <w:r>
        <w:rPr/>
        <w:t>of</w:t>
      </w:r>
      <w:r>
        <w:rPr>
          <w:spacing w:val="50"/>
        </w:rPr>
        <w:t> </w:t>
      </w:r>
      <w:r>
        <w:rPr/>
        <w:t>hypoxia,</w:t>
      </w:r>
      <w:r>
        <w:rPr>
          <w:spacing w:val="56"/>
        </w:rPr>
        <w:t> </w:t>
      </w:r>
      <w:r>
        <w:rPr/>
        <w:t>hypertonicity</w:t>
      </w:r>
      <w:r>
        <w:rPr>
          <w:spacing w:val="43"/>
        </w:rPr>
        <w:t> </w:t>
      </w:r>
      <w:r>
        <w:rPr/>
        <w:t>and</w:t>
      </w:r>
      <w:r>
        <w:rPr>
          <w:spacing w:val="53"/>
        </w:rPr>
        <w:t> </w:t>
      </w:r>
      <w:r>
        <w:rPr/>
        <w:t>acidosis</w:t>
      </w:r>
      <w:r>
        <w:rPr>
          <w:spacing w:val="51"/>
        </w:rPr>
        <w:t> </w:t>
      </w:r>
      <w:r>
        <w:rPr/>
        <w:t>in</w:t>
      </w:r>
      <w:r>
        <w:rPr>
          <w:spacing w:val="49"/>
        </w:rPr>
        <w:t> </w:t>
      </w:r>
      <w:r>
        <w:rPr/>
        <w:t>the</w:t>
      </w:r>
      <w:r>
        <w:rPr>
          <w:spacing w:val="47"/>
        </w:rPr>
        <w:t> </w:t>
      </w:r>
      <w:r>
        <w:rPr/>
        <w:t>renal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60" w:lineRule="auto" w:before="72"/>
        <w:ind w:left="820" w:right="1437"/>
        <w:jc w:val="both"/>
      </w:pPr>
      <w:r>
        <w:rPr/>
        <w:t>medulla leads to stasis in the vasa recta with consequent ischemia of the renal medulla and</w:t>
      </w:r>
      <w:r>
        <w:rPr>
          <w:spacing w:val="1"/>
        </w:rPr>
        <w:t> </w:t>
      </w:r>
      <w:r>
        <w:rPr/>
        <w:t>papillary tip leading to renal papillary necrosis which can be asymptomatic or accompanied by</w:t>
      </w:r>
      <w:r>
        <w:rPr>
          <w:spacing w:val="1"/>
        </w:rPr>
        <w:t> </w:t>
      </w:r>
      <w:r>
        <w:rPr/>
        <w:t>haematuria or proteinuria. Proteinuria occurs in about 28% of adult SCD patients in Nigeria;</w:t>
      </w:r>
      <w:r>
        <w:rPr>
          <w:spacing w:val="1"/>
        </w:rPr>
        <w:t> </w:t>
      </w:r>
      <w:r>
        <w:rPr/>
        <w:t>while haematuria occurs in about 27% of the SCD patients (Abdu </w:t>
      </w:r>
      <w:r>
        <w:rPr>
          <w:i/>
        </w:rPr>
        <w:t>et al</w:t>
      </w:r>
      <w:r>
        <w:rPr/>
        <w:t>., 2011). Proteinuria is a</w:t>
      </w:r>
      <w:r>
        <w:rPr>
          <w:spacing w:val="1"/>
        </w:rPr>
        <w:t> </w:t>
      </w:r>
      <w:r>
        <w:rPr/>
        <w:t>more sensitive marker than elevated serum creatinine levels in detecting glomerular injury, and it</w:t>
      </w:r>
      <w:r>
        <w:rPr>
          <w:spacing w:val="-57"/>
        </w:rPr>
        <w:t> </w:t>
      </w:r>
      <w:r>
        <w:rPr/>
        <w:t>has been reported to be an early manifestation of sickle cell nephropathy (Aleem, 2008). The</w:t>
      </w:r>
      <w:r>
        <w:rPr>
          <w:spacing w:val="1"/>
        </w:rPr>
        <w:t> </w:t>
      </w:r>
      <w:r>
        <w:rPr/>
        <w:t>kidney of a SCD patient is unable to concentrate urine (hyposthenuria), this is characterised by</w:t>
      </w:r>
      <w:r>
        <w:rPr>
          <w:spacing w:val="1"/>
        </w:rPr>
        <w:t> </w:t>
      </w:r>
      <w:r>
        <w:rPr/>
        <w:t>enuresis and polyuria. This concentration defect makes urine dilute, favouring bacterial growth</w:t>
      </w:r>
      <w:r>
        <w:rPr>
          <w:spacing w:val="1"/>
        </w:rPr>
        <w:t> </w:t>
      </w:r>
      <w:r>
        <w:rPr/>
        <w:t>and eventually a urinary tract infection (UTI) may result. In Nigeria, there is a prevalence of</w:t>
      </w:r>
      <w:r>
        <w:rPr>
          <w:spacing w:val="1"/>
        </w:rPr>
        <w:t> </w:t>
      </w:r>
      <w:r>
        <w:rPr/>
        <w:t>asymptomatic bacteriuria of 6% in children with SCA, which makes them predisposed to UTI</w:t>
      </w:r>
      <w:r>
        <w:rPr>
          <w:spacing w:val="1"/>
        </w:rPr>
        <w:t> </w:t>
      </w:r>
      <w:r>
        <w:rPr/>
        <w:t>(Chukwu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5"/>
        </w:rPr>
        <w:t> </w:t>
      </w:r>
      <w:r>
        <w:rPr/>
        <w:t>2010).</w:t>
      </w:r>
    </w:p>
    <w:p>
      <w:pPr>
        <w:pStyle w:val="Heading1"/>
        <w:numPr>
          <w:ilvl w:val="0"/>
          <w:numId w:val="17"/>
        </w:numPr>
        <w:tabs>
          <w:tab w:pos="1540" w:val="left" w:leader="none"/>
        </w:tabs>
        <w:spacing w:line="240" w:lineRule="auto" w:before="198" w:after="0"/>
        <w:ind w:left="1540" w:right="0" w:hanging="360"/>
        <w:jc w:val="both"/>
      </w:pPr>
      <w:r>
        <w:rPr/>
        <w:t>Leg</w:t>
      </w:r>
      <w:r>
        <w:rPr>
          <w:spacing w:val="-3"/>
        </w:rPr>
        <w:t> </w:t>
      </w:r>
      <w:r>
        <w:rPr/>
        <w:t>Ulcers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41"/>
        <w:jc w:val="both"/>
      </w:pPr>
      <w:r>
        <w:rPr/>
        <w:t>Chronic leg ulceration is a common complication of SCA. In the United States of America, leg</w:t>
      </w:r>
      <w:r>
        <w:rPr>
          <w:spacing w:val="1"/>
        </w:rPr>
        <w:t> </w:t>
      </w:r>
      <w:r>
        <w:rPr/>
        <w:t>ulcers occur in 10-20% of patients with SCD between the ages of 10 and 50 years of age and are</w:t>
      </w:r>
      <w:r>
        <w:rPr>
          <w:spacing w:val="1"/>
        </w:rPr>
        <w:t> </w:t>
      </w:r>
      <w:r>
        <w:rPr/>
        <w:t>more frequent in males (SCAC, 2002); while in Nigeria, a prevalence rate of 7.5% has been</w:t>
      </w:r>
      <w:r>
        <w:rPr>
          <w:spacing w:val="1"/>
        </w:rPr>
        <w:t> </w:t>
      </w:r>
      <w:r>
        <w:rPr/>
        <w:t>reported among patients with SCA (Durosinmi </w:t>
      </w:r>
      <w:r>
        <w:rPr>
          <w:i/>
        </w:rPr>
        <w:t>et al</w:t>
      </w:r>
      <w:r>
        <w:rPr/>
        <w:t>., 1991). Recurrence rates are high and range</w:t>
      </w:r>
      <w:r>
        <w:rPr>
          <w:spacing w:val="1"/>
        </w:rPr>
        <w:t> </w:t>
      </w:r>
      <w:r>
        <w:rPr/>
        <w:t>from 40% in Jamaica (Clare </w:t>
      </w:r>
      <w:r>
        <w:rPr>
          <w:i/>
        </w:rPr>
        <w:t>et al</w:t>
      </w:r>
      <w:r>
        <w:rPr/>
        <w:t>., 2002), to 71.4% in Lagos, Nigeria (Olayem and Bazuaye</w:t>
      </w:r>
      <w:r>
        <w:rPr>
          <w:spacing w:val="1"/>
        </w:rPr>
        <w:t> </w:t>
      </w:r>
      <w:r>
        <w:rPr/>
        <w:t>2009),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96%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Accra,</w:t>
      </w:r>
      <w:r>
        <w:rPr>
          <w:spacing w:val="1"/>
        </w:rPr>
        <w:t> </w:t>
      </w:r>
      <w:r>
        <w:rPr/>
        <w:t>Ghana</w:t>
      </w:r>
      <w:r>
        <w:rPr>
          <w:spacing w:val="1"/>
        </w:rPr>
        <w:t> </w:t>
      </w:r>
      <w:r>
        <w:rPr/>
        <w:t>(Ankra-Badu,</w:t>
      </w:r>
      <w:r>
        <w:rPr>
          <w:spacing w:val="1"/>
        </w:rPr>
        <w:t> </w:t>
      </w:r>
      <w:r>
        <w:rPr/>
        <w:t>1992).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unknown,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prevention is impractical, their management once present is often difficult (Nolan </w:t>
      </w:r>
      <w:r>
        <w:rPr>
          <w:i/>
        </w:rPr>
        <w:t>et al</w:t>
      </w:r>
      <w:r>
        <w:rPr/>
        <w:t>., 2006),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recurrence</w:t>
      </w:r>
      <w:r>
        <w:rPr>
          <w:spacing w:val="6"/>
        </w:rPr>
        <w:t> </w:t>
      </w:r>
      <w:r>
        <w:rPr/>
        <w:t>is common.</w:t>
      </w:r>
    </w:p>
    <w:p>
      <w:pPr>
        <w:pStyle w:val="Heading1"/>
        <w:numPr>
          <w:ilvl w:val="0"/>
          <w:numId w:val="17"/>
        </w:numPr>
        <w:tabs>
          <w:tab w:pos="1540" w:val="left" w:leader="none"/>
        </w:tabs>
        <w:spacing w:line="240" w:lineRule="auto" w:before="202" w:after="0"/>
        <w:ind w:left="1540" w:right="0" w:hanging="360"/>
        <w:jc w:val="both"/>
      </w:pPr>
      <w:r>
        <w:rPr/>
        <w:t>Osteomyelitis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37"/>
        <w:jc w:val="both"/>
      </w:pPr>
      <w:r>
        <w:rPr/>
        <w:t>The manifestations of SCD in the musculoskeletal system are major causes of morbidity and</w:t>
      </w:r>
      <w:r>
        <w:rPr>
          <w:spacing w:val="1"/>
        </w:rPr>
        <w:t> </w:t>
      </w:r>
      <w:r>
        <w:rPr/>
        <w:t>disability (Nwadiaro </w:t>
      </w:r>
      <w:r>
        <w:rPr>
          <w:i/>
        </w:rPr>
        <w:t>et al</w:t>
      </w:r>
      <w:r>
        <w:rPr/>
        <w:t>., 2000). These manifestations include avascular necrosis of major bone</w:t>
      </w:r>
      <w:r>
        <w:rPr>
          <w:spacing w:val="-57"/>
        </w:rPr>
        <w:t> </w:t>
      </w:r>
      <w:r>
        <w:rPr/>
        <w:t>parts,</w:t>
      </w:r>
      <w:r>
        <w:rPr>
          <w:spacing w:val="1"/>
        </w:rPr>
        <w:t> </w:t>
      </w:r>
      <w:r>
        <w:rPr/>
        <w:t>hypertrophy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bone</w:t>
      </w:r>
      <w:r>
        <w:rPr>
          <w:spacing w:val="1"/>
        </w:rPr>
        <w:t> </w:t>
      </w:r>
      <w:r>
        <w:rPr/>
        <w:t>marrow,</w:t>
      </w:r>
      <w:r>
        <w:rPr>
          <w:spacing w:val="1"/>
        </w:rPr>
        <w:t> </w:t>
      </w:r>
      <w:r>
        <w:rPr/>
        <w:t>osteoporosis,</w:t>
      </w:r>
      <w:r>
        <w:rPr>
          <w:spacing w:val="1"/>
        </w:rPr>
        <w:t> </w:t>
      </w:r>
      <w:r>
        <w:rPr/>
        <w:t>hand-foot</w:t>
      </w:r>
      <w:r>
        <w:rPr>
          <w:spacing w:val="1"/>
        </w:rPr>
        <w:t> </w:t>
      </w:r>
      <w:r>
        <w:rPr/>
        <w:t>syndrome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osteomyelitis</w:t>
      </w:r>
      <w:r>
        <w:rPr>
          <w:spacing w:val="1"/>
        </w:rPr>
        <w:t> </w:t>
      </w:r>
      <w:r>
        <w:rPr/>
        <w:t>(Nwadiaro </w:t>
      </w:r>
      <w:r>
        <w:rPr>
          <w:i/>
        </w:rPr>
        <w:t>et al</w:t>
      </w:r>
      <w:r>
        <w:rPr/>
        <w:t>., 2000). The prevalence of osteomyelitis among children with SCD is 0.08%;</w:t>
      </w:r>
      <w:r>
        <w:rPr>
          <w:spacing w:val="1"/>
        </w:rPr>
        <w:t> </w:t>
      </w:r>
      <w:r>
        <w:rPr/>
        <w:t>Osteonecrosis occurs in about 10-50% of SCA patients (Steinberg, 1999). The morbidity of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osteomyelitis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effects of the</w:t>
      </w:r>
      <w:r>
        <w:rPr>
          <w:spacing w:val="1"/>
        </w:rPr>
        <w:t> </w:t>
      </w:r>
      <w:r>
        <w:rPr/>
        <w:t>haemoglobinopathy</w:t>
      </w:r>
      <w:r>
        <w:rPr>
          <w:spacing w:val="1"/>
        </w:rPr>
        <w:t> </w:t>
      </w:r>
      <w:r>
        <w:rPr/>
        <w:t>decreases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-9"/>
        </w:rPr>
        <w:t> </w:t>
      </w:r>
      <w:r>
        <w:rPr/>
        <w:t>of</w:t>
      </w:r>
      <w:r>
        <w:rPr>
          <w:spacing w:val="-1"/>
        </w:rPr>
        <w:t> </w:t>
      </w:r>
      <w:r>
        <w:rPr/>
        <w:t>life</w:t>
      </w:r>
      <w:r>
        <w:rPr>
          <w:spacing w:val="1"/>
        </w:rPr>
        <w:t> </w:t>
      </w:r>
      <w:r>
        <w:rPr/>
        <w:t>(Nwadiaro</w:t>
      </w:r>
      <w:r>
        <w:rPr>
          <w:spacing w:val="8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</w:t>
      </w:r>
      <w:r>
        <w:rPr/>
        <w:t>.,</w:t>
      </w:r>
      <w:r>
        <w:rPr>
          <w:spacing w:val="3"/>
        </w:rPr>
        <w:t> </w:t>
      </w:r>
      <w:r>
        <w:rPr/>
        <w:t>2000).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numPr>
          <w:ilvl w:val="0"/>
          <w:numId w:val="17"/>
        </w:numPr>
        <w:tabs>
          <w:tab w:pos="1540" w:val="left" w:leader="none"/>
        </w:tabs>
        <w:spacing w:line="240" w:lineRule="auto" w:before="72" w:after="0"/>
        <w:ind w:left="1540" w:right="0" w:hanging="360"/>
        <w:jc w:val="both"/>
      </w:pPr>
      <w:r>
        <w:rPr/>
        <w:t>Hand</w:t>
      </w:r>
      <w:r>
        <w:rPr>
          <w:spacing w:val="-2"/>
        </w:rPr>
        <w:t> </w:t>
      </w:r>
      <w:r>
        <w:rPr/>
        <w:t>and</w:t>
      </w:r>
      <w:r>
        <w:rPr>
          <w:spacing w:val="-6"/>
        </w:rPr>
        <w:t> </w:t>
      </w:r>
      <w:r>
        <w:rPr/>
        <w:t>Foot</w:t>
      </w:r>
      <w:r>
        <w:rPr>
          <w:spacing w:val="-1"/>
        </w:rPr>
        <w:t> </w:t>
      </w:r>
      <w:r>
        <w:rPr/>
        <w:t>Syndrome</w:t>
      </w:r>
      <w:r>
        <w:rPr>
          <w:spacing w:val="-4"/>
        </w:rPr>
        <w:t> </w:t>
      </w:r>
      <w:r>
        <w:rPr/>
        <w:t>(dactylitis)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 w:before="1"/>
        <w:ind w:left="820" w:right="1439"/>
        <w:jc w:val="both"/>
      </w:pPr>
      <w:r>
        <w:rPr/>
        <w:t>Hand and foot syndrome is often one of the first signs of SCD. It is thought to be due to focal</w:t>
      </w:r>
      <w:r>
        <w:rPr>
          <w:spacing w:val="1"/>
        </w:rPr>
        <w:t> </w:t>
      </w:r>
      <w:r>
        <w:rPr/>
        <w:t>capillary stasis involving sickled sludge in the terminal bones causing ischemia and infarction of</w:t>
      </w:r>
      <w:r>
        <w:rPr>
          <w:spacing w:val="1"/>
        </w:rPr>
        <w:t> </w:t>
      </w:r>
      <w:r>
        <w:rPr/>
        <w:t>the red marrow of the fingers and feet (Konotey Ahulu, 1991). There is also an expansion of the</w:t>
      </w:r>
      <w:r>
        <w:rPr>
          <w:spacing w:val="1"/>
        </w:rPr>
        <w:t> </w:t>
      </w:r>
      <w:r>
        <w:rPr/>
        <w:t>bone at the metaphases. The lesions are bilateral and may deteriorate to frank osteomyelitis with</w:t>
      </w:r>
      <w:r>
        <w:rPr>
          <w:spacing w:val="1"/>
        </w:rPr>
        <w:t> </w:t>
      </w:r>
      <w:r>
        <w:rPr/>
        <w:t>chronic discharge or may heal completely without any after effects. It is characterised by painful</w:t>
      </w:r>
      <w:r>
        <w:rPr>
          <w:spacing w:val="1"/>
        </w:rPr>
        <w:t> </w:t>
      </w:r>
      <w:r>
        <w:rPr/>
        <w:t>symmetric swelling of the hands and</w:t>
      </w:r>
      <w:r>
        <w:rPr>
          <w:spacing w:val="60"/>
        </w:rPr>
        <w:t> </w:t>
      </w:r>
      <w:r>
        <w:rPr/>
        <w:t>feet with a shiny reflective surface involving the fingers</w:t>
      </w:r>
      <w:r>
        <w:rPr>
          <w:spacing w:val="1"/>
        </w:rPr>
        <w:t> </w:t>
      </w:r>
      <w:r>
        <w:rPr/>
        <w:t>and dorsa of the hands and feet. It occurs in 60% of patients, presenting between the ages of</w:t>
      </w:r>
      <w:r>
        <w:rPr>
          <w:spacing w:val="1"/>
        </w:rPr>
        <w:t> </w:t>
      </w:r>
      <w:r>
        <w:rPr/>
        <w:t>9months-4years</w:t>
      </w:r>
      <w:r>
        <w:rPr>
          <w:spacing w:val="1"/>
        </w:rPr>
        <w:t> </w:t>
      </w:r>
      <w:r>
        <w:rPr/>
        <w:t>with painful tender</w:t>
      </w:r>
      <w:r>
        <w:rPr>
          <w:spacing w:val="1"/>
        </w:rPr>
        <w:t> </w:t>
      </w:r>
      <w:r>
        <w:rPr/>
        <w:t>swelling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feet.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bone</w:t>
      </w:r>
      <w:r>
        <w:rPr>
          <w:spacing w:val="1"/>
        </w:rPr>
        <w:t> </w:t>
      </w:r>
      <w:r>
        <w:rPr/>
        <w:t>changes are</w:t>
      </w:r>
      <w:r>
        <w:rPr>
          <w:spacing w:val="1"/>
        </w:rPr>
        <w:t> </w:t>
      </w:r>
      <w:r>
        <w:rPr/>
        <w:t>reversible within</w:t>
      </w:r>
      <w:r>
        <w:rPr>
          <w:spacing w:val="1"/>
        </w:rPr>
        <w:t> </w:t>
      </w:r>
      <w:r>
        <w:rPr/>
        <w:t>a</w:t>
      </w:r>
      <w:r>
        <w:rPr>
          <w:spacing w:val="4"/>
        </w:rPr>
        <w:t> </w:t>
      </w:r>
      <w:r>
        <w:rPr/>
        <w:t>year</w:t>
      </w:r>
      <w:r>
        <w:rPr>
          <w:spacing w:val="7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adequate</w:t>
      </w:r>
      <w:r>
        <w:rPr>
          <w:spacing w:val="-4"/>
        </w:rPr>
        <w:t> </w:t>
      </w:r>
      <w:r>
        <w:rPr/>
        <w:t>treatment</w:t>
      </w:r>
      <w:r>
        <w:rPr>
          <w:spacing w:val="6"/>
        </w:rPr>
        <w:t> </w:t>
      </w:r>
      <w:r>
        <w:rPr/>
        <w:t>(Onuba,</w:t>
      </w:r>
      <w:r>
        <w:rPr>
          <w:spacing w:val="3"/>
        </w:rPr>
        <w:t> </w:t>
      </w:r>
      <w:r>
        <w:rPr/>
        <w:t>1993).</w:t>
      </w:r>
    </w:p>
    <w:p>
      <w:pPr>
        <w:pStyle w:val="Heading1"/>
        <w:numPr>
          <w:ilvl w:val="0"/>
          <w:numId w:val="17"/>
        </w:numPr>
        <w:tabs>
          <w:tab w:pos="1540" w:val="left" w:leader="none"/>
        </w:tabs>
        <w:spacing w:line="240" w:lineRule="auto" w:before="200" w:after="0"/>
        <w:ind w:left="1540" w:right="0" w:hanging="360"/>
        <w:jc w:val="both"/>
      </w:pPr>
      <w:r>
        <w:rPr/>
        <w:t>Vaso-Occlusive</w:t>
      </w:r>
      <w:r>
        <w:rPr>
          <w:spacing w:val="-4"/>
        </w:rPr>
        <w:t> </w:t>
      </w:r>
      <w:r>
        <w:rPr/>
        <w:t>/</w:t>
      </w:r>
      <w:r>
        <w:rPr>
          <w:spacing w:val="-2"/>
        </w:rPr>
        <w:t> </w:t>
      </w:r>
      <w:r>
        <w:rPr/>
        <w:t>Sickle</w:t>
      </w:r>
      <w:r>
        <w:rPr>
          <w:spacing w:val="-3"/>
        </w:rPr>
        <w:t> </w:t>
      </w:r>
      <w:r>
        <w:rPr/>
        <w:t>Cell</w:t>
      </w:r>
      <w:r>
        <w:rPr>
          <w:spacing w:val="-5"/>
        </w:rPr>
        <w:t> </w:t>
      </w:r>
      <w:r>
        <w:rPr/>
        <w:t>Crises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57" w:lineRule="auto"/>
        <w:ind w:left="820" w:right="1443"/>
        <w:jc w:val="both"/>
      </w:pPr>
      <w:r>
        <w:rPr/>
        <w:t>The</w:t>
      </w:r>
      <w:r>
        <w:rPr>
          <w:spacing w:val="16"/>
        </w:rPr>
        <w:t> </w:t>
      </w:r>
      <w:r>
        <w:rPr/>
        <w:t>word</w:t>
      </w:r>
      <w:r>
        <w:rPr>
          <w:spacing w:val="18"/>
        </w:rPr>
        <w:t> </w:t>
      </w:r>
      <w:r>
        <w:rPr/>
        <w:t>‘crisis’</w:t>
      </w:r>
      <w:r>
        <w:rPr>
          <w:spacing w:val="15"/>
        </w:rPr>
        <w:t> </w:t>
      </w:r>
      <w:r>
        <w:rPr/>
        <w:t>(Greek</w:t>
      </w:r>
      <w:r>
        <w:rPr>
          <w:spacing w:val="18"/>
        </w:rPr>
        <w:t> </w:t>
      </w:r>
      <w:r>
        <w:rPr>
          <w:i/>
        </w:rPr>
        <w:t>Krisis</w:t>
      </w:r>
      <w:r>
        <w:rPr/>
        <w:t>,</w:t>
      </w:r>
      <w:r>
        <w:rPr>
          <w:spacing w:val="20"/>
        </w:rPr>
        <w:t> </w:t>
      </w:r>
      <w:r>
        <w:rPr/>
        <w:t>turning</w:t>
      </w:r>
      <w:r>
        <w:rPr>
          <w:spacing w:val="18"/>
        </w:rPr>
        <w:t> </w:t>
      </w:r>
      <w:r>
        <w:rPr/>
        <w:t>point)</w:t>
      </w:r>
      <w:r>
        <w:rPr>
          <w:spacing w:val="19"/>
        </w:rPr>
        <w:t> </w:t>
      </w:r>
      <w:r>
        <w:rPr/>
        <w:t>is</w:t>
      </w:r>
      <w:r>
        <w:rPr>
          <w:spacing w:val="16"/>
        </w:rPr>
        <w:t> </w:t>
      </w:r>
      <w:r>
        <w:rPr/>
        <w:t>defined</w:t>
      </w:r>
      <w:r>
        <w:rPr>
          <w:spacing w:val="18"/>
        </w:rPr>
        <w:t> </w:t>
      </w:r>
      <w:r>
        <w:rPr/>
        <w:t>as</w:t>
      </w:r>
      <w:r>
        <w:rPr>
          <w:spacing w:val="16"/>
        </w:rPr>
        <w:t> </w:t>
      </w:r>
      <w:r>
        <w:rPr/>
        <w:t>a</w:t>
      </w:r>
      <w:r>
        <w:rPr>
          <w:spacing w:val="21"/>
        </w:rPr>
        <w:t> </w:t>
      </w:r>
      <w:r>
        <w:rPr/>
        <w:t>‘sharp</w:t>
      </w:r>
      <w:r>
        <w:rPr>
          <w:spacing w:val="18"/>
        </w:rPr>
        <w:t> </w:t>
      </w:r>
      <w:r>
        <w:rPr/>
        <w:t>turn</w:t>
      </w:r>
      <w:r>
        <w:rPr>
          <w:spacing w:val="13"/>
        </w:rPr>
        <w:t> </w:t>
      </w:r>
      <w:r>
        <w:rPr/>
        <w:t>or</w:t>
      </w:r>
      <w:r>
        <w:rPr>
          <w:spacing w:val="20"/>
        </w:rPr>
        <w:t> </w:t>
      </w:r>
      <w:r>
        <w:rPr/>
        <w:t>definite</w:t>
      </w:r>
      <w:r>
        <w:rPr>
          <w:spacing w:val="16"/>
        </w:rPr>
        <w:t> </w:t>
      </w:r>
      <w:r>
        <w:rPr/>
        <w:t>change</w:t>
      </w:r>
      <w:r>
        <w:rPr>
          <w:spacing w:val="22"/>
        </w:rPr>
        <w:t> </w:t>
      </w:r>
      <w:r>
        <w:rPr/>
        <w:t>in</w:t>
      </w:r>
      <w:r>
        <w:rPr>
          <w:spacing w:val="-58"/>
        </w:rPr>
        <w:t> </w:t>
      </w:r>
      <w:r>
        <w:rPr/>
        <w:t>the course of a disease, with the development of new signs and symptoms’ (Konotey Ahulu,</w:t>
      </w:r>
      <w:r>
        <w:rPr>
          <w:spacing w:val="1"/>
        </w:rPr>
        <w:t> </w:t>
      </w:r>
      <w:r>
        <w:rPr/>
        <w:t>1991).</w:t>
      </w:r>
    </w:p>
    <w:p>
      <w:pPr>
        <w:pStyle w:val="BodyText"/>
        <w:spacing w:line="360" w:lineRule="auto" w:before="207"/>
        <w:ind w:left="820" w:right="1442"/>
        <w:jc w:val="both"/>
      </w:pPr>
      <w:r>
        <w:rPr/>
        <w:t>Epidemiologic data indicate that 5.2 % of patients with SCD have three to ten episodes of severe</w:t>
      </w:r>
      <w:r>
        <w:rPr>
          <w:spacing w:val="1"/>
        </w:rPr>
        <w:t> </w:t>
      </w:r>
      <w:r>
        <w:rPr/>
        <w:t>pain every year. In most patients, a pain crisis resolves within five to seven days; while severe</w:t>
      </w:r>
      <w:r>
        <w:rPr>
          <w:spacing w:val="1"/>
        </w:rPr>
        <w:t> </w:t>
      </w:r>
      <w:r>
        <w:rPr/>
        <w:t>crisis</w:t>
      </w:r>
      <w:r>
        <w:rPr>
          <w:spacing w:val="4"/>
        </w:rPr>
        <w:t> </w:t>
      </w:r>
      <w:r>
        <w:rPr/>
        <w:t>may</w:t>
      </w:r>
      <w:r>
        <w:rPr>
          <w:spacing w:val="-4"/>
        </w:rPr>
        <w:t> </w:t>
      </w:r>
      <w:r>
        <w:rPr/>
        <w:t>cause pain</w:t>
      </w:r>
      <w:r>
        <w:rPr>
          <w:spacing w:val="-4"/>
        </w:rPr>
        <w:t> </w:t>
      </w:r>
      <w:r>
        <w:rPr/>
        <w:t>that</w:t>
      </w:r>
      <w:r>
        <w:rPr>
          <w:spacing w:val="6"/>
        </w:rPr>
        <w:t> </w:t>
      </w:r>
      <w:r>
        <w:rPr/>
        <w:t>persists</w:t>
      </w:r>
      <w:r>
        <w:rPr>
          <w:spacing w:val="-1"/>
        </w:rPr>
        <w:t> </w:t>
      </w:r>
      <w:r>
        <w:rPr/>
        <w:t>for</w:t>
      </w:r>
      <w:r>
        <w:rPr>
          <w:spacing w:val="2"/>
        </w:rPr>
        <w:t> </w:t>
      </w:r>
      <w:r>
        <w:rPr/>
        <w:t>weeks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months (Steven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2000).</w:t>
      </w:r>
    </w:p>
    <w:p>
      <w:pPr>
        <w:pStyle w:val="Heading1"/>
        <w:numPr>
          <w:ilvl w:val="2"/>
          <w:numId w:val="15"/>
        </w:numPr>
        <w:tabs>
          <w:tab w:pos="1602" w:val="left" w:leader="none"/>
        </w:tabs>
        <w:spacing w:line="240" w:lineRule="auto" w:before="198" w:after="0"/>
        <w:ind w:left="1601" w:right="0" w:hanging="782"/>
        <w:jc w:val="both"/>
      </w:pPr>
      <w:r>
        <w:rPr/>
        <w:t>Pain</w:t>
      </w:r>
      <w:r>
        <w:rPr>
          <w:spacing w:val="-2"/>
        </w:rPr>
        <w:t> </w:t>
      </w:r>
      <w:r>
        <w:rPr/>
        <w:t>Crises</w:t>
      </w:r>
      <w:r>
        <w:rPr>
          <w:spacing w:val="-4"/>
        </w:rPr>
        <w:t> </w:t>
      </w:r>
      <w:r>
        <w:rPr/>
        <w:t>prevention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Patients</w:t>
      </w:r>
      <w:r>
        <w:rPr>
          <w:spacing w:val="-4"/>
        </w:rPr>
        <w:t> </w:t>
      </w:r>
      <w:r>
        <w:rPr/>
        <w:t>with</w:t>
      </w:r>
      <w:r>
        <w:rPr>
          <w:spacing w:val="-6"/>
        </w:rPr>
        <w:t> </w:t>
      </w:r>
      <w:r>
        <w:rPr/>
        <w:t>Sickle</w:t>
      </w:r>
      <w:r>
        <w:rPr>
          <w:spacing w:val="-4"/>
        </w:rPr>
        <w:t> </w:t>
      </w:r>
      <w:r>
        <w:rPr/>
        <w:t>Cell</w:t>
      </w:r>
      <w:r>
        <w:rPr>
          <w:spacing w:val="-5"/>
        </w:rPr>
        <w:t> </w:t>
      </w:r>
      <w:r>
        <w:rPr/>
        <w:t>Disease</w:t>
      </w:r>
    </w:p>
    <w:p>
      <w:pPr>
        <w:pStyle w:val="BodyText"/>
        <w:rPr>
          <w:b/>
          <w:sz w:val="29"/>
        </w:rPr>
      </w:pPr>
    </w:p>
    <w:p>
      <w:pPr>
        <w:pStyle w:val="BodyText"/>
        <w:ind w:left="820"/>
        <w:jc w:val="both"/>
      </w:pP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2"/>
        </w:rPr>
        <w:t> </w:t>
      </w:r>
      <w:r>
        <w:rPr/>
        <w:t>measures</w:t>
      </w:r>
      <w:r>
        <w:rPr>
          <w:spacing w:val="-5"/>
        </w:rPr>
        <w:t> </w:t>
      </w:r>
      <w:r>
        <w:rPr/>
        <w:t>can</w:t>
      </w:r>
      <w:r>
        <w:rPr>
          <w:spacing w:val="-7"/>
        </w:rPr>
        <w:t> </w:t>
      </w:r>
      <w:r>
        <w:rPr/>
        <w:t>be</w:t>
      </w:r>
      <w:r>
        <w:rPr>
          <w:spacing w:val="-4"/>
        </w:rPr>
        <w:t> </w:t>
      </w:r>
      <w:r>
        <w:rPr/>
        <w:t>used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prevent</w:t>
      </w:r>
      <w:r>
        <w:rPr>
          <w:spacing w:val="2"/>
        </w:rPr>
        <w:t> </w:t>
      </w:r>
      <w:r>
        <w:rPr/>
        <w:t>pain</w:t>
      </w:r>
      <w:r>
        <w:rPr>
          <w:spacing w:val="-7"/>
        </w:rPr>
        <w:t> </w:t>
      </w:r>
      <w:r>
        <w:rPr/>
        <w:t>crises in</w:t>
      </w:r>
      <w:r>
        <w:rPr>
          <w:spacing w:val="-7"/>
        </w:rPr>
        <w:t> </w:t>
      </w:r>
      <w:r>
        <w:rPr/>
        <w:t>SCD</w:t>
      </w:r>
      <w:r>
        <w:rPr>
          <w:spacing w:val="-3"/>
        </w:rPr>
        <w:t> </w:t>
      </w:r>
      <w:r>
        <w:rPr/>
        <w:t>patients.</w:t>
      </w:r>
    </w:p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0"/>
          <w:numId w:val="19"/>
        </w:numPr>
        <w:tabs>
          <w:tab w:pos="1540" w:val="left" w:leader="none"/>
        </w:tabs>
        <w:spacing w:line="240" w:lineRule="auto" w:before="1" w:after="0"/>
        <w:ind w:left="1540" w:right="0" w:hanging="360"/>
        <w:jc w:val="left"/>
        <w:rPr>
          <w:sz w:val="24"/>
        </w:rPr>
      </w:pPr>
      <w:r>
        <w:rPr>
          <w:sz w:val="24"/>
        </w:rPr>
        <w:t>Consuming</w:t>
      </w:r>
      <w:r>
        <w:rPr>
          <w:spacing w:val="-3"/>
          <w:sz w:val="24"/>
        </w:rPr>
        <w:t> </w:t>
      </w:r>
      <w:r>
        <w:rPr>
          <w:sz w:val="24"/>
        </w:rPr>
        <w:t>adequate</w:t>
      </w:r>
      <w:r>
        <w:rPr>
          <w:spacing w:val="-4"/>
          <w:sz w:val="24"/>
        </w:rPr>
        <w:t> </w:t>
      </w:r>
      <w:r>
        <w:rPr>
          <w:sz w:val="24"/>
        </w:rPr>
        <w:t>amounts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fluids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prevent</w:t>
      </w:r>
      <w:r>
        <w:rPr>
          <w:spacing w:val="-1"/>
          <w:sz w:val="24"/>
        </w:rPr>
        <w:t> </w:t>
      </w:r>
      <w:r>
        <w:rPr>
          <w:sz w:val="24"/>
        </w:rPr>
        <w:t>dehydration</w:t>
      </w:r>
    </w:p>
    <w:p>
      <w:pPr>
        <w:pStyle w:val="ListParagraph"/>
        <w:numPr>
          <w:ilvl w:val="0"/>
          <w:numId w:val="19"/>
        </w:numPr>
        <w:tabs>
          <w:tab w:pos="1540" w:val="left" w:leader="none"/>
        </w:tabs>
        <w:spacing w:line="240" w:lineRule="auto" w:before="199" w:after="0"/>
        <w:ind w:left="1540" w:right="0" w:hanging="360"/>
        <w:jc w:val="left"/>
        <w:rPr>
          <w:sz w:val="24"/>
        </w:rPr>
      </w:pPr>
      <w:r>
        <w:rPr>
          <w:sz w:val="24"/>
        </w:rPr>
        <w:t>avoiding</w:t>
      </w:r>
      <w:r>
        <w:rPr>
          <w:spacing w:val="2"/>
          <w:sz w:val="24"/>
        </w:rPr>
        <w:t> </w:t>
      </w:r>
      <w:r>
        <w:rPr>
          <w:sz w:val="24"/>
        </w:rPr>
        <w:t>mountain</w:t>
      </w:r>
      <w:r>
        <w:rPr>
          <w:spacing w:val="-8"/>
          <w:sz w:val="24"/>
        </w:rPr>
        <w:t> </w:t>
      </w:r>
      <w:r>
        <w:rPr>
          <w:sz w:val="24"/>
        </w:rPr>
        <w:t>climbing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6"/>
          <w:sz w:val="24"/>
        </w:rPr>
        <w:t> </w:t>
      </w:r>
      <w:r>
        <w:rPr>
          <w:sz w:val="24"/>
        </w:rPr>
        <w:t>air</w:t>
      </w:r>
      <w:r>
        <w:rPr>
          <w:spacing w:val="3"/>
          <w:sz w:val="24"/>
        </w:rPr>
        <w:t> </w:t>
      </w:r>
      <w:r>
        <w:rPr>
          <w:sz w:val="24"/>
        </w:rPr>
        <w:t>flights in</w:t>
      </w:r>
      <w:r>
        <w:rPr>
          <w:spacing w:val="-7"/>
          <w:sz w:val="24"/>
        </w:rPr>
        <w:t> </w:t>
      </w:r>
      <w:r>
        <w:rPr>
          <w:sz w:val="24"/>
        </w:rPr>
        <w:t>an</w:t>
      </w:r>
      <w:r>
        <w:rPr>
          <w:spacing w:val="-7"/>
          <w:sz w:val="24"/>
        </w:rPr>
        <w:t> </w:t>
      </w:r>
      <w:r>
        <w:rPr>
          <w:sz w:val="24"/>
        </w:rPr>
        <w:t>unpressurized</w:t>
      </w:r>
      <w:r>
        <w:rPr>
          <w:spacing w:val="-3"/>
          <w:sz w:val="24"/>
        </w:rPr>
        <w:t> </w:t>
      </w:r>
      <w:r>
        <w:rPr>
          <w:sz w:val="24"/>
        </w:rPr>
        <w:t>cabin</w:t>
      </w:r>
    </w:p>
    <w:p>
      <w:pPr>
        <w:pStyle w:val="ListParagraph"/>
        <w:numPr>
          <w:ilvl w:val="0"/>
          <w:numId w:val="19"/>
        </w:numPr>
        <w:tabs>
          <w:tab w:pos="1540" w:val="left" w:leader="none"/>
        </w:tabs>
        <w:spacing w:line="237" w:lineRule="auto" w:before="206" w:after="0"/>
        <w:ind w:left="1540" w:right="1445" w:hanging="360"/>
        <w:jc w:val="left"/>
        <w:rPr>
          <w:sz w:val="24"/>
        </w:rPr>
      </w:pPr>
      <w:r>
        <w:rPr>
          <w:sz w:val="24"/>
        </w:rPr>
        <w:t>avoiding</w:t>
      </w:r>
      <w:r>
        <w:rPr>
          <w:spacing w:val="8"/>
          <w:sz w:val="24"/>
        </w:rPr>
        <w:t> </w:t>
      </w:r>
      <w:r>
        <w:rPr>
          <w:sz w:val="24"/>
        </w:rPr>
        <w:t>exposure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extreme</w:t>
      </w:r>
      <w:r>
        <w:rPr>
          <w:spacing w:val="8"/>
          <w:sz w:val="24"/>
        </w:rPr>
        <w:t> </w:t>
      </w:r>
      <w:r>
        <w:rPr>
          <w:sz w:val="24"/>
        </w:rPr>
        <w:t>cold,</w:t>
      </w:r>
      <w:r>
        <w:rPr>
          <w:spacing w:val="12"/>
          <w:sz w:val="24"/>
        </w:rPr>
        <w:t> </w:t>
      </w:r>
      <w:r>
        <w:rPr>
          <w:sz w:val="24"/>
        </w:rPr>
        <w:t>exercising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exhaustion</w:t>
      </w:r>
      <w:r>
        <w:rPr>
          <w:spacing w:val="4"/>
          <w:sz w:val="24"/>
        </w:rPr>
        <w:t> </w:t>
      </w:r>
      <w:r>
        <w:rPr>
          <w:sz w:val="24"/>
        </w:rPr>
        <w:t>or</w:t>
      </w:r>
      <w:r>
        <w:rPr>
          <w:spacing w:val="11"/>
          <w:sz w:val="24"/>
        </w:rPr>
        <w:t> </w:t>
      </w:r>
      <w:r>
        <w:rPr>
          <w:sz w:val="24"/>
        </w:rPr>
        <w:t>using</w:t>
      </w:r>
      <w:r>
        <w:rPr>
          <w:spacing w:val="8"/>
          <w:sz w:val="24"/>
        </w:rPr>
        <w:t> </w:t>
      </w:r>
      <w:r>
        <w:rPr>
          <w:sz w:val="24"/>
        </w:rPr>
        <w:t>drugs</w:t>
      </w:r>
      <w:r>
        <w:rPr>
          <w:spacing w:val="6"/>
          <w:sz w:val="24"/>
        </w:rPr>
        <w:t> </w:t>
      </w:r>
      <w:r>
        <w:rPr>
          <w:sz w:val="24"/>
        </w:rPr>
        <w:t>that</w:t>
      </w:r>
      <w:r>
        <w:rPr>
          <w:spacing w:val="14"/>
          <w:sz w:val="24"/>
        </w:rPr>
        <w:t> </w:t>
      </w:r>
      <w:r>
        <w:rPr>
          <w:sz w:val="24"/>
        </w:rPr>
        <w:t>can</w:t>
      </w:r>
      <w:r>
        <w:rPr>
          <w:spacing w:val="13"/>
          <w:sz w:val="24"/>
        </w:rPr>
        <w:t> </w:t>
      </w:r>
      <w:r>
        <w:rPr>
          <w:sz w:val="24"/>
        </w:rPr>
        <w:t>lead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acidosis (e.g.,</w:t>
      </w:r>
      <w:r>
        <w:rPr>
          <w:spacing w:val="4"/>
          <w:sz w:val="24"/>
        </w:rPr>
        <w:t> </w:t>
      </w:r>
      <w:r>
        <w:rPr>
          <w:sz w:val="24"/>
        </w:rPr>
        <w:t>acetazolamide)</w:t>
      </w:r>
    </w:p>
    <w:p>
      <w:pPr>
        <w:pStyle w:val="ListParagraph"/>
        <w:numPr>
          <w:ilvl w:val="0"/>
          <w:numId w:val="19"/>
        </w:numPr>
        <w:tabs>
          <w:tab w:pos="1540" w:val="left" w:leader="none"/>
        </w:tabs>
        <w:spacing w:line="240" w:lineRule="auto" w:before="200" w:after="0"/>
        <w:ind w:left="1540" w:right="0" w:hanging="360"/>
        <w:jc w:val="left"/>
        <w:rPr>
          <w:sz w:val="24"/>
        </w:rPr>
      </w:pPr>
      <w:r>
        <w:rPr>
          <w:sz w:val="24"/>
        </w:rPr>
        <w:t>genetic</w:t>
      </w:r>
      <w:r>
        <w:rPr>
          <w:spacing w:val="-5"/>
          <w:sz w:val="24"/>
        </w:rPr>
        <w:t> </w:t>
      </w:r>
      <w:r>
        <w:rPr>
          <w:sz w:val="24"/>
        </w:rPr>
        <w:t>and newborn</w:t>
      </w:r>
      <w:r>
        <w:rPr>
          <w:spacing w:val="-8"/>
          <w:sz w:val="24"/>
        </w:rPr>
        <w:t> </w:t>
      </w:r>
      <w:r>
        <w:rPr>
          <w:sz w:val="24"/>
        </w:rPr>
        <w:t>screening</w:t>
      </w:r>
    </w:p>
    <w:p>
      <w:pPr>
        <w:pStyle w:val="ListParagraph"/>
        <w:numPr>
          <w:ilvl w:val="0"/>
          <w:numId w:val="19"/>
        </w:numPr>
        <w:tabs>
          <w:tab w:pos="1540" w:val="left" w:leader="none"/>
        </w:tabs>
        <w:spacing w:line="240" w:lineRule="auto" w:before="199" w:after="0"/>
        <w:ind w:left="1540" w:right="0" w:hanging="360"/>
        <w:jc w:val="left"/>
        <w:rPr>
          <w:sz w:val="24"/>
        </w:rPr>
      </w:pPr>
      <w:r>
        <w:rPr>
          <w:sz w:val="24"/>
        </w:rPr>
        <w:t>vocational</w:t>
      </w:r>
      <w:r>
        <w:rPr>
          <w:spacing w:val="-9"/>
          <w:sz w:val="24"/>
        </w:rPr>
        <w:t> </w:t>
      </w:r>
      <w:r>
        <w:rPr>
          <w:sz w:val="24"/>
        </w:rPr>
        <w:t>counselling</w:t>
      </w:r>
    </w:p>
    <w:p>
      <w:pPr>
        <w:pStyle w:val="ListParagraph"/>
        <w:numPr>
          <w:ilvl w:val="0"/>
          <w:numId w:val="19"/>
        </w:numPr>
        <w:tabs>
          <w:tab w:pos="1539" w:val="left" w:leader="none"/>
          <w:tab w:pos="1540" w:val="left" w:leader="none"/>
        </w:tabs>
        <w:spacing w:line="355" w:lineRule="auto" w:before="205" w:after="0"/>
        <w:ind w:left="1540" w:right="1445" w:hanging="360"/>
        <w:jc w:val="left"/>
        <w:rPr>
          <w:sz w:val="24"/>
        </w:rPr>
      </w:pPr>
      <w:r>
        <w:rPr>
          <w:sz w:val="24"/>
        </w:rPr>
        <w:t>avoiding</w:t>
      </w:r>
      <w:r>
        <w:rPr>
          <w:spacing w:val="7"/>
          <w:sz w:val="24"/>
        </w:rPr>
        <w:t> </w:t>
      </w:r>
      <w:r>
        <w:rPr>
          <w:sz w:val="24"/>
        </w:rPr>
        <w:t>hypoxemia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preoperative</w:t>
      </w:r>
      <w:r>
        <w:rPr>
          <w:spacing w:val="2"/>
          <w:sz w:val="24"/>
        </w:rPr>
        <w:t> </w:t>
      </w:r>
      <w:r>
        <w:rPr>
          <w:sz w:val="24"/>
        </w:rPr>
        <w:t>period</w:t>
      </w:r>
      <w:r>
        <w:rPr>
          <w:spacing w:val="4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general anaesthesia</w:t>
      </w:r>
      <w:r>
        <w:rPr>
          <w:spacing w:val="7"/>
          <w:sz w:val="24"/>
        </w:rPr>
        <w:t> </w:t>
      </w:r>
      <w:r>
        <w:rPr>
          <w:sz w:val="24"/>
        </w:rPr>
        <w:t>is</w:t>
      </w:r>
      <w:r>
        <w:rPr>
          <w:spacing w:val="2"/>
          <w:sz w:val="24"/>
        </w:rPr>
        <w:t> </w:t>
      </w:r>
      <w:r>
        <w:rPr>
          <w:sz w:val="24"/>
        </w:rPr>
        <w:t>used</w:t>
      </w:r>
      <w:r>
        <w:rPr>
          <w:spacing w:val="4"/>
          <w:sz w:val="24"/>
        </w:rPr>
        <w:t> </w:t>
      </w:r>
      <w:r>
        <w:rPr>
          <w:sz w:val="24"/>
        </w:rPr>
        <w:t>or</w:t>
      </w:r>
      <w:r>
        <w:rPr>
          <w:spacing w:val="4"/>
          <w:sz w:val="24"/>
        </w:rPr>
        <w:t> </w:t>
      </w:r>
      <w:r>
        <w:rPr>
          <w:sz w:val="24"/>
        </w:rPr>
        <w:t>when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procedure involves</w:t>
      </w:r>
      <w:r>
        <w:rPr>
          <w:spacing w:val="4"/>
          <w:sz w:val="24"/>
        </w:rPr>
        <w:t> </w:t>
      </w:r>
      <w:r>
        <w:rPr>
          <w:sz w:val="24"/>
        </w:rPr>
        <w:t>hypertonic radiographic dyes</w:t>
      </w:r>
      <w:r>
        <w:rPr>
          <w:spacing w:val="3"/>
          <w:sz w:val="24"/>
        </w:rPr>
        <w:t> </w:t>
      </w:r>
      <w:r>
        <w:rPr>
          <w:sz w:val="24"/>
        </w:rPr>
        <w:t>(Steven</w:t>
      </w:r>
      <w:r>
        <w:rPr>
          <w:spacing w:val="-3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3"/>
          <w:sz w:val="24"/>
        </w:rPr>
        <w:t> </w:t>
      </w:r>
      <w:r>
        <w:rPr>
          <w:sz w:val="24"/>
        </w:rPr>
        <w:t>2000).</w:t>
      </w:r>
    </w:p>
    <w:p>
      <w:pPr>
        <w:spacing w:after="0" w:line="355" w:lineRule="auto"/>
        <w:jc w:val="left"/>
        <w:rPr>
          <w:sz w:val="24"/>
        </w:rPr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numPr>
          <w:ilvl w:val="2"/>
          <w:numId w:val="15"/>
        </w:numPr>
        <w:tabs>
          <w:tab w:pos="1659" w:val="left" w:leader="none"/>
          <w:tab w:pos="1660" w:val="left" w:leader="none"/>
        </w:tabs>
        <w:spacing w:line="240" w:lineRule="auto" w:before="72" w:after="0"/>
        <w:ind w:left="1659" w:right="0" w:hanging="840"/>
        <w:jc w:val="left"/>
      </w:pPr>
      <w:bookmarkStart w:name="_TOC_250036" w:id="18"/>
      <w:r>
        <w:rPr/>
        <w:t>Management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Sickle</w:t>
      </w:r>
      <w:r>
        <w:rPr>
          <w:spacing w:val="-3"/>
        </w:rPr>
        <w:t> </w:t>
      </w:r>
      <w:r>
        <w:rPr/>
        <w:t>Cell</w:t>
      </w:r>
      <w:r>
        <w:rPr>
          <w:spacing w:val="-5"/>
        </w:rPr>
        <w:t> </w:t>
      </w:r>
      <w:bookmarkEnd w:id="18"/>
      <w:r>
        <w:rPr/>
        <w:t>Disease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 w:before="1"/>
        <w:ind w:left="820" w:right="1439"/>
        <w:jc w:val="both"/>
      </w:pPr>
      <w:r>
        <w:rPr/>
        <w:t>Optimal management requires a multidisciplinary team (physicians, haematologists, pharmacists,</w:t>
      </w:r>
      <w:r>
        <w:rPr>
          <w:spacing w:val="-57"/>
        </w:rPr>
        <w:t> </w:t>
      </w:r>
      <w:r>
        <w:rPr/>
        <w:t>nurses, psychiatrists, physical therapists, pain specialists and social workers) working together to</w:t>
      </w:r>
      <w:r>
        <w:rPr>
          <w:spacing w:val="-57"/>
        </w:rPr>
        <w:t> </w:t>
      </w:r>
      <w:r>
        <w:rPr/>
        <w:t>provide empathetic, consistent, longitudinal care in a trustworthy environment (Steven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2000). The diversity of SCD complicates its management (Steinberg 1999), thus, the choice of</w:t>
      </w:r>
      <w:r>
        <w:rPr>
          <w:spacing w:val="1"/>
        </w:rPr>
        <w:t> </w:t>
      </w:r>
      <w:r>
        <w:rPr/>
        <w:t>management is both patient and environment specific. Treatment strategies according to the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treatment</w:t>
      </w:r>
      <w:r>
        <w:rPr>
          <w:spacing w:val="7"/>
        </w:rPr>
        <w:t> </w:t>
      </w:r>
      <w:r>
        <w:rPr/>
        <w:t>guidelines (2008)</w:t>
      </w:r>
      <w:r>
        <w:rPr>
          <w:spacing w:val="2"/>
        </w:rPr>
        <w:t> </w:t>
      </w:r>
      <w:r>
        <w:rPr/>
        <w:t>are:</w:t>
      </w:r>
    </w:p>
    <w:p>
      <w:pPr>
        <w:pStyle w:val="ListParagraph"/>
        <w:numPr>
          <w:ilvl w:val="0"/>
          <w:numId w:val="20"/>
        </w:numPr>
        <w:tabs>
          <w:tab w:pos="2260" w:val="left" w:leader="none"/>
        </w:tabs>
        <w:spacing w:line="240" w:lineRule="auto" w:before="199" w:after="0"/>
        <w:ind w:left="2260" w:right="0" w:hanging="360"/>
        <w:jc w:val="both"/>
        <w:rPr>
          <w:sz w:val="24"/>
        </w:rPr>
      </w:pPr>
      <w:r>
        <w:rPr>
          <w:sz w:val="24"/>
        </w:rPr>
        <w:t>Counselling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health</w:t>
      </w:r>
      <w:r>
        <w:rPr>
          <w:spacing w:val="-7"/>
          <w:sz w:val="24"/>
        </w:rPr>
        <w:t> </w:t>
      </w:r>
      <w:r>
        <w:rPr>
          <w:sz w:val="24"/>
        </w:rPr>
        <w:t>education</w:t>
      </w:r>
    </w:p>
    <w:p>
      <w:pPr>
        <w:pStyle w:val="ListParagraph"/>
        <w:numPr>
          <w:ilvl w:val="0"/>
          <w:numId w:val="20"/>
        </w:numPr>
        <w:tabs>
          <w:tab w:pos="2260" w:val="left" w:leader="none"/>
        </w:tabs>
        <w:spacing w:line="240" w:lineRule="auto" w:before="199" w:after="0"/>
        <w:ind w:left="2260" w:right="0" w:hanging="360"/>
        <w:jc w:val="both"/>
        <w:rPr>
          <w:sz w:val="24"/>
        </w:rPr>
      </w:pPr>
      <w:r>
        <w:rPr>
          <w:sz w:val="24"/>
        </w:rPr>
        <w:t>Encouraging</w:t>
      </w:r>
      <w:r>
        <w:rPr>
          <w:spacing w:val="3"/>
          <w:sz w:val="24"/>
        </w:rPr>
        <w:t> </w:t>
      </w:r>
      <w:r>
        <w:rPr>
          <w:sz w:val="24"/>
        </w:rPr>
        <w:t>membership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support</w:t>
      </w:r>
      <w:r>
        <w:rPr>
          <w:spacing w:val="-2"/>
          <w:sz w:val="24"/>
        </w:rPr>
        <w:t> </w:t>
      </w:r>
      <w:r>
        <w:rPr>
          <w:sz w:val="24"/>
        </w:rPr>
        <w:t>groups</w:t>
      </w:r>
    </w:p>
    <w:p>
      <w:pPr>
        <w:pStyle w:val="ListParagraph"/>
        <w:numPr>
          <w:ilvl w:val="0"/>
          <w:numId w:val="20"/>
        </w:numPr>
        <w:tabs>
          <w:tab w:pos="2260" w:val="left" w:leader="none"/>
        </w:tabs>
        <w:spacing w:line="240" w:lineRule="auto" w:before="199" w:after="0"/>
        <w:ind w:left="2260" w:right="0" w:hanging="360"/>
        <w:jc w:val="both"/>
        <w:rPr>
          <w:sz w:val="24"/>
        </w:rPr>
      </w:pPr>
      <w:r>
        <w:rPr>
          <w:sz w:val="24"/>
        </w:rPr>
        <w:t>Providing</w:t>
      </w:r>
      <w:r>
        <w:rPr>
          <w:spacing w:val="-2"/>
          <w:sz w:val="24"/>
        </w:rPr>
        <w:t> </w:t>
      </w:r>
      <w:r>
        <w:rPr>
          <w:sz w:val="24"/>
        </w:rPr>
        <w:t>infection</w:t>
      </w:r>
      <w:r>
        <w:rPr>
          <w:spacing w:val="-11"/>
          <w:sz w:val="24"/>
        </w:rPr>
        <w:t> </w:t>
      </w:r>
      <w:r>
        <w:rPr>
          <w:sz w:val="24"/>
        </w:rPr>
        <w:t>prophylaxis</w:t>
      </w:r>
    </w:p>
    <w:p>
      <w:pPr>
        <w:pStyle w:val="ListParagraph"/>
        <w:numPr>
          <w:ilvl w:val="1"/>
          <w:numId w:val="20"/>
        </w:numPr>
        <w:tabs>
          <w:tab w:pos="2980" w:val="left" w:leader="none"/>
        </w:tabs>
        <w:spacing w:line="240" w:lineRule="auto" w:before="204" w:after="0"/>
        <w:ind w:left="2980" w:right="0" w:hanging="308"/>
        <w:jc w:val="left"/>
        <w:rPr>
          <w:sz w:val="24"/>
        </w:rPr>
      </w:pPr>
      <w:r>
        <w:rPr>
          <w:sz w:val="24"/>
        </w:rPr>
        <w:t>Antimalaria</w:t>
      </w:r>
    </w:p>
    <w:p>
      <w:pPr>
        <w:pStyle w:val="ListParagraph"/>
        <w:numPr>
          <w:ilvl w:val="1"/>
          <w:numId w:val="20"/>
        </w:numPr>
        <w:tabs>
          <w:tab w:pos="2980" w:val="left" w:leader="none"/>
        </w:tabs>
        <w:spacing w:line="240" w:lineRule="auto" w:before="200" w:after="0"/>
        <w:ind w:left="2980" w:right="0" w:hanging="375"/>
        <w:jc w:val="left"/>
        <w:rPr>
          <w:sz w:val="24"/>
        </w:rPr>
      </w:pPr>
      <w:r>
        <w:rPr>
          <w:sz w:val="24"/>
        </w:rPr>
        <w:t>Vaccines</w:t>
      </w:r>
    </w:p>
    <w:p>
      <w:pPr>
        <w:pStyle w:val="ListParagraph"/>
        <w:numPr>
          <w:ilvl w:val="0"/>
          <w:numId w:val="20"/>
        </w:numPr>
        <w:tabs>
          <w:tab w:pos="2260" w:val="left" w:leader="none"/>
        </w:tabs>
        <w:spacing w:line="240" w:lineRule="auto" w:before="199" w:after="0"/>
        <w:ind w:left="2260" w:right="0" w:hanging="360"/>
        <w:jc w:val="both"/>
        <w:rPr>
          <w:sz w:val="24"/>
        </w:rPr>
      </w:pPr>
      <w:r>
        <w:rPr>
          <w:sz w:val="24"/>
        </w:rPr>
        <w:t>Providing</w:t>
      </w:r>
      <w:r>
        <w:rPr>
          <w:spacing w:val="-4"/>
          <w:sz w:val="24"/>
        </w:rPr>
        <w:t> </w:t>
      </w:r>
      <w:r>
        <w:rPr>
          <w:sz w:val="24"/>
        </w:rPr>
        <w:t>regular</w:t>
      </w:r>
      <w:r>
        <w:rPr>
          <w:spacing w:val="-2"/>
          <w:sz w:val="24"/>
        </w:rPr>
        <w:t> </w:t>
      </w:r>
      <w:r>
        <w:rPr>
          <w:sz w:val="24"/>
        </w:rPr>
        <w:t>health</w:t>
      </w:r>
      <w:r>
        <w:rPr>
          <w:spacing w:val="-7"/>
          <w:sz w:val="24"/>
        </w:rPr>
        <w:t> </w:t>
      </w:r>
      <w:r>
        <w:rPr>
          <w:sz w:val="24"/>
        </w:rPr>
        <w:t>checks</w:t>
      </w:r>
    </w:p>
    <w:p>
      <w:pPr>
        <w:pStyle w:val="ListParagraph"/>
        <w:numPr>
          <w:ilvl w:val="0"/>
          <w:numId w:val="20"/>
        </w:numPr>
        <w:tabs>
          <w:tab w:pos="2260" w:val="left" w:leader="none"/>
        </w:tabs>
        <w:spacing w:line="240" w:lineRule="auto" w:before="199" w:after="0"/>
        <w:ind w:left="2260" w:right="0" w:hanging="360"/>
        <w:jc w:val="left"/>
        <w:rPr>
          <w:sz w:val="24"/>
        </w:rPr>
      </w:pPr>
      <w:r>
        <w:rPr>
          <w:sz w:val="24"/>
        </w:rPr>
        <w:t>Treating</w:t>
      </w:r>
      <w:r>
        <w:rPr>
          <w:spacing w:val="2"/>
          <w:sz w:val="24"/>
        </w:rPr>
        <w:t> </w:t>
      </w:r>
      <w:r>
        <w:rPr>
          <w:sz w:val="24"/>
        </w:rPr>
        <w:t>infections</w:t>
      </w:r>
      <w:r>
        <w:rPr>
          <w:spacing w:val="-4"/>
          <w:sz w:val="24"/>
        </w:rPr>
        <w:t> </w:t>
      </w:r>
      <w:r>
        <w:rPr>
          <w:sz w:val="24"/>
        </w:rPr>
        <w:t>(first</w:t>
      </w:r>
      <w:r>
        <w:rPr>
          <w:spacing w:val="3"/>
          <w:sz w:val="24"/>
        </w:rPr>
        <w:t> </w:t>
      </w:r>
      <w:r>
        <w:rPr>
          <w:sz w:val="24"/>
        </w:rPr>
        <w:t>drug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choice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amoxicillin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its</w:t>
      </w:r>
      <w:r>
        <w:rPr>
          <w:spacing w:val="-4"/>
          <w:sz w:val="24"/>
        </w:rPr>
        <w:t> </w:t>
      </w:r>
      <w:r>
        <w:rPr>
          <w:sz w:val="24"/>
        </w:rPr>
        <w:t>derivatives)</w:t>
      </w:r>
    </w:p>
    <w:p>
      <w:pPr>
        <w:pStyle w:val="ListParagraph"/>
        <w:numPr>
          <w:ilvl w:val="0"/>
          <w:numId w:val="20"/>
        </w:numPr>
        <w:tabs>
          <w:tab w:pos="2259" w:val="left" w:leader="none"/>
          <w:tab w:pos="2260" w:val="left" w:leader="none"/>
        </w:tabs>
        <w:spacing w:line="240" w:lineRule="auto" w:before="199" w:after="0"/>
        <w:ind w:left="2260" w:right="0" w:hanging="360"/>
        <w:jc w:val="left"/>
        <w:rPr>
          <w:sz w:val="24"/>
        </w:rPr>
      </w:pPr>
      <w:r>
        <w:rPr>
          <w:sz w:val="24"/>
        </w:rPr>
        <w:t>Providing</w:t>
      </w:r>
      <w:r>
        <w:rPr>
          <w:spacing w:val="3"/>
          <w:sz w:val="24"/>
        </w:rPr>
        <w:t> </w:t>
      </w:r>
      <w:r>
        <w:rPr>
          <w:sz w:val="24"/>
        </w:rPr>
        <w:t>folate</w:t>
      </w:r>
      <w:r>
        <w:rPr>
          <w:spacing w:val="-1"/>
          <w:sz w:val="24"/>
        </w:rPr>
        <w:t> </w:t>
      </w:r>
      <w:r>
        <w:rPr>
          <w:sz w:val="24"/>
        </w:rPr>
        <w:t>supplementation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those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steady</w:t>
      </w:r>
      <w:r>
        <w:rPr>
          <w:spacing w:val="-6"/>
          <w:sz w:val="24"/>
        </w:rPr>
        <w:t> </w:t>
      </w:r>
      <w:r>
        <w:rPr>
          <w:sz w:val="24"/>
        </w:rPr>
        <w:t>state</w:t>
      </w:r>
    </w:p>
    <w:p>
      <w:pPr>
        <w:pStyle w:val="ListParagraph"/>
        <w:numPr>
          <w:ilvl w:val="0"/>
          <w:numId w:val="20"/>
        </w:numPr>
        <w:tabs>
          <w:tab w:pos="2260" w:val="left" w:leader="none"/>
        </w:tabs>
        <w:spacing w:line="240" w:lineRule="auto" w:before="200" w:after="0"/>
        <w:ind w:left="2260" w:right="0" w:hanging="360"/>
        <w:jc w:val="left"/>
        <w:rPr>
          <w:sz w:val="24"/>
        </w:rPr>
      </w:pPr>
      <w:r>
        <w:rPr>
          <w:sz w:val="24"/>
        </w:rPr>
        <w:t>Treating</w:t>
      </w:r>
      <w:r>
        <w:rPr>
          <w:spacing w:val="-3"/>
          <w:sz w:val="24"/>
        </w:rPr>
        <w:t> </w:t>
      </w:r>
      <w:r>
        <w:rPr>
          <w:sz w:val="24"/>
        </w:rPr>
        <w:t>pain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those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crises:</w:t>
      </w:r>
    </w:p>
    <w:p>
      <w:pPr>
        <w:pStyle w:val="ListParagraph"/>
        <w:numPr>
          <w:ilvl w:val="1"/>
          <w:numId w:val="20"/>
        </w:numPr>
        <w:tabs>
          <w:tab w:pos="2980" w:val="left" w:leader="none"/>
        </w:tabs>
        <w:spacing w:line="240" w:lineRule="auto" w:before="199" w:after="0"/>
        <w:ind w:left="2980" w:right="0" w:hanging="308"/>
        <w:jc w:val="left"/>
        <w:rPr>
          <w:sz w:val="24"/>
        </w:rPr>
      </w:pPr>
      <w:r>
        <w:rPr>
          <w:sz w:val="24"/>
        </w:rPr>
        <w:t>Mild</w:t>
      </w:r>
      <w:r>
        <w:rPr>
          <w:spacing w:val="-3"/>
          <w:sz w:val="24"/>
        </w:rPr>
        <w:t> </w:t>
      </w:r>
      <w:r>
        <w:rPr>
          <w:sz w:val="24"/>
        </w:rPr>
        <w:t>pain</w:t>
      </w:r>
      <w:r>
        <w:rPr>
          <w:spacing w:val="-5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paracetamol, aspirin, or</w:t>
      </w:r>
      <w:r>
        <w:rPr>
          <w:spacing w:val="-5"/>
          <w:sz w:val="24"/>
        </w:rPr>
        <w:t> </w:t>
      </w:r>
      <w:r>
        <w:rPr>
          <w:sz w:val="24"/>
        </w:rPr>
        <w:t>ibuprofen</w:t>
      </w:r>
    </w:p>
    <w:p>
      <w:pPr>
        <w:pStyle w:val="ListParagraph"/>
        <w:numPr>
          <w:ilvl w:val="1"/>
          <w:numId w:val="20"/>
        </w:numPr>
        <w:tabs>
          <w:tab w:pos="2980" w:val="left" w:leader="none"/>
        </w:tabs>
        <w:spacing w:line="237" w:lineRule="auto" w:before="206" w:after="0"/>
        <w:ind w:left="2980" w:right="1441" w:hanging="375"/>
        <w:jc w:val="left"/>
        <w:rPr>
          <w:sz w:val="24"/>
        </w:rPr>
      </w:pPr>
      <w:r>
        <w:rPr>
          <w:sz w:val="24"/>
        </w:rPr>
        <w:t>Moderate</w:t>
      </w:r>
      <w:r>
        <w:rPr>
          <w:spacing w:val="35"/>
          <w:sz w:val="24"/>
        </w:rPr>
        <w:t> </w:t>
      </w:r>
      <w:r>
        <w:rPr>
          <w:sz w:val="24"/>
        </w:rPr>
        <w:t>to</w:t>
      </w:r>
      <w:r>
        <w:rPr>
          <w:spacing w:val="45"/>
          <w:sz w:val="24"/>
        </w:rPr>
        <w:t> </w:t>
      </w:r>
      <w:r>
        <w:rPr>
          <w:sz w:val="24"/>
        </w:rPr>
        <w:t>severe</w:t>
      </w:r>
      <w:r>
        <w:rPr>
          <w:spacing w:val="40"/>
          <w:sz w:val="24"/>
        </w:rPr>
        <w:t> </w:t>
      </w:r>
      <w:r>
        <w:rPr>
          <w:sz w:val="24"/>
        </w:rPr>
        <w:t>pain</w:t>
      </w:r>
      <w:r>
        <w:rPr>
          <w:spacing w:val="43"/>
          <w:sz w:val="24"/>
        </w:rPr>
        <w:t> </w:t>
      </w:r>
      <w:r>
        <w:rPr>
          <w:sz w:val="24"/>
        </w:rPr>
        <w:t>–</w:t>
      </w:r>
      <w:r>
        <w:rPr>
          <w:spacing w:val="41"/>
          <w:sz w:val="24"/>
        </w:rPr>
        <w:t> </w:t>
      </w:r>
      <w:r>
        <w:rPr>
          <w:sz w:val="24"/>
        </w:rPr>
        <w:t>diclofenac</w:t>
      </w:r>
      <w:r>
        <w:rPr>
          <w:spacing w:val="45"/>
          <w:sz w:val="24"/>
        </w:rPr>
        <w:t> </w:t>
      </w:r>
      <w:r>
        <w:rPr>
          <w:sz w:val="24"/>
        </w:rPr>
        <w:t>sodium,</w:t>
      </w:r>
      <w:r>
        <w:rPr>
          <w:spacing w:val="43"/>
          <w:sz w:val="24"/>
        </w:rPr>
        <w:t> </w:t>
      </w:r>
      <w:r>
        <w:rPr>
          <w:sz w:val="24"/>
        </w:rPr>
        <w:t>diclofenac</w:t>
      </w:r>
      <w:r>
        <w:rPr>
          <w:spacing w:val="42"/>
          <w:sz w:val="24"/>
        </w:rPr>
        <w:t> </w:t>
      </w:r>
      <w:r>
        <w:rPr>
          <w:sz w:val="24"/>
        </w:rPr>
        <w:t>potassium,</w:t>
      </w:r>
      <w:r>
        <w:rPr>
          <w:spacing w:val="43"/>
          <w:sz w:val="24"/>
        </w:rPr>
        <w:t> </w:t>
      </w:r>
      <w:r>
        <w:rPr>
          <w:sz w:val="24"/>
        </w:rPr>
        <w:t>or</w:t>
      </w:r>
      <w:r>
        <w:rPr>
          <w:spacing w:val="-57"/>
          <w:sz w:val="24"/>
        </w:rPr>
        <w:t> </w:t>
      </w:r>
      <w:r>
        <w:rPr>
          <w:sz w:val="24"/>
        </w:rPr>
        <w:t>morphine.</w:t>
      </w:r>
    </w:p>
    <w:p>
      <w:pPr>
        <w:pStyle w:val="Heading1"/>
        <w:numPr>
          <w:ilvl w:val="0"/>
          <w:numId w:val="21"/>
        </w:numPr>
        <w:tabs>
          <w:tab w:pos="1603" w:val="left" w:leader="none"/>
        </w:tabs>
        <w:spacing w:line="240" w:lineRule="auto" w:before="205" w:after="0"/>
        <w:ind w:left="1602" w:right="0" w:hanging="423"/>
        <w:jc w:val="both"/>
      </w:pPr>
      <w:r>
        <w:rPr/>
        <w:t>Specific</w:t>
      </w:r>
      <w:r>
        <w:rPr>
          <w:spacing w:val="-3"/>
        </w:rPr>
        <w:t> </w:t>
      </w:r>
      <w:r>
        <w:rPr/>
        <w:t>pain</w:t>
      </w:r>
      <w:r>
        <w:rPr>
          <w:spacing w:val="-1"/>
        </w:rPr>
        <w:t> </w:t>
      </w:r>
      <w:r>
        <w:rPr/>
        <w:t>management</w:t>
      </w:r>
    </w:p>
    <w:p>
      <w:pPr>
        <w:pStyle w:val="BodyText"/>
        <w:spacing w:line="360" w:lineRule="auto" w:before="194"/>
        <w:ind w:left="820" w:right="1438"/>
        <w:jc w:val="both"/>
      </w:pPr>
      <w:r>
        <w:rPr/>
        <w:t>Acute episodes of severe pain (crises) are the primary reasons that SCD patients seek medical</w:t>
      </w:r>
      <w:r>
        <w:rPr>
          <w:spacing w:val="1"/>
        </w:rPr>
        <w:t> </w:t>
      </w:r>
      <w:r>
        <w:rPr/>
        <w:t>care in hospital emergency department (Steven </w:t>
      </w:r>
      <w:r>
        <w:rPr>
          <w:i/>
        </w:rPr>
        <w:t>et al</w:t>
      </w:r>
      <w:r>
        <w:rPr/>
        <w:t>., 2000).</w:t>
      </w:r>
      <w:r>
        <w:rPr>
          <w:spacing w:val="1"/>
        </w:rPr>
        <w:t> </w:t>
      </w:r>
      <w:r>
        <w:rPr/>
        <w:t>Most patients who have episodes of</w:t>
      </w:r>
      <w:r>
        <w:rPr>
          <w:spacing w:val="-57"/>
        </w:rPr>
        <w:t> </w:t>
      </w:r>
      <w:r>
        <w:rPr/>
        <w:t>acute pain are neither drug addicts nor drug seekers (Steinberg, 1999). Pain from vaso-occlusive</w:t>
      </w:r>
      <w:r>
        <w:rPr>
          <w:spacing w:val="1"/>
        </w:rPr>
        <w:t> </w:t>
      </w:r>
      <w:r>
        <w:rPr/>
        <w:t>crises is often undertreated because of concerns about narcotic addiction and tolerance, perceived</w:t>
      </w:r>
      <w:r>
        <w:rPr>
          <w:spacing w:val="-57"/>
        </w:rPr>
        <w:t> </w:t>
      </w:r>
      <w:r>
        <w:rPr/>
        <w:t>drug-seeking behaviour, excessive sedation, respiratory depression and lack of specific findings</w:t>
      </w:r>
      <w:r>
        <w:rPr>
          <w:spacing w:val="1"/>
        </w:rPr>
        <w:t> </w:t>
      </w:r>
      <w:r>
        <w:rPr/>
        <w:t>on the physical examination (Steven </w:t>
      </w:r>
      <w:r>
        <w:rPr>
          <w:i/>
        </w:rPr>
        <w:t>et al</w:t>
      </w:r>
      <w:r>
        <w:rPr/>
        <w:t>., 2000). Yet the incidence of opioid analgesic addiction</w:t>
      </w:r>
      <w:r>
        <w:rPr>
          <w:spacing w:val="-57"/>
        </w:rPr>
        <w:t> </w:t>
      </w:r>
      <w:r>
        <w:rPr/>
        <w:t>in patients with SCD has been reported to be no higher than 3% (Steven </w:t>
      </w:r>
      <w:r>
        <w:rPr>
          <w:i/>
        </w:rPr>
        <w:t>et al</w:t>
      </w:r>
      <w:r>
        <w:rPr/>
        <w:t>., 2000). The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pharmacologic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non-pharmacologic</w:t>
      </w:r>
      <w:r>
        <w:rPr>
          <w:spacing w:val="1"/>
        </w:rPr>
        <w:t> </w:t>
      </w:r>
      <w:r>
        <w:rPr/>
        <w:t>techniques.</w:t>
      </w:r>
      <w:r>
        <w:rPr>
          <w:spacing w:val="1"/>
        </w:rPr>
        <w:t> </w:t>
      </w:r>
      <w:r>
        <w:rPr/>
        <w:t>Pharmacological</w:t>
      </w:r>
      <w:r>
        <w:rPr>
          <w:spacing w:val="-6"/>
        </w:rPr>
        <w:t> </w:t>
      </w:r>
      <w:r>
        <w:rPr/>
        <w:t>management</w:t>
      </w:r>
      <w:r>
        <w:rPr>
          <w:spacing w:val="3"/>
        </w:rPr>
        <w:t> </w:t>
      </w:r>
      <w:r>
        <w:rPr/>
        <w:t>is</w:t>
      </w:r>
      <w:r>
        <w:rPr>
          <w:spacing w:val="-4"/>
        </w:rPr>
        <w:t>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three-step</w:t>
      </w:r>
      <w:r>
        <w:rPr>
          <w:spacing w:val="-2"/>
        </w:rPr>
        <w:t> </w:t>
      </w:r>
      <w:r>
        <w:rPr/>
        <w:t>"analgesic</w:t>
      </w:r>
      <w:r>
        <w:rPr>
          <w:spacing w:val="2"/>
        </w:rPr>
        <w:t> </w:t>
      </w:r>
      <w:r>
        <w:rPr/>
        <w:t>ladder"</w:t>
      </w:r>
      <w:r>
        <w:rPr>
          <w:spacing w:val="-4"/>
        </w:rPr>
        <w:t> </w:t>
      </w:r>
      <w:r>
        <w:rPr/>
        <w:t>recommended</w:t>
      </w:r>
      <w:r>
        <w:rPr>
          <w:spacing w:val="-2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 w:before="90"/>
        <w:ind w:left="820" w:right="1439"/>
        <w:jc w:val="both"/>
      </w:pP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(WHO)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cancer-related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pharmacological management is also</w:t>
      </w:r>
      <w:r>
        <w:rPr>
          <w:spacing w:val="1"/>
        </w:rPr>
        <w:t> </w:t>
      </w:r>
      <w:r>
        <w:rPr/>
        <w:t>important and includes: psychological supportive care,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hydration,</w:t>
      </w:r>
      <w:r>
        <w:rPr>
          <w:spacing w:val="1"/>
        </w:rPr>
        <w:t> </w:t>
      </w:r>
      <w:r>
        <w:rPr/>
        <w:t>rest,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therapy,</w:t>
      </w:r>
      <w:r>
        <w:rPr>
          <w:spacing w:val="1"/>
        </w:rPr>
        <w:t> </w:t>
      </w:r>
      <w:r>
        <w:rPr/>
        <w:t>heat</w:t>
      </w:r>
      <w:r>
        <w:rPr>
          <w:spacing w:val="1"/>
        </w:rPr>
        <w:t> </w:t>
      </w:r>
      <w:r>
        <w:rPr/>
        <w:t>application,</w:t>
      </w:r>
      <w:r>
        <w:rPr>
          <w:spacing w:val="1"/>
        </w:rPr>
        <w:t> </w:t>
      </w:r>
      <w:r>
        <w:rPr/>
        <w:t>transcutaneous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nerve</w:t>
      </w:r>
      <w:r>
        <w:rPr>
          <w:spacing w:val="1"/>
        </w:rPr>
        <w:t> </w:t>
      </w:r>
      <w:r>
        <w:rPr/>
        <w:t>stimulation</w:t>
      </w:r>
      <w:r>
        <w:rPr>
          <w:spacing w:val="-4"/>
        </w:rPr>
        <w:t> </w:t>
      </w:r>
      <w:r>
        <w:rPr/>
        <w:t>(TENS),</w:t>
      </w:r>
      <w:r>
        <w:rPr>
          <w:spacing w:val="2"/>
        </w:rPr>
        <w:t> </w:t>
      </w:r>
      <w:r>
        <w:rPr/>
        <w:t>self-hypnosis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diversional</w:t>
      </w:r>
      <w:r>
        <w:rPr>
          <w:spacing w:val="-3"/>
        </w:rPr>
        <w:t> </w:t>
      </w:r>
      <w:r>
        <w:rPr/>
        <w:t>techniques</w:t>
      </w:r>
      <w:r>
        <w:rPr>
          <w:spacing w:val="-1"/>
        </w:rPr>
        <w:t> </w:t>
      </w:r>
      <w:r>
        <w:rPr/>
        <w:t>(Steven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2000).</w:t>
      </w:r>
    </w:p>
    <w:p>
      <w:pPr>
        <w:pStyle w:val="Heading1"/>
        <w:numPr>
          <w:ilvl w:val="1"/>
          <w:numId w:val="21"/>
        </w:numPr>
        <w:tabs>
          <w:tab w:pos="1540" w:val="left" w:leader="none"/>
        </w:tabs>
        <w:spacing w:line="240" w:lineRule="auto" w:before="200" w:after="0"/>
        <w:ind w:left="1540" w:right="0" w:hanging="360"/>
        <w:jc w:val="left"/>
      </w:pPr>
      <w:r>
        <w:rPr/>
        <w:t>Paracetamol</w:t>
      </w:r>
    </w:p>
    <w:p>
      <w:pPr>
        <w:pStyle w:val="BodyText"/>
        <w:rPr>
          <w:b/>
          <w:sz w:val="21"/>
        </w:rPr>
      </w:pPr>
    </w:p>
    <w:p>
      <w:pPr>
        <w:pStyle w:val="BodyText"/>
        <w:spacing w:line="273" w:lineRule="auto" w:before="1"/>
        <w:ind w:left="820" w:right="1446"/>
        <w:jc w:val="both"/>
      </w:pPr>
      <w:r>
        <w:rPr/>
        <w:t>Paracetamol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weak</w:t>
      </w:r>
      <w:r>
        <w:rPr>
          <w:spacing w:val="1"/>
        </w:rPr>
        <w:t> </w:t>
      </w:r>
      <w:r>
        <w:rPr/>
        <w:t>anti-inflammatory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antipyretic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analgesic agent. It lacks certain side effects of NSAIDs, such as gastrointestinal tract damage and</w:t>
      </w:r>
      <w:r>
        <w:rPr>
          <w:spacing w:val="-57"/>
        </w:rPr>
        <w:t> </w:t>
      </w:r>
      <w:r>
        <w:rPr/>
        <w:t>blockade of</w:t>
      </w:r>
      <w:r>
        <w:rPr>
          <w:spacing w:val="-6"/>
        </w:rPr>
        <w:t> </w:t>
      </w:r>
      <w:r>
        <w:rPr/>
        <w:t>platelet</w:t>
      </w:r>
      <w:r>
        <w:rPr>
          <w:spacing w:val="6"/>
        </w:rPr>
        <w:t> </w:t>
      </w:r>
      <w:r>
        <w:rPr/>
        <w:t>aggregation</w:t>
      </w:r>
      <w:r>
        <w:rPr>
          <w:spacing w:val="-3"/>
        </w:rPr>
        <w:t> </w:t>
      </w:r>
      <w:r>
        <w:rPr/>
        <w:t>(Goodman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Gilman</w:t>
      </w:r>
      <w:r>
        <w:rPr>
          <w:spacing w:val="-3"/>
        </w:rPr>
        <w:t> </w:t>
      </w:r>
      <w:r>
        <w:rPr/>
        <w:t>1996).</w:t>
      </w:r>
    </w:p>
    <w:p>
      <w:pPr>
        <w:pStyle w:val="Heading1"/>
        <w:spacing w:before="208"/>
      </w:pPr>
      <w:r>
        <w:rPr/>
        <w:t>Mechanism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action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456" w:lineRule="auto"/>
        <w:ind w:left="820" w:right="4008"/>
        <w:jc w:val="both"/>
        <w:rPr>
          <w:b/>
        </w:rPr>
      </w:pPr>
      <w:r>
        <w:rPr/>
        <w:t>It is a weak inhibitor of cyclooxygenase (Goodman and Gilman 1996)</w:t>
      </w:r>
      <w:r>
        <w:rPr>
          <w:b/>
        </w:rPr>
        <w:t>.</w:t>
      </w:r>
      <w:r>
        <w:rPr>
          <w:b/>
          <w:spacing w:val="-58"/>
        </w:rPr>
        <w:t> </w:t>
      </w:r>
      <w:r>
        <w:rPr>
          <w:b/>
        </w:rPr>
        <w:t>Indications</w:t>
      </w:r>
    </w:p>
    <w:p>
      <w:pPr>
        <w:pStyle w:val="BodyText"/>
        <w:spacing w:line="276" w:lineRule="auto"/>
        <w:ind w:left="820" w:right="1440"/>
        <w:jc w:val="both"/>
      </w:pPr>
      <w:r>
        <w:rPr/>
        <w:t>It is the first drug of choice for treatment of mild pain in SCD as well as for lowering body</w:t>
      </w:r>
      <w:r>
        <w:rPr>
          <w:spacing w:val="1"/>
        </w:rPr>
        <w:t> </w:t>
      </w:r>
      <w:r>
        <w:rPr/>
        <w:t>temperature in febrile states. It is a suitable substitute for aspirin for analgesic or antipyretic</w:t>
      </w:r>
      <w:r>
        <w:rPr>
          <w:spacing w:val="1"/>
        </w:rPr>
        <w:t> </w:t>
      </w:r>
      <w:r>
        <w:rPr/>
        <w:t>purposes,</w:t>
      </w:r>
      <w:r>
        <w:rPr>
          <w:spacing w:val="3"/>
        </w:rPr>
        <w:t> </w:t>
      </w:r>
      <w:r>
        <w:rPr/>
        <w:t>particularly</w:t>
      </w:r>
      <w:r>
        <w:rPr>
          <w:spacing w:val="-4"/>
        </w:rPr>
        <w:t> </w:t>
      </w:r>
      <w:r>
        <w:rPr/>
        <w:t>where aspirin</w:t>
      </w:r>
      <w:r>
        <w:rPr>
          <w:spacing w:val="6"/>
        </w:rPr>
        <w:t> </w:t>
      </w:r>
      <w:r>
        <w:rPr/>
        <w:t>is</w:t>
      </w:r>
      <w:r>
        <w:rPr>
          <w:spacing w:val="-1"/>
        </w:rPr>
        <w:t> </w:t>
      </w:r>
      <w:r>
        <w:rPr/>
        <w:t>contraindicated</w:t>
      </w:r>
      <w:r>
        <w:rPr>
          <w:spacing w:val="-4"/>
        </w:rPr>
        <w:t> </w:t>
      </w:r>
      <w:r>
        <w:rPr/>
        <w:t>(EMDEX</w:t>
      </w:r>
      <w:r>
        <w:rPr>
          <w:spacing w:val="-4"/>
        </w:rPr>
        <w:t> </w:t>
      </w:r>
      <w:r>
        <w:rPr/>
        <w:t>2010/2011).</w:t>
      </w:r>
    </w:p>
    <w:p>
      <w:pPr>
        <w:pStyle w:val="Heading1"/>
        <w:spacing w:before="188"/>
      </w:pPr>
      <w:r>
        <w:rPr/>
        <w:t>Side</w:t>
      </w:r>
      <w:r>
        <w:rPr>
          <w:spacing w:val="-3"/>
        </w:rPr>
        <w:t> </w:t>
      </w:r>
      <w:r>
        <w:rPr/>
        <w:t>effects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ind w:left="820"/>
      </w:pP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usually</w:t>
      </w:r>
      <w:r>
        <w:rPr>
          <w:spacing w:val="-7"/>
        </w:rPr>
        <w:t> </w:t>
      </w:r>
      <w:r>
        <w:rPr/>
        <w:t>well</w:t>
      </w:r>
      <w:r>
        <w:rPr>
          <w:spacing w:val="-10"/>
        </w:rPr>
        <w:t> </w:t>
      </w:r>
      <w:r>
        <w:rPr/>
        <w:t>tolerated</w:t>
      </w:r>
      <w:r>
        <w:rPr>
          <w:spacing w:val="2"/>
        </w:rPr>
        <w:t> </w:t>
      </w:r>
      <w:r>
        <w:rPr/>
        <w:t>in</w:t>
      </w:r>
      <w:r>
        <w:rPr>
          <w:spacing w:val="-7"/>
        </w:rPr>
        <w:t> </w:t>
      </w:r>
      <w:r>
        <w:rPr/>
        <w:t>recommended</w:t>
      </w:r>
      <w:r>
        <w:rPr>
          <w:spacing w:val="-2"/>
        </w:rPr>
        <w:t> </w:t>
      </w:r>
      <w:r>
        <w:rPr/>
        <w:t>therapeutic</w:t>
      </w:r>
      <w:r>
        <w:rPr>
          <w:spacing w:val="-3"/>
        </w:rPr>
        <w:t> </w:t>
      </w:r>
      <w:r>
        <w:rPr/>
        <w:t>dosages.</w:t>
      </w:r>
      <w:r>
        <w:rPr>
          <w:spacing w:val="-1"/>
        </w:rPr>
        <w:t> </w:t>
      </w:r>
      <w:r>
        <w:rPr/>
        <w:t>Some</w:t>
      </w:r>
      <w:r>
        <w:rPr>
          <w:spacing w:val="-3"/>
        </w:rPr>
        <w:t> </w:t>
      </w:r>
      <w:r>
        <w:rPr/>
        <w:t>side</w:t>
      </w:r>
      <w:r>
        <w:rPr>
          <w:spacing w:val="-3"/>
        </w:rPr>
        <w:t> </w:t>
      </w:r>
      <w:r>
        <w:rPr/>
        <w:t>effects</w:t>
      </w:r>
      <w:r>
        <w:rPr>
          <w:spacing w:val="1"/>
        </w:rPr>
        <w:t> </w:t>
      </w:r>
      <w:r>
        <w:rPr/>
        <w:t>include: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22"/>
        </w:numPr>
        <w:tabs>
          <w:tab w:pos="1539" w:val="left" w:leader="none"/>
          <w:tab w:pos="1540" w:val="left" w:leader="none"/>
        </w:tabs>
        <w:spacing w:line="240" w:lineRule="auto" w:before="0" w:after="0"/>
        <w:ind w:left="1540" w:right="0" w:hanging="360"/>
        <w:jc w:val="left"/>
        <w:rPr>
          <w:sz w:val="24"/>
        </w:rPr>
      </w:pPr>
      <w:r>
        <w:rPr>
          <w:sz w:val="24"/>
        </w:rPr>
        <w:t>Erythmatous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urticarial</w:t>
      </w:r>
      <w:r>
        <w:rPr>
          <w:spacing w:val="-8"/>
          <w:sz w:val="24"/>
        </w:rPr>
        <w:t> </w:t>
      </w:r>
      <w:r>
        <w:rPr>
          <w:sz w:val="24"/>
        </w:rPr>
        <w:t>rash</w:t>
      </w:r>
    </w:p>
    <w:p>
      <w:pPr>
        <w:pStyle w:val="ListParagraph"/>
        <w:numPr>
          <w:ilvl w:val="0"/>
          <w:numId w:val="22"/>
        </w:numPr>
        <w:tabs>
          <w:tab w:pos="1539" w:val="left" w:leader="none"/>
          <w:tab w:pos="1540" w:val="left" w:leader="none"/>
        </w:tabs>
        <w:spacing w:line="240" w:lineRule="auto" w:before="239" w:after="0"/>
        <w:ind w:left="1540" w:right="0" w:hanging="360"/>
        <w:jc w:val="left"/>
        <w:rPr>
          <w:sz w:val="24"/>
        </w:rPr>
      </w:pPr>
      <w:r>
        <w:rPr>
          <w:sz w:val="24"/>
        </w:rPr>
        <w:t>Fever,</w:t>
      </w:r>
      <w:r>
        <w:rPr>
          <w:spacing w:val="3"/>
          <w:sz w:val="24"/>
        </w:rPr>
        <w:t> </w:t>
      </w:r>
      <w:r>
        <w:rPr>
          <w:sz w:val="24"/>
        </w:rPr>
        <w:t>mucosal</w:t>
      </w:r>
      <w:r>
        <w:rPr>
          <w:spacing w:val="-7"/>
          <w:sz w:val="24"/>
        </w:rPr>
        <w:t> </w:t>
      </w:r>
      <w:r>
        <w:rPr>
          <w:sz w:val="24"/>
        </w:rPr>
        <w:t>lesions,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hypersensitivity</w:t>
      </w:r>
      <w:r>
        <w:rPr>
          <w:spacing w:val="-12"/>
          <w:sz w:val="24"/>
        </w:rPr>
        <w:t> </w:t>
      </w:r>
      <w:r>
        <w:rPr>
          <w:sz w:val="24"/>
        </w:rPr>
        <w:t>reactions</w:t>
      </w:r>
    </w:p>
    <w:p>
      <w:pPr>
        <w:pStyle w:val="ListParagraph"/>
        <w:numPr>
          <w:ilvl w:val="0"/>
          <w:numId w:val="22"/>
        </w:numPr>
        <w:tabs>
          <w:tab w:pos="1539" w:val="left" w:leader="none"/>
          <w:tab w:pos="1540" w:val="left" w:leader="none"/>
        </w:tabs>
        <w:spacing w:line="240" w:lineRule="auto" w:before="243" w:after="0"/>
        <w:ind w:left="1540" w:right="0" w:hanging="360"/>
        <w:jc w:val="left"/>
        <w:rPr>
          <w:sz w:val="24"/>
        </w:rPr>
      </w:pPr>
      <w:r>
        <w:rPr>
          <w:sz w:val="24"/>
        </w:rPr>
        <w:t>neutropenia,</w:t>
      </w:r>
      <w:r>
        <w:rPr>
          <w:spacing w:val="-5"/>
          <w:sz w:val="24"/>
        </w:rPr>
        <w:t> </w:t>
      </w:r>
      <w:r>
        <w:rPr>
          <w:sz w:val="24"/>
        </w:rPr>
        <w:t>thrombocytopenia,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pancytopenia</w:t>
      </w:r>
    </w:p>
    <w:p>
      <w:pPr>
        <w:pStyle w:val="ListParagraph"/>
        <w:numPr>
          <w:ilvl w:val="0"/>
          <w:numId w:val="22"/>
        </w:numPr>
        <w:tabs>
          <w:tab w:pos="1539" w:val="left" w:leader="none"/>
          <w:tab w:pos="1540" w:val="left" w:leader="none"/>
        </w:tabs>
        <w:spacing w:line="240" w:lineRule="auto" w:before="239" w:after="0"/>
        <w:ind w:left="1540" w:right="0" w:hanging="360"/>
        <w:jc w:val="left"/>
        <w:rPr>
          <w:sz w:val="24"/>
        </w:rPr>
      </w:pPr>
      <w:r>
        <w:rPr>
          <w:sz w:val="24"/>
        </w:rPr>
        <w:t>fatal</w:t>
      </w:r>
      <w:r>
        <w:rPr>
          <w:spacing w:val="-9"/>
          <w:sz w:val="24"/>
        </w:rPr>
        <w:t> </w:t>
      </w:r>
      <w:r>
        <w:rPr>
          <w:sz w:val="24"/>
        </w:rPr>
        <w:t>hepatic</w:t>
      </w:r>
      <w:r>
        <w:rPr>
          <w:spacing w:val="-2"/>
          <w:sz w:val="24"/>
        </w:rPr>
        <w:t> </w:t>
      </w:r>
      <w:r>
        <w:rPr>
          <w:sz w:val="24"/>
        </w:rPr>
        <w:t>necrosis</w:t>
      </w:r>
      <w:r>
        <w:rPr>
          <w:spacing w:val="-2"/>
          <w:sz w:val="24"/>
        </w:rPr>
        <w:t> </w:t>
      </w:r>
      <w:r>
        <w:rPr>
          <w:sz w:val="24"/>
        </w:rPr>
        <w:t>(dose</w:t>
      </w:r>
      <w:r>
        <w:rPr>
          <w:spacing w:val="-1"/>
          <w:sz w:val="24"/>
        </w:rPr>
        <w:t> </w:t>
      </w:r>
      <w:r>
        <w:rPr>
          <w:sz w:val="24"/>
        </w:rPr>
        <w:t>dependent)</w:t>
      </w:r>
    </w:p>
    <w:p>
      <w:pPr>
        <w:pStyle w:val="ListParagraph"/>
        <w:numPr>
          <w:ilvl w:val="0"/>
          <w:numId w:val="22"/>
        </w:numPr>
        <w:tabs>
          <w:tab w:pos="1539" w:val="left" w:leader="none"/>
          <w:tab w:pos="1540" w:val="left" w:leader="none"/>
        </w:tabs>
        <w:spacing w:line="240" w:lineRule="auto" w:before="244" w:after="0"/>
        <w:ind w:left="1540" w:right="0" w:hanging="360"/>
        <w:jc w:val="left"/>
        <w:rPr>
          <w:sz w:val="24"/>
        </w:rPr>
      </w:pPr>
      <w:r>
        <w:rPr>
          <w:sz w:val="24"/>
        </w:rPr>
        <w:t>nephrotoxicity</w:t>
      </w:r>
      <w:r>
        <w:rPr>
          <w:spacing w:val="-12"/>
          <w:sz w:val="24"/>
        </w:rPr>
        <w:t> </w:t>
      </w:r>
      <w:r>
        <w:rPr>
          <w:sz w:val="24"/>
        </w:rPr>
        <w:t>(analgesic</w:t>
      </w:r>
      <w:r>
        <w:rPr>
          <w:spacing w:val="-3"/>
          <w:sz w:val="24"/>
        </w:rPr>
        <w:t> </w:t>
      </w:r>
      <w:r>
        <w:rPr>
          <w:sz w:val="24"/>
        </w:rPr>
        <w:t>abuse)</w:t>
      </w:r>
      <w:r>
        <w:rPr>
          <w:spacing w:val="-1"/>
          <w:sz w:val="24"/>
        </w:rPr>
        <w:t> </w:t>
      </w:r>
      <w:r>
        <w:rPr>
          <w:sz w:val="24"/>
        </w:rPr>
        <w:t>(Goodman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Gilman</w:t>
      </w:r>
      <w:r>
        <w:rPr>
          <w:spacing w:val="-7"/>
          <w:sz w:val="24"/>
        </w:rPr>
        <w:t> </w:t>
      </w:r>
      <w:r>
        <w:rPr>
          <w:sz w:val="24"/>
        </w:rPr>
        <w:t>1996)</w:t>
      </w:r>
    </w:p>
    <w:p>
      <w:pPr>
        <w:pStyle w:val="Heading1"/>
        <w:spacing w:before="241"/>
        <w:jc w:val="left"/>
      </w:pPr>
      <w:r>
        <w:rPr/>
        <w:t>Adult</w:t>
      </w:r>
      <w:r>
        <w:rPr>
          <w:spacing w:val="-1"/>
        </w:rPr>
        <w:t> </w:t>
      </w:r>
      <w:r>
        <w:rPr/>
        <w:t>dose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ind w:left="820"/>
      </w:pPr>
      <w:r>
        <w:rPr/>
        <w:t>Oral:</w:t>
      </w:r>
      <w:r>
        <w:rPr>
          <w:spacing w:val="-1"/>
        </w:rPr>
        <w:t> </w:t>
      </w:r>
      <w:r>
        <w:rPr/>
        <w:t>0.5–1.0</w:t>
      </w:r>
      <w:r>
        <w:rPr>
          <w:spacing w:val="-1"/>
        </w:rPr>
        <w:t> </w:t>
      </w:r>
      <w:r>
        <w:rPr/>
        <w:t>grams</w:t>
      </w:r>
      <w:r>
        <w:rPr>
          <w:spacing w:val="-2"/>
        </w:rPr>
        <w:t> </w:t>
      </w:r>
      <w:r>
        <w:rPr/>
        <w:t>every</w:t>
      </w:r>
      <w:r>
        <w:rPr>
          <w:spacing w:val="-11"/>
        </w:rPr>
        <w:t> </w:t>
      </w:r>
      <w:r>
        <w:rPr/>
        <w:t>4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6 hours,</w:t>
      </w:r>
      <w:r>
        <w:rPr>
          <w:spacing w:val="-3"/>
        </w:rPr>
        <w:t> </w:t>
      </w:r>
      <w:r>
        <w:rPr/>
        <w:t>maximum daily</w:t>
      </w:r>
      <w:r>
        <w:rPr>
          <w:spacing w:val="-10"/>
        </w:rPr>
        <w:t> </w:t>
      </w:r>
      <w:r>
        <w:rPr/>
        <w:t>dose</w:t>
      </w:r>
      <w:r>
        <w:rPr>
          <w:spacing w:val="3"/>
        </w:rPr>
        <w:t> </w:t>
      </w:r>
      <w:r>
        <w:rPr/>
        <w:t>is</w:t>
      </w:r>
      <w:r>
        <w:rPr>
          <w:spacing w:val="-2"/>
        </w:rPr>
        <w:t> </w:t>
      </w:r>
      <w:r>
        <w:rPr/>
        <w:t>4</w:t>
      </w:r>
      <w:r>
        <w:rPr>
          <w:spacing w:val="1"/>
        </w:rPr>
        <w:t> </w:t>
      </w:r>
      <w:r>
        <w:rPr/>
        <w:t>grams</w:t>
      </w:r>
      <w:r>
        <w:rPr>
          <w:spacing w:val="-2"/>
        </w:rPr>
        <w:t> </w:t>
      </w:r>
      <w:r>
        <w:rPr/>
        <w:t>(EMDEX</w:t>
      </w:r>
      <w:r>
        <w:rPr>
          <w:spacing w:val="-1"/>
        </w:rPr>
        <w:t> </w:t>
      </w:r>
      <w:r>
        <w:rPr/>
        <w:t>2010/11).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numPr>
          <w:ilvl w:val="1"/>
          <w:numId w:val="21"/>
        </w:numPr>
        <w:tabs>
          <w:tab w:pos="1540" w:val="left" w:leader="none"/>
        </w:tabs>
        <w:spacing w:line="240" w:lineRule="auto" w:before="1" w:after="0"/>
        <w:ind w:left="1540" w:right="0" w:hanging="360"/>
        <w:jc w:val="left"/>
      </w:pPr>
      <w:r>
        <w:rPr/>
        <w:t>Non</w:t>
      </w:r>
      <w:r>
        <w:rPr>
          <w:spacing w:val="-2"/>
        </w:rPr>
        <w:t> </w:t>
      </w:r>
      <w:r>
        <w:rPr/>
        <w:t>steroidal</w:t>
      </w:r>
      <w:r>
        <w:rPr>
          <w:spacing w:val="-6"/>
        </w:rPr>
        <w:t> </w:t>
      </w:r>
      <w:r>
        <w:rPr/>
        <w:t>anti</w:t>
      </w:r>
      <w:r>
        <w:rPr>
          <w:spacing w:val="-2"/>
        </w:rPr>
        <w:t> </w:t>
      </w:r>
      <w:r>
        <w:rPr/>
        <w:t>inflammatory</w:t>
      </w:r>
      <w:r>
        <w:rPr>
          <w:spacing w:val="-2"/>
        </w:rPr>
        <w:t> </w:t>
      </w:r>
      <w:r>
        <w:rPr/>
        <w:t>drugs</w:t>
      </w:r>
      <w:r>
        <w:rPr>
          <w:spacing w:val="-4"/>
        </w:rPr>
        <w:t> </w:t>
      </w:r>
      <w:r>
        <w:rPr/>
        <w:t>(NSAIDs)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362" w:lineRule="auto"/>
        <w:ind w:left="820" w:right="1433"/>
      </w:pPr>
      <w:r>
        <w:rPr/>
        <w:t>NSAIDs</w:t>
      </w:r>
      <w:r>
        <w:rPr>
          <w:spacing w:val="11"/>
        </w:rPr>
        <w:t> </w:t>
      </w:r>
      <w:r>
        <w:rPr/>
        <w:t>are</w:t>
      </w:r>
      <w:r>
        <w:rPr>
          <w:spacing w:val="9"/>
        </w:rPr>
        <w:t> </w:t>
      </w:r>
      <w:r>
        <w:rPr/>
        <w:t>a</w:t>
      </w:r>
      <w:r>
        <w:rPr>
          <w:spacing w:val="13"/>
        </w:rPr>
        <w:t> </w:t>
      </w:r>
      <w:r>
        <w:rPr/>
        <w:t>heterogenous</w:t>
      </w:r>
      <w:r>
        <w:rPr>
          <w:spacing w:val="7"/>
        </w:rPr>
        <w:t> </w:t>
      </w:r>
      <w:r>
        <w:rPr/>
        <w:t>group</w:t>
      </w:r>
      <w:r>
        <w:rPr>
          <w:spacing w:val="5"/>
        </w:rPr>
        <w:t> </w:t>
      </w:r>
      <w:r>
        <w:rPr/>
        <w:t>of</w:t>
      </w:r>
      <w:r>
        <w:rPr>
          <w:spacing w:val="2"/>
        </w:rPr>
        <w:t> </w:t>
      </w:r>
      <w:r>
        <w:rPr/>
        <w:t>compounds</w:t>
      </w:r>
      <w:r>
        <w:rPr>
          <w:spacing w:val="17"/>
        </w:rPr>
        <w:t> </w:t>
      </w:r>
      <w:r>
        <w:rPr/>
        <w:t>that</w:t>
      </w:r>
      <w:r>
        <w:rPr>
          <w:spacing w:val="14"/>
        </w:rPr>
        <w:t> </w:t>
      </w:r>
      <w:r>
        <w:rPr/>
        <w:t>are</w:t>
      </w:r>
      <w:r>
        <w:rPr>
          <w:spacing w:val="4"/>
        </w:rPr>
        <w:t> </w:t>
      </w:r>
      <w:r>
        <w:rPr/>
        <w:t>often</w:t>
      </w:r>
      <w:r>
        <w:rPr>
          <w:spacing w:val="5"/>
        </w:rPr>
        <w:t> </w:t>
      </w:r>
      <w:r>
        <w:rPr/>
        <w:t>chemically</w:t>
      </w:r>
      <w:r>
        <w:rPr>
          <w:spacing w:val="5"/>
        </w:rPr>
        <w:t> </w:t>
      </w:r>
      <w:r>
        <w:rPr/>
        <w:t>unrelated,</w:t>
      </w:r>
      <w:r>
        <w:rPr>
          <w:spacing w:val="12"/>
        </w:rPr>
        <w:t> </w:t>
      </w:r>
      <w:r>
        <w:rPr/>
        <w:t>but</w:t>
      </w:r>
      <w:r>
        <w:rPr>
          <w:spacing w:val="15"/>
        </w:rPr>
        <w:t> </w:t>
      </w:r>
      <w:r>
        <w:rPr/>
        <w:t>which</w:t>
      </w:r>
      <w:r>
        <w:rPr>
          <w:spacing w:val="-57"/>
        </w:rPr>
        <w:t> </w:t>
      </w:r>
      <w:r>
        <w:rPr/>
        <w:t>nevertheless</w:t>
      </w:r>
      <w:r>
        <w:rPr>
          <w:spacing w:val="25"/>
        </w:rPr>
        <w:t> </w:t>
      </w:r>
      <w:r>
        <w:rPr/>
        <w:t>share</w:t>
      </w:r>
      <w:r>
        <w:rPr>
          <w:spacing w:val="22"/>
        </w:rPr>
        <w:t> </w:t>
      </w:r>
      <w:r>
        <w:rPr/>
        <w:t>certain</w:t>
      </w:r>
      <w:r>
        <w:rPr>
          <w:spacing w:val="23"/>
        </w:rPr>
        <w:t> </w:t>
      </w:r>
      <w:r>
        <w:rPr/>
        <w:t>therapeutic</w:t>
      </w:r>
      <w:r>
        <w:rPr>
          <w:spacing w:val="21"/>
        </w:rPr>
        <w:t> </w:t>
      </w:r>
      <w:r>
        <w:rPr/>
        <w:t>actions</w:t>
      </w:r>
      <w:r>
        <w:rPr>
          <w:spacing w:val="21"/>
        </w:rPr>
        <w:t> </w:t>
      </w:r>
      <w:r>
        <w:rPr/>
        <w:t>and</w:t>
      </w:r>
      <w:r>
        <w:rPr>
          <w:spacing w:val="28"/>
        </w:rPr>
        <w:t> </w:t>
      </w:r>
      <w:r>
        <w:rPr/>
        <w:t>side</w:t>
      </w:r>
      <w:r>
        <w:rPr>
          <w:spacing w:val="21"/>
        </w:rPr>
        <w:t> </w:t>
      </w:r>
      <w:r>
        <w:rPr/>
        <w:t>effects.</w:t>
      </w:r>
      <w:r>
        <w:rPr>
          <w:spacing w:val="25"/>
        </w:rPr>
        <w:t> </w:t>
      </w:r>
      <w:r>
        <w:rPr/>
        <w:t>The</w:t>
      </w:r>
      <w:r>
        <w:rPr>
          <w:spacing w:val="22"/>
        </w:rPr>
        <w:t> </w:t>
      </w:r>
      <w:r>
        <w:rPr/>
        <w:t>prototype</w:t>
      </w:r>
      <w:r>
        <w:rPr>
          <w:spacing w:val="26"/>
        </w:rPr>
        <w:t> </w:t>
      </w:r>
      <w:r>
        <w:rPr/>
        <w:t>is</w:t>
      </w:r>
      <w:r>
        <w:rPr>
          <w:spacing w:val="30"/>
        </w:rPr>
        <w:t> </w:t>
      </w:r>
      <w:r>
        <w:rPr/>
        <w:t>Aspirin.</w:t>
      </w:r>
      <w:r>
        <w:rPr>
          <w:spacing w:val="29"/>
        </w:rPr>
        <w:t> </w:t>
      </w:r>
      <w:r>
        <w:rPr/>
        <w:t>Other</w:t>
      </w:r>
    </w:p>
    <w:p>
      <w:pPr>
        <w:spacing w:after="0" w:line="362" w:lineRule="auto"/>
        <w:sectPr>
          <w:pgSz w:w="12240" w:h="15840"/>
          <w:pgMar w:header="0" w:footer="1017" w:top="1500" w:bottom="1200" w:left="620" w:right="0"/>
        </w:sectPr>
      </w:pPr>
    </w:p>
    <w:p>
      <w:pPr>
        <w:pStyle w:val="BodyText"/>
        <w:spacing w:line="355" w:lineRule="auto" w:before="72"/>
        <w:ind w:left="820" w:right="1450"/>
        <w:jc w:val="both"/>
      </w:pPr>
      <w:r>
        <w:rPr/>
        <w:t>examples include ibuprofen, piroxicam, naproxen, diclofenac sodium, diclofenac potassium, and</w:t>
      </w:r>
      <w:r>
        <w:rPr>
          <w:spacing w:val="1"/>
        </w:rPr>
        <w:t> </w:t>
      </w:r>
      <w:r>
        <w:rPr/>
        <w:t>ketoprofen</w:t>
      </w:r>
      <w:r>
        <w:rPr>
          <w:spacing w:val="-4"/>
        </w:rPr>
        <w:t> </w:t>
      </w:r>
      <w:r>
        <w:rPr/>
        <w:t>(Goodman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Gilman</w:t>
      </w:r>
      <w:r>
        <w:rPr>
          <w:spacing w:val="-3"/>
        </w:rPr>
        <w:t> </w:t>
      </w:r>
      <w:r>
        <w:rPr/>
        <w:t>1996).</w:t>
      </w:r>
    </w:p>
    <w:p>
      <w:pPr>
        <w:pStyle w:val="Heading1"/>
        <w:spacing w:before="210"/>
        <w:jc w:val="left"/>
      </w:pPr>
      <w:r>
        <w:rPr/>
        <w:t>Mechanism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action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37"/>
        <w:jc w:val="both"/>
      </w:pPr>
      <w:r>
        <w:rPr/>
        <w:t>Most</w:t>
      </w:r>
      <w:r>
        <w:rPr>
          <w:spacing w:val="1"/>
        </w:rPr>
        <w:t> </w:t>
      </w:r>
      <w:r>
        <w:rPr/>
        <w:t>currently available NSAIDs</w:t>
      </w:r>
      <w:r>
        <w:rPr>
          <w:spacing w:val="1"/>
        </w:rPr>
        <w:t> </w:t>
      </w:r>
      <w:r>
        <w:rPr/>
        <w:t>inhibit</w:t>
      </w:r>
      <w:r>
        <w:rPr>
          <w:spacing w:val="1"/>
        </w:rPr>
        <w:t> </w:t>
      </w:r>
      <w:r>
        <w:rPr/>
        <w:t>both cyclooxygenase 1 (COX-1; constitutive)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cyclooxygenase 2 (COX-2; induced in settings of inflammation) activities, and thereby synthesis</w:t>
      </w:r>
      <w:r>
        <w:rPr>
          <w:spacing w:val="1"/>
        </w:rPr>
        <w:t> </w:t>
      </w:r>
      <w:r>
        <w:rPr/>
        <w:t>of prostaglandins and thromboxane. The inhibition of COX-2 is thought to mediate, at least in</w:t>
      </w:r>
      <w:r>
        <w:rPr>
          <w:spacing w:val="1"/>
        </w:rPr>
        <w:t> </w:t>
      </w:r>
      <w:r>
        <w:rPr/>
        <w:t>part, the antipyretic, analgesic, and anti-inflammatory action of NSAIDs, but the simultaneous</w:t>
      </w:r>
      <w:r>
        <w:rPr>
          <w:spacing w:val="1"/>
        </w:rPr>
        <w:t> </w:t>
      </w:r>
      <w:r>
        <w:rPr/>
        <w:t>inhibition of COX-1 results in unwanted side effects, particularly those leading to gastric ulcers,</w:t>
      </w:r>
      <w:r>
        <w:rPr>
          <w:spacing w:val="1"/>
        </w:rPr>
        <w:t> </w:t>
      </w:r>
      <w:r>
        <w:rPr/>
        <w:t>that result from decreased prostaglandins and thromboxane formation (Goodman and Gilman</w:t>
      </w:r>
      <w:r>
        <w:rPr>
          <w:spacing w:val="1"/>
        </w:rPr>
        <w:t> </w:t>
      </w:r>
      <w:r>
        <w:rPr/>
        <w:t>1996).</w:t>
      </w:r>
    </w:p>
    <w:p>
      <w:pPr>
        <w:pStyle w:val="Heading1"/>
        <w:spacing w:before="203"/>
        <w:jc w:val="left"/>
      </w:pPr>
      <w:r>
        <w:rPr/>
        <w:t>Indications</w:t>
      </w:r>
    </w:p>
    <w:p>
      <w:pPr>
        <w:pStyle w:val="ListParagraph"/>
        <w:numPr>
          <w:ilvl w:val="0"/>
          <w:numId w:val="22"/>
        </w:numPr>
        <w:tabs>
          <w:tab w:pos="1539" w:val="left" w:leader="none"/>
          <w:tab w:pos="1540" w:val="left" w:leader="none"/>
        </w:tabs>
        <w:spacing w:line="240" w:lineRule="auto" w:before="196" w:after="0"/>
        <w:ind w:left="1540" w:right="0" w:hanging="360"/>
        <w:jc w:val="left"/>
        <w:rPr>
          <w:sz w:val="24"/>
        </w:rPr>
      </w:pPr>
      <w:r>
        <w:rPr>
          <w:sz w:val="24"/>
        </w:rPr>
        <w:t>Treatment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mild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moderate</w:t>
      </w:r>
      <w:r>
        <w:rPr>
          <w:spacing w:val="-2"/>
          <w:sz w:val="24"/>
        </w:rPr>
        <w:t> </w:t>
      </w:r>
      <w:r>
        <w:rPr>
          <w:sz w:val="24"/>
        </w:rPr>
        <w:t>pain</w:t>
      </w:r>
    </w:p>
    <w:p>
      <w:pPr>
        <w:pStyle w:val="ListParagraph"/>
        <w:numPr>
          <w:ilvl w:val="0"/>
          <w:numId w:val="22"/>
        </w:numPr>
        <w:tabs>
          <w:tab w:pos="1539" w:val="left" w:leader="none"/>
          <w:tab w:pos="1540" w:val="left" w:leader="none"/>
        </w:tabs>
        <w:spacing w:line="240" w:lineRule="auto" w:before="196" w:after="0"/>
        <w:ind w:left="1540" w:right="0" w:hanging="360"/>
        <w:jc w:val="left"/>
        <w:rPr>
          <w:sz w:val="24"/>
        </w:rPr>
      </w:pP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antipyretics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reduce</w:t>
      </w:r>
      <w:r>
        <w:rPr>
          <w:spacing w:val="-1"/>
          <w:sz w:val="24"/>
        </w:rPr>
        <w:t> </w:t>
      </w:r>
      <w:r>
        <w:rPr>
          <w:sz w:val="24"/>
        </w:rPr>
        <w:t>body</w:t>
      </w:r>
      <w:r>
        <w:rPr>
          <w:spacing w:val="-10"/>
          <w:sz w:val="24"/>
        </w:rPr>
        <w:t> </w:t>
      </w:r>
      <w:r>
        <w:rPr>
          <w:sz w:val="24"/>
        </w:rPr>
        <w:t>temperature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febrile</w:t>
      </w:r>
      <w:r>
        <w:rPr>
          <w:spacing w:val="-1"/>
          <w:sz w:val="24"/>
        </w:rPr>
        <w:t> </w:t>
      </w:r>
      <w:r>
        <w:rPr>
          <w:sz w:val="24"/>
        </w:rPr>
        <w:t>states</w:t>
      </w:r>
    </w:p>
    <w:p>
      <w:pPr>
        <w:pStyle w:val="ListParagraph"/>
        <w:numPr>
          <w:ilvl w:val="0"/>
          <w:numId w:val="22"/>
        </w:numPr>
        <w:tabs>
          <w:tab w:pos="1539" w:val="left" w:leader="none"/>
          <w:tab w:pos="1540" w:val="left" w:leader="none"/>
        </w:tabs>
        <w:spacing w:line="237" w:lineRule="auto" w:before="208" w:after="0"/>
        <w:ind w:left="1540" w:right="1445" w:hanging="360"/>
        <w:jc w:val="left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anti-inflammatory</w:t>
      </w:r>
      <w:r>
        <w:rPr>
          <w:spacing w:val="1"/>
          <w:sz w:val="24"/>
        </w:rPr>
        <w:t> </w:t>
      </w:r>
      <w:r>
        <w:rPr>
          <w:sz w:val="24"/>
        </w:rPr>
        <w:t>agents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musculoskeletal</w:t>
      </w:r>
      <w:r>
        <w:rPr>
          <w:spacing w:val="1"/>
          <w:sz w:val="24"/>
        </w:rPr>
        <w:t> </w:t>
      </w:r>
      <w:r>
        <w:rPr>
          <w:sz w:val="24"/>
        </w:rPr>
        <w:t>disorders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57"/>
          <w:sz w:val="24"/>
        </w:rPr>
        <w:t> </w:t>
      </w:r>
      <w:r>
        <w:rPr>
          <w:sz w:val="24"/>
        </w:rPr>
        <w:t>osteoarthritis</w:t>
      </w:r>
      <w:r>
        <w:rPr>
          <w:spacing w:val="-1"/>
          <w:sz w:val="24"/>
        </w:rPr>
        <w:t> </w:t>
      </w:r>
      <w:r>
        <w:rPr>
          <w:sz w:val="24"/>
        </w:rPr>
        <w:t>(Goodman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Gilman</w:t>
      </w:r>
      <w:r>
        <w:rPr>
          <w:spacing w:val="-3"/>
          <w:sz w:val="24"/>
        </w:rPr>
        <w:t> </w:t>
      </w:r>
      <w:r>
        <w:rPr>
          <w:sz w:val="24"/>
        </w:rPr>
        <w:t>1996).</w:t>
      </w:r>
    </w:p>
    <w:p>
      <w:pPr>
        <w:pStyle w:val="Heading1"/>
        <w:spacing w:before="204"/>
        <w:jc w:val="left"/>
      </w:pPr>
      <w:r>
        <w:rPr/>
        <w:t>Side</w:t>
      </w:r>
      <w:r>
        <w:rPr>
          <w:spacing w:val="-3"/>
        </w:rPr>
        <w:t> </w:t>
      </w:r>
      <w:r>
        <w:rPr/>
        <w:t>Effects</w:t>
      </w:r>
    </w:p>
    <w:p>
      <w:pPr>
        <w:pStyle w:val="ListParagraph"/>
        <w:numPr>
          <w:ilvl w:val="0"/>
          <w:numId w:val="22"/>
        </w:numPr>
        <w:tabs>
          <w:tab w:pos="1539" w:val="left" w:leader="none"/>
          <w:tab w:pos="1540" w:val="left" w:leader="none"/>
        </w:tabs>
        <w:spacing w:line="240" w:lineRule="auto" w:before="191" w:after="0"/>
        <w:ind w:left="1540" w:right="0" w:hanging="360"/>
        <w:jc w:val="left"/>
        <w:rPr>
          <w:sz w:val="24"/>
        </w:rPr>
      </w:pPr>
      <w:r>
        <w:rPr>
          <w:sz w:val="24"/>
        </w:rPr>
        <w:t>Gastrointestinal</w:t>
      </w:r>
      <w:r>
        <w:rPr>
          <w:spacing w:val="-12"/>
          <w:sz w:val="24"/>
        </w:rPr>
        <w:t> </w:t>
      </w:r>
      <w:r>
        <w:rPr>
          <w:sz w:val="24"/>
        </w:rPr>
        <w:t>ulceration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intolerance</w:t>
      </w:r>
    </w:p>
    <w:p>
      <w:pPr>
        <w:pStyle w:val="ListParagraph"/>
        <w:numPr>
          <w:ilvl w:val="0"/>
          <w:numId w:val="22"/>
        </w:numPr>
        <w:tabs>
          <w:tab w:pos="1539" w:val="left" w:leader="none"/>
          <w:tab w:pos="1540" w:val="left" w:leader="none"/>
        </w:tabs>
        <w:spacing w:line="240" w:lineRule="auto" w:before="201" w:after="0"/>
        <w:ind w:left="1540" w:right="0" w:hanging="360"/>
        <w:jc w:val="left"/>
        <w:rPr>
          <w:sz w:val="24"/>
        </w:rPr>
      </w:pPr>
      <w:r>
        <w:rPr>
          <w:sz w:val="24"/>
        </w:rPr>
        <w:t>Blockade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platelet</w:t>
      </w:r>
      <w:r>
        <w:rPr>
          <w:spacing w:val="3"/>
          <w:sz w:val="24"/>
        </w:rPr>
        <w:t> </w:t>
      </w:r>
      <w:r>
        <w:rPr>
          <w:sz w:val="24"/>
        </w:rPr>
        <w:t>aggregation</w:t>
      </w:r>
    </w:p>
    <w:p>
      <w:pPr>
        <w:pStyle w:val="ListParagraph"/>
        <w:numPr>
          <w:ilvl w:val="0"/>
          <w:numId w:val="22"/>
        </w:numPr>
        <w:tabs>
          <w:tab w:pos="1539" w:val="left" w:leader="none"/>
          <w:tab w:pos="1540" w:val="left" w:leader="none"/>
        </w:tabs>
        <w:spacing w:line="240" w:lineRule="auto" w:before="200" w:after="0"/>
        <w:ind w:left="1540" w:right="0" w:hanging="360"/>
        <w:jc w:val="left"/>
        <w:rPr>
          <w:sz w:val="24"/>
        </w:rPr>
      </w:pPr>
      <w:r>
        <w:rPr>
          <w:sz w:val="24"/>
        </w:rPr>
        <w:t>Inhibition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uterine</w:t>
      </w:r>
      <w:r>
        <w:rPr>
          <w:spacing w:val="4"/>
          <w:sz w:val="24"/>
        </w:rPr>
        <w:t> </w:t>
      </w:r>
      <w:r>
        <w:rPr>
          <w:sz w:val="24"/>
        </w:rPr>
        <w:t>motility</w:t>
      </w:r>
      <w:r>
        <w:rPr>
          <w:spacing w:val="-9"/>
          <w:sz w:val="24"/>
        </w:rPr>
        <w:t> </w:t>
      </w:r>
      <w:r>
        <w:rPr>
          <w:sz w:val="24"/>
        </w:rPr>
        <w:t>(prolongation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gestation)</w:t>
      </w:r>
    </w:p>
    <w:p>
      <w:pPr>
        <w:pStyle w:val="ListParagraph"/>
        <w:numPr>
          <w:ilvl w:val="0"/>
          <w:numId w:val="22"/>
        </w:numPr>
        <w:tabs>
          <w:tab w:pos="1539" w:val="left" w:leader="none"/>
          <w:tab w:pos="1540" w:val="left" w:leader="none"/>
        </w:tabs>
        <w:spacing w:line="240" w:lineRule="auto" w:before="200" w:after="0"/>
        <w:ind w:left="1540" w:right="0" w:hanging="360"/>
        <w:jc w:val="left"/>
        <w:rPr>
          <w:sz w:val="24"/>
        </w:rPr>
      </w:pPr>
      <w:r>
        <w:rPr>
          <w:sz w:val="24"/>
        </w:rPr>
        <w:t>Inhibition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prostaglandin-mediated</w:t>
      </w:r>
      <w:r>
        <w:rPr>
          <w:spacing w:val="-1"/>
          <w:sz w:val="24"/>
        </w:rPr>
        <w:t> </w:t>
      </w:r>
      <w:r>
        <w:rPr>
          <w:sz w:val="24"/>
        </w:rPr>
        <w:t>renal</w:t>
      </w:r>
      <w:r>
        <w:rPr>
          <w:spacing w:val="-5"/>
          <w:sz w:val="24"/>
        </w:rPr>
        <w:t> </w:t>
      </w:r>
      <w:r>
        <w:rPr>
          <w:sz w:val="24"/>
        </w:rPr>
        <w:t>function</w:t>
      </w:r>
    </w:p>
    <w:p>
      <w:pPr>
        <w:pStyle w:val="ListParagraph"/>
        <w:numPr>
          <w:ilvl w:val="0"/>
          <w:numId w:val="22"/>
        </w:numPr>
        <w:tabs>
          <w:tab w:pos="1539" w:val="left" w:leader="none"/>
          <w:tab w:pos="1540" w:val="left" w:leader="none"/>
        </w:tabs>
        <w:spacing w:line="240" w:lineRule="auto" w:before="201" w:after="0"/>
        <w:ind w:left="1540" w:right="0" w:hanging="360"/>
        <w:jc w:val="left"/>
        <w:rPr>
          <w:sz w:val="24"/>
        </w:rPr>
      </w:pPr>
      <w:r>
        <w:rPr>
          <w:sz w:val="24"/>
        </w:rPr>
        <w:t>Hypersensitivity</w:t>
      </w:r>
      <w:r>
        <w:rPr>
          <w:spacing w:val="-11"/>
          <w:sz w:val="24"/>
        </w:rPr>
        <w:t> </w:t>
      </w:r>
      <w:r>
        <w:rPr>
          <w:sz w:val="24"/>
        </w:rPr>
        <w:t>reactions</w:t>
      </w:r>
      <w:r>
        <w:rPr>
          <w:spacing w:val="-2"/>
          <w:sz w:val="24"/>
        </w:rPr>
        <w:t> </w:t>
      </w:r>
      <w:r>
        <w:rPr>
          <w:sz w:val="24"/>
        </w:rPr>
        <w:t>(Goodman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Gilman</w:t>
      </w:r>
      <w:r>
        <w:rPr>
          <w:spacing w:val="-5"/>
          <w:sz w:val="24"/>
        </w:rPr>
        <w:t> </w:t>
      </w:r>
      <w:r>
        <w:rPr>
          <w:sz w:val="24"/>
        </w:rPr>
        <w:t>1996).</w:t>
      </w:r>
    </w:p>
    <w:p>
      <w:pPr>
        <w:pStyle w:val="Heading1"/>
        <w:spacing w:before="203"/>
        <w:jc w:val="left"/>
      </w:pPr>
      <w:r>
        <w:rPr/>
        <w:t>Adult</w:t>
      </w:r>
      <w:r>
        <w:rPr>
          <w:spacing w:val="-1"/>
        </w:rPr>
        <w:t> </w:t>
      </w:r>
      <w:r>
        <w:rPr/>
        <w:t>dose</w:t>
      </w:r>
    </w:p>
    <w:p>
      <w:pPr>
        <w:pStyle w:val="ListParagraph"/>
        <w:numPr>
          <w:ilvl w:val="0"/>
          <w:numId w:val="22"/>
        </w:numPr>
        <w:tabs>
          <w:tab w:pos="1539" w:val="left" w:leader="none"/>
          <w:tab w:pos="1540" w:val="left" w:leader="none"/>
        </w:tabs>
        <w:spacing w:line="240" w:lineRule="auto" w:before="192" w:after="0"/>
        <w:ind w:left="1540" w:right="0" w:hanging="360"/>
        <w:jc w:val="left"/>
        <w:rPr>
          <w:sz w:val="24"/>
        </w:rPr>
      </w:pPr>
      <w:r>
        <w:rPr>
          <w:sz w:val="24"/>
        </w:rPr>
        <w:t>Diclofenac:</w:t>
      </w:r>
      <w:r>
        <w:rPr>
          <w:spacing w:val="-3"/>
          <w:sz w:val="24"/>
        </w:rPr>
        <w:t> </w:t>
      </w:r>
      <w:r>
        <w:rPr>
          <w:sz w:val="24"/>
        </w:rPr>
        <w:t>Oral:</w:t>
      </w:r>
      <w:r>
        <w:rPr>
          <w:spacing w:val="-2"/>
          <w:sz w:val="24"/>
        </w:rPr>
        <w:t> </w:t>
      </w:r>
      <w:r>
        <w:rPr>
          <w:sz w:val="24"/>
        </w:rPr>
        <w:t>75-150mg</w:t>
      </w:r>
      <w:r>
        <w:rPr>
          <w:spacing w:val="-3"/>
          <w:sz w:val="24"/>
        </w:rPr>
        <w:t> </w:t>
      </w:r>
      <w:r>
        <w:rPr>
          <w:sz w:val="24"/>
        </w:rPr>
        <w:t>daily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2-3</w:t>
      </w:r>
      <w:r>
        <w:rPr>
          <w:spacing w:val="-2"/>
          <w:sz w:val="24"/>
        </w:rPr>
        <w:t> </w:t>
      </w:r>
      <w:r>
        <w:rPr>
          <w:sz w:val="24"/>
        </w:rPr>
        <w:t>divided</w:t>
      </w:r>
      <w:r>
        <w:rPr>
          <w:spacing w:val="-3"/>
          <w:sz w:val="24"/>
        </w:rPr>
        <w:t> </w:t>
      </w:r>
      <w:r>
        <w:rPr>
          <w:sz w:val="24"/>
        </w:rPr>
        <w:t>doses;</w:t>
      </w:r>
      <w:r>
        <w:rPr>
          <w:spacing w:val="-6"/>
          <w:sz w:val="24"/>
        </w:rPr>
        <w:t> </w:t>
      </w:r>
      <w:r>
        <w:rPr>
          <w:sz w:val="24"/>
        </w:rPr>
        <w:t>up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200mg</w:t>
      </w:r>
      <w:r>
        <w:rPr>
          <w:spacing w:val="-2"/>
          <w:sz w:val="24"/>
        </w:rPr>
        <w:t> </w:t>
      </w:r>
      <w:r>
        <w:rPr>
          <w:sz w:val="24"/>
        </w:rPr>
        <w:t>daily.</w:t>
      </w:r>
    </w:p>
    <w:p>
      <w:pPr>
        <w:pStyle w:val="ListParagraph"/>
        <w:numPr>
          <w:ilvl w:val="0"/>
          <w:numId w:val="22"/>
        </w:numPr>
        <w:tabs>
          <w:tab w:pos="1539" w:val="left" w:leader="none"/>
          <w:tab w:pos="1540" w:val="left" w:leader="none"/>
        </w:tabs>
        <w:spacing w:line="240" w:lineRule="auto" w:before="200" w:after="0"/>
        <w:ind w:left="1540" w:right="0" w:hanging="360"/>
        <w:jc w:val="left"/>
        <w:rPr>
          <w:sz w:val="24"/>
        </w:rPr>
      </w:pPr>
      <w:r>
        <w:rPr>
          <w:sz w:val="24"/>
        </w:rPr>
        <w:t>Ibuprofen:</w:t>
      </w:r>
      <w:r>
        <w:rPr>
          <w:spacing w:val="-3"/>
          <w:sz w:val="24"/>
        </w:rPr>
        <w:t> </w:t>
      </w:r>
      <w:r>
        <w:rPr>
          <w:sz w:val="24"/>
        </w:rPr>
        <w:t>Oral:</w:t>
      </w:r>
      <w:r>
        <w:rPr>
          <w:spacing w:val="-3"/>
          <w:sz w:val="24"/>
        </w:rPr>
        <w:t> </w:t>
      </w:r>
      <w:r>
        <w:rPr>
          <w:sz w:val="24"/>
        </w:rPr>
        <w:t>1.2-1.8g</w:t>
      </w:r>
      <w:r>
        <w:rPr>
          <w:spacing w:val="-3"/>
          <w:sz w:val="24"/>
        </w:rPr>
        <w:t> </w:t>
      </w:r>
      <w:r>
        <w:rPr>
          <w:sz w:val="24"/>
        </w:rPr>
        <w:t>daily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3-4</w:t>
      </w:r>
      <w:r>
        <w:rPr>
          <w:spacing w:val="-3"/>
          <w:sz w:val="24"/>
        </w:rPr>
        <w:t> </w:t>
      </w:r>
      <w:r>
        <w:rPr>
          <w:sz w:val="24"/>
        </w:rPr>
        <w:t>divided</w:t>
      </w:r>
      <w:r>
        <w:rPr>
          <w:spacing w:val="-3"/>
          <w:sz w:val="24"/>
        </w:rPr>
        <w:t> </w:t>
      </w:r>
      <w:r>
        <w:rPr>
          <w:sz w:val="24"/>
        </w:rPr>
        <w:t>doses, maximum</w:t>
      </w:r>
      <w:r>
        <w:rPr>
          <w:spacing w:val="-7"/>
          <w:sz w:val="24"/>
        </w:rPr>
        <w:t> </w:t>
      </w:r>
      <w:r>
        <w:rPr>
          <w:sz w:val="24"/>
        </w:rPr>
        <w:t>3.2g</w:t>
      </w:r>
      <w:r>
        <w:rPr>
          <w:spacing w:val="-3"/>
          <w:sz w:val="24"/>
        </w:rPr>
        <w:t> </w:t>
      </w:r>
      <w:r>
        <w:rPr>
          <w:sz w:val="24"/>
        </w:rPr>
        <w:t>daily.</w:t>
      </w:r>
    </w:p>
    <w:p>
      <w:pPr>
        <w:pStyle w:val="ListParagraph"/>
        <w:numPr>
          <w:ilvl w:val="0"/>
          <w:numId w:val="22"/>
        </w:numPr>
        <w:tabs>
          <w:tab w:pos="1539" w:val="left" w:leader="none"/>
          <w:tab w:pos="1540" w:val="left" w:leader="none"/>
        </w:tabs>
        <w:spacing w:line="237" w:lineRule="auto" w:before="207" w:after="0"/>
        <w:ind w:left="1540" w:right="1446" w:hanging="360"/>
        <w:jc w:val="left"/>
        <w:rPr>
          <w:sz w:val="24"/>
        </w:rPr>
      </w:pPr>
      <w:r>
        <w:rPr>
          <w:sz w:val="24"/>
        </w:rPr>
        <w:t>Ketoprofen: Oral: 100-200mg daily</w:t>
      </w:r>
      <w:r>
        <w:rPr>
          <w:spacing w:val="1"/>
          <w:sz w:val="24"/>
        </w:rPr>
        <w:t> </w:t>
      </w:r>
      <w:r>
        <w:rPr>
          <w:sz w:val="24"/>
        </w:rPr>
        <w:t>in 2-3 divided doses; or 200mg</w:t>
      </w:r>
      <w:r>
        <w:rPr>
          <w:spacing w:val="1"/>
          <w:sz w:val="24"/>
        </w:rPr>
        <w:t> </w:t>
      </w:r>
      <w:r>
        <w:rPr>
          <w:sz w:val="24"/>
        </w:rPr>
        <w:t>slow release</w:t>
      </w:r>
      <w:r>
        <w:rPr>
          <w:spacing w:val="1"/>
          <w:sz w:val="24"/>
        </w:rPr>
        <w:t> </w:t>
      </w:r>
      <w:r>
        <w:rPr>
          <w:sz w:val="24"/>
        </w:rPr>
        <w:t>once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58"/>
          <w:sz w:val="24"/>
        </w:rPr>
        <w:t> </w:t>
      </w:r>
      <w:r>
        <w:rPr>
          <w:sz w:val="24"/>
        </w:rPr>
        <w:t>day.</w:t>
      </w:r>
    </w:p>
    <w:p>
      <w:pPr>
        <w:pStyle w:val="ListParagraph"/>
        <w:numPr>
          <w:ilvl w:val="0"/>
          <w:numId w:val="22"/>
        </w:numPr>
        <w:tabs>
          <w:tab w:pos="1539" w:val="left" w:leader="none"/>
          <w:tab w:pos="1540" w:val="left" w:leader="none"/>
        </w:tabs>
        <w:spacing w:line="350" w:lineRule="auto" w:before="197" w:after="0"/>
        <w:ind w:left="1540" w:right="1443" w:hanging="360"/>
        <w:jc w:val="left"/>
        <w:rPr>
          <w:sz w:val="24"/>
        </w:rPr>
      </w:pPr>
      <w:r>
        <w:rPr>
          <w:sz w:val="24"/>
        </w:rPr>
        <w:t>Naproxen:</w:t>
      </w:r>
      <w:r>
        <w:rPr>
          <w:spacing w:val="41"/>
          <w:sz w:val="24"/>
        </w:rPr>
        <w:t> </w:t>
      </w:r>
      <w:r>
        <w:rPr>
          <w:sz w:val="24"/>
        </w:rPr>
        <w:t>Oral:</w:t>
      </w:r>
      <w:r>
        <w:rPr>
          <w:spacing w:val="42"/>
          <w:sz w:val="24"/>
        </w:rPr>
        <w:t> </w:t>
      </w:r>
      <w:r>
        <w:rPr>
          <w:sz w:val="24"/>
        </w:rPr>
        <w:t>550-1100mg</w:t>
      </w:r>
      <w:r>
        <w:rPr>
          <w:spacing w:val="42"/>
          <w:sz w:val="24"/>
        </w:rPr>
        <w:t> </w:t>
      </w:r>
      <w:r>
        <w:rPr>
          <w:sz w:val="24"/>
        </w:rPr>
        <w:t>daily</w:t>
      </w:r>
      <w:r>
        <w:rPr>
          <w:spacing w:val="42"/>
          <w:sz w:val="24"/>
        </w:rPr>
        <w:t> </w:t>
      </w:r>
      <w:r>
        <w:rPr>
          <w:sz w:val="24"/>
        </w:rPr>
        <w:t>in</w:t>
      </w:r>
      <w:r>
        <w:rPr>
          <w:spacing w:val="42"/>
          <w:sz w:val="24"/>
        </w:rPr>
        <w:t> </w:t>
      </w:r>
      <w:r>
        <w:rPr>
          <w:sz w:val="24"/>
        </w:rPr>
        <w:t>2</w:t>
      </w:r>
      <w:r>
        <w:rPr>
          <w:spacing w:val="47"/>
          <w:sz w:val="24"/>
        </w:rPr>
        <w:t> </w:t>
      </w:r>
      <w:r>
        <w:rPr>
          <w:sz w:val="24"/>
        </w:rPr>
        <w:t>divided</w:t>
      </w:r>
      <w:r>
        <w:rPr>
          <w:spacing w:val="46"/>
          <w:sz w:val="24"/>
        </w:rPr>
        <w:t> </w:t>
      </w:r>
      <w:r>
        <w:rPr>
          <w:sz w:val="24"/>
        </w:rPr>
        <w:t>doses;</w:t>
      </w:r>
      <w:r>
        <w:rPr>
          <w:spacing w:val="43"/>
          <w:sz w:val="24"/>
        </w:rPr>
        <w:t> </w:t>
      </w:r>
      <w:r>
        <w:rPr>
          <w:sz w:val="24"/>
        </w:rPr>
        <w:t>may</w:t>
      </w:r>
      <w:r>
        <w:rPr>
          <w:spacing w:val="42"/>
          <w:sz w:val="24"/>
        </w:rPr>
        <w:t> </w:t>
      </w:r>
      <w:r>
        <w:rPr>
          <w:sz w:val="24"/>
        </w:rPr>
        <w:t>be</w:t>
      </w:r>
      <w:r>
        <w:rPr>
          <w:spacing w:val="46"/>
          <w:sz w:val="24"/>
        </w:rPr>
        <w:t> </w:t>
      </w:r>
      <w:r>
        <w:rPr>
          <w:sz w:val="24"/>
        </w:rPr>
        <w:t>increased</w:t>
      </w:r>
      <w:r>
        <w:rPr>
          <w:spacing w:val="42"/>
          <w:sz w:val="24"/>
        </w:rPr>
        <w:t> </w:t>
      </w:r>
      <w:r>
        <w:rPr>
          <w:sz w:val="24"/>
        </w:rPr>
        <w:t>to</w:t>
      </w:r>
      <w:r>
        <w:rPr>
          <w:spacing w:val="52"/>
          <w:sz w:val="24"/>
        </w:rPr>
        <w:t> </w:t>
      </w:r>
      <w:r>
        <w:rPr>
          <w:sz w:val="24"/>
        </w:rPr>
        <w:t>1650mg</w:t>
      </w:r>
      <w:r>
        <w:rPr>
          <w:spacing w:val="-57"/>
          <w:sz w:val="24"/>
        </w:rPr>
        <w:t> </w:t>
      </w:r>
      <w:r>
        <w:rPr>
          <w:sz w:val="24"/>
        </w:rPr>
        <w:t>daily.</w:t>
      </w:r>
    </w:p>
    <w:p>
      <w:pPr>
        <w:spacing w:after="0" w:line="350" w:lineRule="auto"/>
        <w:jc w:val="left"/>
        <w:rPr>
          <w:sz w:val="24"/>
        </w:rPr>
        <w:sectPr>
          <w:pgSz w:w="12240" w:h="15840"/>
          <w:pgMar w:header="0" w:footer="1017" w:top="1360" w:bottom="1200" w:left="620" w:right="0"/>
        </w:sectPr>
      </w:pPr>
    </w:p>
    <w:p>
      <w:pPr>
        <w:pStyle w:val="ListParagraph"/>
        <w:numPr>
          <w:ilvl w:val="0"/>
          <w:numId w:val="22"/>
        </w:numPr>
        <w:tabs>
          <w:tab w:pos="1539" w:val="left" w:leader="none"/>
          <w:tab w:pos="1540" w:val="left" w:leader="none"/>
        </w:tabs>
        <w:spacing w:line="350" w:lineRule="auto" w:before="89" w:after="0"/>
        <w:ind w:left="1540" w:right="1444" w:hanging="360"/>
        <w:jc w:val="left"/>
        <w:rPr>
          <w:sz w:val="24"/>
        </w:rPr>
      </w:pPr>
      <w:r>
        <w:rPr>
          <w:sz w:val="24"/>
        </w:rPr>
        <w:t>Piroxicam:</w:t>
      </w:r>
      <w:r>
        <w:rPr>
          <w:spacing w:val="3"/>
          <w:sz w:val="24"/>
        </w:rPr>
        <w:t> </w:t>
      </w:r>
      <w:r>
        <w:rPr>
          <w:sz w:val="24"/>
        </w:rPr>
        <w:t>Oral:</w:t>
      </w:r>
      <w:r>
        <w:rPr>
          <w:spacing w:val="3"/>
          <w:sz w:val="24"/>
        </w:rPr>
        <w:t> </w:t>
      </w:r>
      <w:r>
        <w:rPr>
          <w:sz w:val="24"/>
        </w:rPr>
        <w:t>20mg</w:t>
      </w:r>
      <w:r>
        <w:rPr>
          <w:spacing w:val="4"/>
          <w:sz w:val="24"/>
        </w:rPr>
        <w:t> </w:t>
      </w:r>
      <w:r>
        <w:rPr>
          <w:sz w:val="24"/>
        </w:rPr>
        <w:t>daily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single</w:t>
      </w:r>
      <w:r>
        <w:rPr>
          <w:spacing w:val="2"/>
          <w:sz w:val="24"/>
        </w:rPr>
        <w:t> </w:t>
      </w:r>
      <w:r>
        <w:rPr>
          <w:sz w:val="24"/>
        </w:rPr>
        <w:t>dose;</w:t>
      </w:r>
      <w:r>
        <w:rPr>
          <w:spacing w:val="4"/>
          <w:sz w:val="24"/>
        </w:rPr>
        <w:t> </w:t>
      </w:r>
      <w:r>
        <w:rPr>
          <w:sz w:val="24"/>
        </w:rPr>
        <w:t>maintenance</w:t>
      </w:r>
      <w:r>
        <w:rPr>
          <w:spacing w:val="2"/>
          <w:sz w:val="24"/>
        </w:rPr>
        <w:t> </w:t>
      </w:r>
      <w:r>
        <w:rPr>
          <w:sz w:val="24"/>
        </w:rPr>
        <w:t>dose,</w:t>
      </w:r>
      <w:r>
        <w:rPr>
          <w:spacing w:val="5"/>
          <w:sz w:val="24"/>
        </w:rPr>
        <w:t> </w:t>
      </w:r>
      <w:r>
        <w:rPr>
          <w:sz w:val="24"/>
        </w:rPr>
        <w:t>10-30mg</w:t>
      </w:r>
      <w:r>
        <w:rPr>
          <w:spacing w:val="4"/>
          <w:sz w:val="24"/>
        </w:rPr>
        <w:t> </w:t>
      </w:r>
      <w:r>
        <w:rPr>
          <w:sz w:val="24"/>
        </w:rPr>
        <w:t>daily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single</w:t>
      </w:r>
      <w:r>
        <w:rPr>
          <w:spacing w:val="-57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divided</w:t>
      </w:r>
      <w:r>
        <w:rPr>
          <w:spacing w:val="2"/>
          <w:sz w:val="24"/>
        </w:rPr>
        <w:t> </w:t>
      </w:r>
      <w:r>
        <w:rPr>
          <w:sz w:val="24"/>
        </w:rPr>
        <w:t>doses (EMDEX</w:t>
      </w:r>
      <w:r>
        <w:rPr>
          <w:spacing w:val="2"/>
          <w:sz w:val="24"/>
        </w:rPr>
        <w:t> </w:t>
      </w:r>
      <w:r>
        <w:rPr>
          <w:sz w:val="24"/>
        </w:rPr>
        <w:t>2010/2011).</w:t>
      </w:r>
    </w:p>
    <w:p>
      <w:pPr>
        <w:pStyle w:val="Heading1"/>
        <w:numPr>
          <w:ilvl w:val="1"/>
          <w:numId w:val="21"/>
        </w:numPr>
        <w:tabs>
          <w:tab w:pos="1540" w:val="left" w:leader="none"/>
        </w:tabs>
        <w:spacing w:line="240" w:lineRule="auto" w:before="217" w:after="0"/>
        <w:ind w:left="1540" w:right="0" w:hanging="360"/>
        <w:jc w:val="left"/>
      </w:pPr>
      <w:r>
        <w:rPr/>
        <w:t>Opioid</w:t>
      </w:r>
      <w:r>
        <w:rPr>
          <w:spacing w:val="-3"/>
        </w:rPr>
        <w:t> </w:t>
      </w:r>
      <w:r>
        <w:rPr/>
        <w:t>analgesics: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ind w:left="820"/>
        <w:jc w:val="both"/>
      </w:pPr>
      <w:r>
        <w:rPr/>
        <w:t>Opiates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drugs</w:t>
      </w:r>
      <w:r>
        <w:rPr>
          <w:spacing w:val="-3"/>
        </w:rPr>
        <w:t> </w:t>
      </w:r>
      <w:r>
        <w:rPr/>
        <w:t>derived</w:t>
      </w:r>
      <w:r>
        <w:rPr>
          <w:spacing w:val="3"/>
        </w:rPr>
        <w:t> </w:t>
      </w:r>
      <w:r>
        <w:rPr/>
        <w:t>from</w:t>
      </w:r>
      <w:r>
        <w:rPr>
          <w:spacing w:val="-9"/>
        </w:rPr>
        <w:t> </w:t>
      </w:r>
      <w:r>
        <w:rPr/>
        <w:t>opium</w:t>
      </w:r>
      <w:r>
        <w:rPr>
          <w:spacing w:val="-5"/>
        </w:rPr>
        <w:t> </w:t>
      </w:r>
      <w:r>
        <w:rPr/>
        <w:t>and</w:t>
      </w:r>
      <w:r>
        <w:rPr>
          <w:spacing w:val="3"/>
        </w:rPr>
        <w:t> </w:t>
      </w:r>
      <w:r>
        <w:rPr/>
        <w:t>include</w:t>
      </w:r>
      <w:r>
        <w:rPr>
          <w:spacing w:val="-2"/>
        </w:rPr>
        <w:t> </w:t>
      </w:r>
      <w:r>
        <w:rPr/>
        <w:t>morphine, codeine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wide</w:t>
      </w:r>
      <w:r>
        <w:rPr>
          <w:spacing w:val="2"/>
        </w:rPr>
        <w:t> </w:t>
      </w:r>
      <w:r>
        <w:rPr/>
        <w:t>variety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semi-</w:t>
      </w:r>
    </w:p>
    <w:p>
      <w:pPr>
        <w:pStyle w:val="BodyText"/>
        <w:spacing w:line="360" w:lineRule="auto" w:before="137"/>
        <w:ind w:left="820" w:right="1440"/>
        <w:jc w:val="both"/>
      </w:pPr>
      <w:r>
        <w:rPr/>
        <w:t>-synthetic congeners derived from them. The term opioid is more inclusive and applies to all</w:t>
      </w:r>
      <w:r>
        <w:rPr>
          <w:spacing w:val="1"/>
        </w:rPr>
        <w:t> </w:t>
      </w:r>
      <w:r>
        <w:rPr/>
        <w:t>agonists and antagonists with morphine</w:t>
      </w:r>
      <w:r>
        <w:rPr>
          <w:spacing w:val="1"/>
        </w:rPr>
        <w:t> </w:t>
      </w:r>
      <w:r>
        <w:rPr/>
        <w:t>like activity (Goodman and Gilman 1996).</w:t>
      </w:r>
      <w:r>
        <w:rPr>
          <w:spacing w:val="60"/>
        </w:rPr>
        <w:t> </w:t>
      </w:r>
      <w:r>
        <w:rPr/>
        <w:t>There are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many compounds with pharmacological property similar to those produced by</w:t>
      </w:r>
      <w:r>
        <w:rPr>
          <w:spacing w:val="60"/>
        </w:rPr>
        <w:t> </w:t>
      </w:r>
      <w:r>
        <w:rPr/>
        <w:t>morphine,</w:t>
      </w:r>
      <w:r>
        <w:rPr>
          <w:spacing w:val="1"/>
        </w:rPr>
        <w:t> </w:t>
      </w:r>
      <w:r>
        <w:rPr/>
        <w:t>but</w:t>
      </w:r>
      <w:r>
        <w:rPr>
          <w:spacing w:val="4"/>
        </w:rPr>
        <w:t> </w:t>
      </w:r>
      <w:r>
        <w:rPr/>
        <w:t>none</w:t>
      </w:r>
      <w:r>
        <w:rPr>
          <w:spacing w:val="-2"/>
        </w:rPr>
        <w:t> </w:t>
      </w:r>
      <w:r>
        <w:rPr/>
        <w:t>has</w:t>
      </w:r>
      <w:r>
        <w:rPr>
          <w:spacing w:val="-2"/>
        </w:rPr>
        <w:t> </w:t>
      </w:r>
      <w:r>
        <w:rPr/>
        <w:t>proven</w:t>
      </w:r>
      <w:r>
        <w:rPr>
          <w:spacing w:val="-6"/>
        </w:rPr>
        <w:t> </w:t>
      </w:r>
      <w:r>
        <w:rPr/>
        <w:t>to</w:t>
      </w:r>
      <w:r>
        <w:rPr>
          <w:spacing w:val="5"/>
        </w:rPr>
        <w:t> </w:t>
      </w:r>
      <w:r>
        <w:rPr/>
        <w:t>be</w:t>
      </w:r>
      <w:r>
        <w:rPr>
          <w:spacing w:val="-2"/>
        </w:rPr>
        <w:t> </w:t>
      </w:r>
      <w:r>
        <w:rPr/>
        <w:t>clinically</w:t>
      </w:r>
      <w:r>
        <w:rPr>
          <w:spacing w:val="-5"/>
        </w:rPr>
        <w:t> </w:t>
      </w:r>
      <w:r>
        <w:rPr/>
        <w:t>superior in</w:t>
      </w:r>
      <w:r>
        <w:rPr>
          <w:spacing w:val="-5"/>
        </w:rPr>
        <w:t> </w:t>
      </w:r>
      <w:r>
        <w:rPr/>
        <w:t>relieving</w:t>
      </w:r>
      <w:r>
        <w:rPr>
          <w:spacing w:val="-1"/>
        </w:rPr>
        <w:t> </w:t>
      </w:r>
      <w:r>
        <w:rPr/>
        <w:t>pain</w:t>
      </w:r>
      <w:r>
        <w:rPr>
          <w:spacing w:val="-5"/>
        </w:rPr>
        <w:t> </w:t>
      </w:r>
      <w:r>
        <w:rPr/>
        <w:t>(Goodman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Gilman</w:t>
      </w:r>
      <w:r>
        <w:rPr>
          <w:spacing w:val="-5"/>
        </w:rPr>
        <w:t> </w:t>
      </w:r>
      <w:r>
        <w:rPr/>
        <w:t>1996).</w:t>
      </w:r>
    </w:p>
    <w:p>
      <w:pPr>
        <w:pStyle w:val="Heading1"/>
        <w:spacing w:before="201"/>
      </w:pPr>
      <w:r>
        <w:rPr/>
        <w:t>Mechanism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action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 w:before="1"/>
        <w:ind w:left="820" w:right="1438"/>
        <w:jc w:val="both"/>
      </w:pPr>
      <w:r>
        <w:rPr/>
        <w:t>Morphine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µ-opioid</w:t>
      </w:r>
      <w:r>
        <w:rPr>
          <w:spacing w:val="1"/>
        </w:rPr>
        <w:t> </w:t>
      </w:r>
      <w:r>
        <w:rPr/>
        <w:t>agonists</w:t>
      </w:r>
      <w:r>
        <w:rPr>
          <w:spacing w:val="1"/>
        </w:rPr>
        <w:t> </w:t>
      </w:r>
      <w:r>
        <w:rPr/>
        <w:t>(methadone,</w:t>
      </w:r>
      <w:r>
        <w:rPr>
          <w:spacing w:val="1"/>
        </w:rPr>
        <w:t> </w:t>
      </w:r>
      <w:r>
        <w:rPr/>
        <w:t>pentazocin)</w:t>
      </w:r>
      <w:r>
        <w:rPr>
          <w:spacing w:val="1"/>
        </w:rPr>
        <w:t> </w:t>
      </w:r>
      <w:r>
        <w:rPr/>
        <w:t>selectively</w:t>
      </w:r>
      <w:r>
        <w:rPr>
          <w:spacing w:val="1"/>
        </w:rPr>
        <w:t> </w:t>
      </w:r>
      <w:r>
        <w:rPr/>
        <w:t>inhibit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nociceptive reflexes and induce profound analgesia. They do this by mediating the inhibition of</w:t>
      </w:r>
      <w:r>
        <w:rPr>
          <w:spacing w:val="1"/>
        </w:rPr>
        <w:t> </w:t>
      </w:r>
      <w:r>
        <w:rPr/>
        <w:t>release of neurotransmitters; including substance P. Morphine also antagonises the effects of</w:t>
      </w:r>
      <w:r>
        <w:rPr>
          <w:spacing w:val="1"/>
        </w:rPr>
        <w:t> </w:t>
      </w:r>
      <w:r>
        <w:rPr/>
        <w:t>exogenously</w:t>
      </w:r>
      <w:r>
        <w:rPr>
          <w:spacing w:val="-9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substance</w:t>
      </w:r>
      <w:r>
        <w:rPr>
          <w:spacing w:val="1"/>
        </w:rPr>
        <w:t> </w:t>
      </w:r>
      <w:r>
        <w:rPr/>
        <w:t>P</w:t>
      </w:r>
      <w:r>
        <w:rPr>
          <w:spacing w:val="2"/>
        </w:rPr>
        <w:t> </w:t>
      </w:r>
      <w:r>
        <w:rPr/>
        <w:t>(Goodman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Gilman</w:t>
      </w:r>
      <w:r>
        <w:rPr>
          <w:spacing w:val="-4"/>
        </w:rPr>
        <w:t> </w:t>
      </w:r>
      <w:r>
        <w:rPr/>
        <w:t>1996).</w:t>
      </w:r>
    </w:p>
    <w:p>
      <w:pPr>
        <w:pStyle w:val="Heading1"/>
        <w:spacing w:before="201"/>
        <w:jc w:val="left"/>
      </w:pPr>
      <w:r>
        <w:rPr/>
        <w:t>Indications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42"/>
        <w:jc w:val="both"/>
      </w:pPr>
      <w:r>
        <w:rPr/>
        <w:t>Morphine</w:t>
      </w:r>
      <w:r>
        <w:rPr>
          <w:spacing w:val="6"/>
        </w:rPr>
        <w:t> </w:t>
      </w:r>
      <w:r>
        <w:rPr/>
        <w:t>remains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most</w:t>
      </w:r>
      <w:r>
        <w:rPr>
          <w:spacing w:val="15"/>
        </w:rPr>
        <w:t> </w:t>
      </w:r>
      <w:r>
        <w:rPr/>
        <w:t>valuable</w:t>
      </w:r>
      <w:r>
        <w:rPr>
          <w:spacing w:val="7"/>
        </w:rPr>
        <w:t> </w:t>
      </w:r>
      <w:r>
        <w:rPr/>
        <w:t>analgesic</w:t>
      </w:r>
      <w:r>
        <w:rPr>
          <w:spacing w:val="10"/>
        </w:rPr>
        <w:t> </w:t>
      </w:r>
      <w:r>
        <w:rPr/>
        <w:t>for</w:t>
      </w:r>
      <w:r>
        <w:rPr>
          <w:spacing w:val="13"/>
        </w:rPr>
        <w:t> </w:t>
      </w:r>
      <w:r>
        <w:rPr/>
        <w:t>severe</w:t>
      </w:r>
      <w:r>
        <w:rPr>
          <w:spacing w:val="7"/>
        </w:rPr>
        <w:t> </w:t>
      </w:r>
      <w:r>
        <w:rPr/>
        <w:t>pain.</w:t>
      </w:r>
      <w:r>
        <w:rPr>
          <w:spacing w:val="9"/>
        </w:rPr>
        <w:t> </w:t>
      </w:r>
      <w:r>
        <w:rPr/>
        <w:t>Codeine</w:t>
      </w:r>
      <w:r>
        <w:rPr>
          <w:spacing w:val="15"/>
        </w:rPr>
        <w:t> </w:t>
      </w:r>
      <w:r>
        <w:rPr/>
        <w:t>is</w:t>
      </w:r>
      <w:r>
        <w:rPr>
          <w:spacing w:val="9"/>
        </w:rPr>
        <w:t> </w:t>
      </w:r>
      <w:r>
        <w:rPr/>
        <w:t>much</w:t>
      </w:r>
      <w:r>
        <w:rPr>
          <w:spacing w:val="12"/>
        </w:rPr>
        <w:t> </w:t>
      </w:r>
      <w:r>
        <w:rPr/>
        <w:t>less</w:t>
      </w:r>
      <w:r>
        <w:rPr>
          <w:spacing w:val="4"/>
        </w:rPr>
        <w:t> </w:t>
      </w:r>
      <w:r>
        <w:rPr/>
        <w:t>potent</w:t>
      </w:r>
      <w:r>
        <w:rPr>
          <w:spacing w:val="12"/>
        </w:rPr>
        <w:t> </w:t>
      </w:r>
      <w:r>
        <w:rPr/>
        <w:t>and</w:t>
      </w:r>
      <w:r>
        <w:rPr>
          <w:spacing w:val="-57"/>
        </w:rPr>
        <w:t> </w:t>
      </w:r>
      <w:r>
        <w:rPr/>
        <w:t>is used for treatment of moderate pain (sometimes in combination with paracetamol). Tramadol,</w:t>
      </w:r>
      <w:r>
        <w:rPr>
          <w:spacing w:val="1"/>
        </w:rPr>
        <w:t> </w:t>
      </w:r>
      <w:r>
        <w:rPr/>
        <w:t>pentazocin, a partial µ-agonist, and pethidine are used in the management of moderate to severe</w:t>
      </w:r>
      <w:r>
        <w:rPr>
          <w:spacing w:val="1"/>
        </w:rPr>
        <w:t> </w:t>
      </w:r>
      <w:r>
        <w:rPr/>
        <w:t>pain</w:t>
      </w:r>
      <w:r>
        <w:rPr>
          <w:spacing w:val="-4"/>
        </w:rPr>
        <w:t> </w:t>
      </w:r>
      <w:r>
        <w:rPr/>
        <w:t>(EMDEX</w:t>
      </w:r>
      <w:r>
        <w:rPr>
          <w:spacing w:val="2"/>
        </w:rPr>
        <w:t> </w:t>
      </w:r>
      <w:r>
        <w:rPr/>
        <w:t>2010/2011).</w:t>
      </w:r>
    </w:p>
    <w:p>
      <w:pPr>
        <w:pStyle w:val="Heading1"/>
        <w:spacing w:before="202"/>
      </w:pPr>
      <w:r>
        <w:rPr/>
        <w:t>Side</w:t>
      </w:r>
      <w:r>
        <w:rPr>
          <w:spacing w:val="-3"/>
        </w:rPr>
        <w:t> </w:t>
      </w:r>
      <w:r>
        <w:rPr/>
        <w:t>Effects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276" w:lineRule="auto" w:before="1"/>
        <w:ind w:left="820" w:right="1449"/>
        <w:jc w:val="both"/>
      </w:pPr>
      <w:r>
        <w:rPr/>
        <w:t>Nausea,</w:t>
      </w:r>
      <w:r>
        <w:rPr>
          <w:spacing w:val="1"/>
        </w:rPr>
        <w:t> </w:t>
      </w:r>
      <w:r>
        <w:rPr/>
        <w:t>vomiting,</w:t>
      </w:r>
      <w:r>
        <w:rPr>
          <w:spacing w:val="1"/>
        </w:rPr>
        <w:t> </w:t>
      </w:r>
      <w:r>
        <w:rPr/>
        <w:t>drowsiness,</w:t>
      </w:r>
      <w:r>
        <w:rPr>
          <w:spacing w:val="1"/>
        </w:rPr>
        <w:t> </w:t>
      </w:r>
      <w:r>
        <w:rPr/>
        <w:t>constipation,</w:t>
      </w:r>
      <w:r>
        <w:rPr>
          <w:spacing w:val="1"/>
        </w:rPr>
        <w:t> </w:t>
      </w:r>
      <w:r>
        <w:rPr/>
        <w:t>tachycardia,</w:t>
      </w:r>
      <w:r>
        <w:rPr>
          <w:spacing w:val="1"/>
        </w:rPr>
        <w:t> </w:t>
      </w:r>
      <w:r>
        <w:rPr/>
        <w:t>palpitations,</w:t>
      </w:r>
      <w:r>
        <w:rPr>
          <w:spacing w:val="1"/>
        </w:rPr>
        <w:t> </w:t>
      </w:r>
      <w:r>
        <w:rPr/>
        <w:t>sweating,</w:t>
      </w:r>
      <w:r>
        <w:rPr>
          <w:spacing w:val="1"/>
        </w:rPr>
        <w:t> </w:t>
      </w:r>
      <w:r>
        <w:rPr/>
        <w:t>headache,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libido, urticaria, rashes,</w:t>
      </w:r>
      <w:r>
        <w:rPr>
          <w:spacing w:val="60"/>
        </w:rPr>
        <w:t> </w:t>
      </w:r>
      <w:r>
        <w:rPr/>
        <w:t>hallucinations, confusion, respiratory depression, tolerance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dependence</w:t>
      </w:r>
      <w:r>
        <w:rPr>
          <w:spacing w:val="1"/>
        </w:rPr>
        <w:t> </w:t>
      </w:r>
      <w:r>
        <w:rPr/>
        <w:t>(EMDEX</w:t>
      </w:r>
      <w:r>
        <w:rPr>
          <w:spacing w:val="2"/>
        </w:rPr>
        <w:t> </w:t>
      </w:r>
      <w:r>
        <w:rPr/>
        <w:t>2010/11).</w:t>
      </w:r>
    </w:p>
    <w:p>
      <w:pPr>
        <w:pStyle w:val="Heading1"/>
        <w:spacing w:before="199"/>
        <w:jc w:val="left"/>
      </w:pPr>
      <w:r>
        <w:rPr/>
        <w:t>Adult dose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ListParagraph"/>
        <w:numPr>
          <w:ilvl w:val="0"/>
          <w:numId w:val="22"/>
        </w:numPr>
        <w:tabs>
          <w:tab w:pos="1539" w:val="left" w:leader="none"/>
          <w:tab w:pos="1540" w:val="left" w:leader="none"/>
        </w:tabs>
        <w:spacing w:line="350" w:lineRule="auto" w:before="1" w:after="0"/>
        <w:ind w:left="1540" w:right="1439" w:hanging="360"/>
        <w:jc w:val="left"/>
        <w:rPr>
          <w:sz w:val="24"/>
        </w:rPr>
      </w:pPr>
      <w:r>
        <w:rPr>
          <w:sz w:val="24"/>
        </w:rPr>
        <w:t>Tramadol:</w:t>
      </w:r>
      <w:r>
        <w:rPr>
          <w:spacing w:val="12"/>
          <w:sz w:val="24"/>
        </w:rPr>
        <w:t> </w:t>
      </w:r>
      <w:r>
        <w:rPr>
          <w:sz w:val="24"/>
        </w:rPr>
        <w:t>Intramuscular</w:t>
      </w:r>
      <w:r>
        <w:rPr>
          <w:spacing w:val="9"/>
          <w:sz w:val="24"/>
        </w:rPr>
        <w:t> </w:t>
      </w:r>
      <w:r>
        <w:rPr>
          <w:sz w:val="24"/>
        </w:rPr>
        <w:t>(IM)</w:t>
      </w:r>
      <w:r>
        <w:rPr>
          <w:spacing w:val="9"/>
          <w:sz w:val="24"/>
        </w:rPr>
        <w:t> </w:t>
      </w:r>
      <w:r>
        <w:rPr>
          <w:sz w:val="24"/>
        </w:rPr>
        <w:t>or</w:t>
      </w:r>
      <w:r>
        <w:rPr>
          <w:spacing w:val="9"/>
          <w:sz w:val="24"/>
        </w:rPr>
        <w:t> </w:t>
      </w:r>
      <w:r>
        <w:rPr>
          <w:sz w:val="24"/>
        </w:rPr>
        <w:t>intravenous</w:t>
      </w:r>
      <w:r>
        <w:rPr>
          <w:spacing w:val="5"/>
          <w:sz w:val="24"/>
        </w:rPr>
        <w:t> </w:t>
      </w:r>
      <w:r>
        <w:rPr>
          <w:sz w:val="24"/>
        </w:rPr>
        <w:t>(IV):</w:t>
      </w:r>
      <w:r>
        <w:rPr>
          <w:spacing w:val="8"/>
          <w:sz w:val="24"/>
        </w:rPr>
        <w:t> </w:t>
      </w:r>
      <w:r>
        <w:rPr>
          <w:sz w:val="24"/>
        </w:rPr>
        <w:t>50-100mg</w:t>
      </w:r>
      <w:r>
        <w:rPr>
          <w:spacing w:val="12"/>
          <w:sz w:val="24"/>
        </w:rPr>
        <w:t> </w:t>
      </w:r>
      <w:r>
        <w:rPr>
          <w:sz w:val="24"/>
        </w:rPr>
        <w:t>every</w:t>
      </w:r>
      <w:r>
        <w:rPr>
          <w:spacing w:val="3"/>
          <w:sz w:val="24"/>
        </w:rPr>
        <w:t> </w:t>
      </w:r>
      <w:r>
        <w:rPr>
          <w:sz w:val="24"/>
        </w:rPr>
        <w:t>4-6</w:t>
      </w:r>
      <w:r>
        <w:rPr>
          <w:spacing w:val="12"/>
          <w:sz w:val="24"/>
        </w:rPr>
        <w:t> </w:t>
      </w:r>
      <w:r>
        <w:rPr>
          <w:sz w:val="24"/>
        </w:rPr>
        <w:t>hours,</w:t>
      </w:r>
      <w:r>
        <w:rPr>
          <w:spacing w:val="9"/>
          <w:sz w:val="24"/>
        </w:rPr>
        <w:t> </w:t>
      </w:r>
      <w:r>
        <w:rPr>
          <w:sz w:val="24"/>
        </w:rPr>
        <w:t>not</w:t>
      </w:r>
      <w:r>
        <w:rPr>
          <w:spacing w:val="-57"/>
          <w:sz w:val="24"/>
        </w:rPr>
        <w:t> </w:t>
      </w:r>
      <w:r>
        <w:rPr>
          <w:sz w:val="24"/>
        </w:rPr>
        <w:t>exceeding</w:t>
      </w:r>
      <w:r>
        <w:rPr>
          <w:spacing w:val="1"/>
          <w:sz w:val="24"/>
        </w:rPr>
        <w:t> </w:t>
      </w:r>
      <w:r>
        <w:rPr>
          <w:sz w:val="24"/>
        </w:rPr>
        <w:t>400mg</w:t>
      </w:r>
      <w:r>
        <w:rPr>
          <w:spacing w:val="2"/>
          <w:sz w:val="24"/>
        </w:rPr>
        <w:t> </w:t>
      </w:r>
      <w:r>
        <w:rPr>
          <w:sz w:val="24"/>
        </w:rPr>
        <w:t>per</w:t>
      </w:r>
      <w:r>
        <w:rPr>
          <w:spacing w:val="3"/>
          <w:sz w:val="24"/>
        </w:rPr>
        <w:t> </w:t>
      </w:r>
      <w:r>
        <w:rPr>
          <w:sz w:val="24"/>
        </w:rPr>
        <w:t>day</w:t>
      </w:r>
      <w:r>
        <w:rPr>
          <w:spacing w:val="-8"/>
          <w:sz w:val="24"/>
        </w:rPr>
        <w:t> </w:t>
      </w:r>
      <w:r>
        <w:rPr>
          <w:sz w:val="24"/>
        </w:rPr>
        <w:t>(EMDEX</w:t>
      </w:r>
      <w:r>
        <w:rPr>
          <w:spacing w:val="1"/>
          <w:sz w:val="24"/>
        </w:rPr>
        <w:t> </w:t>
      </w:r>
      <w:r>
        <w:rPr>
          <w:sz w:val="24"/>
        </w:rPr>
        <w:t>2010/11).</w:t>
      </w:r>
    </w:p>
    <w:p>
      <w:pPr>
        <w:pStyle w:val="ListParagraph"/>
        <w:numPr>
          <w:ilvl w:val="0"/>
          <w:numId w:val="22"/>
        </w:numPr>
        <w:tabs>
          <w:tab w:pos="1539" w:val="left" w:leader="none"/>
          <w:tab w:pos="1540" w:val="left" w:leader="none"/>
        </w:tabs>
        <w:spacing w:line="350" w:lineRule="auto" w:before="214" w:after="0"/>
        <w:ind w:left="1540" w:right="1437" w:hanging="360"/>
        <w:jc w:val="left"/>
        <w:rPr>
          <w:sz w:val="24"/>
        </w:rPr>
      </w:pPr>
      <w:r>
        <w:rPr>
          <w:sz w:val="24"/>
        </w:rPr>
        <w:t>Pentazocin:</w:t>
      </w:r>
      <w:r>
        <w:rPr>
          <w:spacing w:val="42"/>
          <w:sz w:val="24"/>
        </w:rPr>
        <w:t> </w:t>
      </w:r>
      <w:r>
        <w:rPr>
          <w:sz w:val="24"/>
        </w:rPr>
        <w:t>IM,</w:t>
      </w:r>
      <w:r>
        <w:rPr>
          <w:spacing w:val="44"/>
          <w:sz w:val="24"/>
        </w:rPr>
        <w:t> </w:t>
      </w:r>
      <w:r>
        <w:rPr>
          <w:sz w:val="24"/>
        </w:rPr>
        <w:t>IV,</w:t>
      </w:r>
      <w:r>
        <w:rPr>
          <w:spacing w:val="44"/>
          <w:sz w:val="24"/>
        </w:rPr>
        <w:t> </w:t>
      </w:r>
      <w:r>
        <w:rPr>
          <w:sz w:val="24"/>
        </w:rPr>
        <w:t>or</w:t>
      </w:r>
      <w:r>
        <w:rPr>
          <w:spacing w:val="44"/>
          <w:sz w:val="24"/>
        </w:rPr>
        <w:t> </w:t>
      </w:r>
      <w:r>
        <w:rPr>
          <w:sz w:val="24"/>
        </w:rPr>
        <w:t>SC</w:t>
      </w:r>
      <w:r>
        <w:rPr>
          <w:spacing w:val="42"/>
          <w:sz w:val="24"/>
        </w:rPr>
        <w:t> </w:t>
      </w:r>
      <w:r>
        <w:rPr>
          <w:sz w:val="24"/>
        </w:rPr>
        <w:t>(Subcutaneous):</w:t>
      </w:r>
      <w:r>
        <w:rPr>
          <w:spacing w:val="42"/>
          <w:sz w:val="24"/>
        </w:rPr>
        <w:t> </w:t>
      </w:r>
      <w:r>
        <w:rPr>
          <w:sz w:val="24"/>
        </w:rPr>
        <w:t>30-60mg,</w:t>
      </w:r>
      <w:r>
        <w:rPr>
          <w:spacing w:val="44"/>
          <w:sz w:val="24"/>
        </w:rPr>
        <w:t> </w:t>
      </w:r>
      <w:r>
        <w:rPr>
          <w:sz w:val="24"/>
        </w:rPr>
        <w:t>3-4</w:t>
      </w:r>
      <w:r>
        <w:rPr>
          <w:spacing w:val="42"/>
          <w:sz w:val="24"/>
        </w:rPr>
        <w:t> </w:t>
      </w:r>
      <w:r>
        <w:rPr>
          <w:sz w:val="24"/>
        </w:rPr>
        <w:t>hourly.</w:t>
      </w:r>
      <w:r>
        <w:rPr>
          <w:spacing w:val="45"/>
          <w:sz w:val="24"/>
        </w:rPr>
        <w:t> </w:t>
      </w:r>
      <w:r>
        <w:rPr>
          <w:sz w:val="24"/>
        </w:rPr>
        <w:t>Doses</w:t>
      </w:r>
      <w:r>
        <w:rPr>
          <w:spacing w:val="45"/>
          <w:sz w:val="24"/>
        </w:rPr>
        <w:t> </w:t>
      </w:r>
      <w:r>
        <w:rPr>
          <w:sz w:val="24"/>
        </w:rPr>
        <w:t>in</w:t>
      </w:r>
      <w:r>
        <w:rPr>
          <w:spacing w:val="42"/>
          <w:sz w:val="24"/>
        </w:rPr>
        <w:t> </w:t>
      </w:r>
      <w:r>
        <w:rPr>
          <w:sz w:val="24"/>
        </w:rPr>
        <w:t>excess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30mg</w:t>
      </w:r>
      <w:r>
        <w:rPr>
          <w:spacing w:val="1"/>
          <w:sz w:val="24"/>
        </w:rPr>
        <w:t> </w:t>
      </w:r>
      <w:r>
        <w:rPr>
          <w:sz w:val="24"/>
        </w:rPr>
        <w:t>IV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2"/>
          <w:sz w:val="24"/>
        </w:rPr>
        <w:t> </w:t>
      </w:r>
      <w:r>
        <w:rPr>
          <w:sz w:val="24"/>
        </w:rPr>
        <w:t>60mg</w:t>
      </w:r>
      <w:r>
        <w:rPr>
          <w:spacing w:val="1"/>
          <w:sz w:val="24"/>
        </w:rPr>
        <w:t> </w:t>
      </w:r>
      <w:r>
        <w:rPr>
          <w:sz w:val="24"/>
        </w:rPr>
        <w:t>IM,</w:t>
      </w:r>
      <w:r>
        <w:rPr>
          <w:spacing w:val="3"/>
          <w:sz w:val="24"/>
        </w:rPr>
        <w:t> </w:t>
      </w:r>
      <w:r>
        <w:rPr>
          <w:sz w:val="24"/>
        </w:rPr>
        <w:t>SC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5"/>
          <w:sz w:val="24"/>
        </w:rPr>
        <w:t> </w:t>
      </w:r>
      <w:r>
        <w:rPr>
          <w:sz w:val="24"/>
        </w:rPr>
        <w:t>not</w:t>
      </w:r>
      <w:r>
        <w:rPr>
          <w:spacing w:val="2"/>
          <w:sz w:val="24"/>
        </w:rPr>
        <w:t> </w:t>
      </w:r>
      <w:r>
        <w:rPr>
          <w:sz w:val="24"/>
        </w:rPr>
        <w:t>recommended</w:t>
      </w:r>
      <w:r>
        <w:rPr>
          <w:spacing w:val="1"/>
          <w:sz w:val="24"/>
        </w:rPr>
        <w:t> </w:t>
      </w:r>
      <w:r>
        <w:rPr>
          <w:sz w:val="24"/>
        </w:rPr>
        <w:t>(EMDEX</w:t>
      </w:r>
      <w:r>
        <w:rPr>
          <w:spacing w:val="2"/>
          <w:sz w:val="24"/>
        </w:rPr>
        <w:t> </w:t>
      </w:r>
      <w:r>
        <w:rPr>
          <w:sz w:val="24"/>
        </w:rPr>
        <w:t>2010/11).</w:t>
      </w:r>
    </w:p>
    <w:p>
      <w:pPr>
        <w:spacing w:after="0" w:line="350" w:lineRule="auto"/>
        <w:jc w:val="left"/>
        <w:rPr>
          <w:sz w:val="24"/>
        </w:rPr>
        <w:sectPr>
          <w:pgSz w:w="12240" w:h="15840"/>
          <w:pgMar w:header="0" w:footer="1017" w:top="1340" w:bottom="1200" w:left="620" w:right="0"/>
        </w:sectPr>
      </w:pPr>
    </w:p>
    <w:p>
      <w:pPr>
        <w:pStyle w:val="ListParagraph"/>
        <w:numPr>
          <w:ilvl w:val="0"/>
          <w:numId w:val="22"/>
        </w:numPr>
        <w:tabs>
          <w:tab w:pos="1540" w:val="left" w:leader="none"/>
        </w:tabs>
        <w:spacing w:line="350" w:lineRule="auto" w:before="89" w:after="0"/>
        <w:ind w:left="1540" w:right="1445" w:hanging="360"/>
        <w:jc w:val="both"/>
        <w:rPr>
          <w:sz w:val="24"/>
        </w:rPr>
      </w:pPr>
      <w:r>
        <w:rPr>
          <w:sz w:val="24"/>
        </w:rPr>
        <w:t>Pethidine: IM or SC: 25-100mg, repeated 3-4 hourly if necessary, up to 150mg in severe</w:t>
      </w:r>
      <w:r>
        <w:rPr>
          <w:spacing w:val="1"/>
          <w:sz w:val="24"/>
        </w:rPr>
        <w:t> </w:t>
      </w:r>
      <w:r>
        <w:rPr>
          <w:sz w:val="24"/>
        </w:rPr>
        <w:t>pain</w:t>
      </w:r>
      <w:r>
        <w:rPr>
          <w:spacing w:val="-4"/>
          <w:sz w:val="24"/>
        </w:rPr>
        <w:t> </w:t>
      </w:r>
      <w:r>
        <w:rPr>
          <w:sz w:val="24"/>
        </w:rPr>
        <w:t>(EMDEX</w:t>
      </w:r>
      <w:r>
        <w:rPr>
          <w:spacing w:val="2"/>
          <w:sz w:val="24"/>
        </w:rPr>
        <w:t> </w:t>
      </w:r>
      <w:r>
        <w:rPr>
          <w:sz w:val="24"/>
        </w:rPr>
        <w:t>2010/11).</w:t>
      </w:r>
    </w:p>
    <w:p>
      <w:pPr>
        <w:pStyle w:val="ListParagraph"/>
        <w:numPr>
          <w:ilvl w:val="0"/>
          <w:numId w:val="22"/>
        </w:numPr>
        <w:tabs>
          <w:tab w:pos="1539" w:val="left" w:leader="none"/>
          <w:tab w:pos="1540" w:val="left" w:leader="none"/>
        </w:tabs>
        <w:spacing w:line="240" w:lineRule="auto" w:before="214" w:after="0"/>
        <w:ind w:left="1540" w:right="0" w:hanging="360"/>
        <w:jc w:val="left"/>
        <w:rPr>
          <w:sz w:val="24"/>
        </w:rPr>
      </w:pPr>
      <w:r>
        <w:rPr>
          <w:sz w:val="24"/>
        </w:rPr>
        <w:t>Morphine:</w:t>
      </w:r>
      <w:r>
        <w:rPr>
          <w:spacing w:val="-1"/>
          <w:sz w:val="24"/>
        </w:rPr>
        <w:t> </w:t>
      </w:r>
      <w:r>
        <w:rPr>
          <w:sz w:val="24"/>
        </w:rPr>
        <w:t>IM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4"/>
          <w:sz w:val="24"/>
        </w:rPr>
        <w:t> </w:t>
      </w:r>
      <w:r>
        <w:rPr>
          <w:sz w:val="24"/>
        </w:rPr>
        <w:t>SC:</w:t>
      </w:r>
      <w:r>
        <w:rPr>
          <w:spacing w:val="-1"/>
          <w:sz w:val="24"/>
        </w:rPr>
        <w:t> </w:t>
      </w:r>
      <w:r>
        <w:rPr>
          <w:sz w:val="24"/>
        </w:rPr>
        <w:t>10-15mg</w:t>
      </w:r>
      <w:r>
        <w:rPr>
          <w:spacing w:val="-1"/>
          <w:sz w:val="24"/>
        </w:rPr>
        <w:t> </w:t>
      </w:r>
      <w:r>
        <w:rPr>
          <w:sz w:val="24"/>
        </w:rPr>
        <w:t>every</w:t>
      </w:r>
      <w:r>
        <w:rPr>
          <w:spacing w:val="-10"/>
          <w:sz w:val="24"/>
        </w:rPr>
        <w:t> </w:t>
      </w:r>
      <w:r>
        <w:rPr>
          <w:sz w:val="24"/>
        </w:rPr>
        <w:t>4</w:t>
      </w:r>
      <w:r>
        <w:rPr>
          <w:spacing w:val="4"/>
          <w:sz w:val="24"/>
        </w:rPr>
        <w:t> </w:t>
      </w:r>
      <w:r>
        <w:rPr>
          <w:sz w:val="24"/>
        </w:rPr>
        <w:t>hours</w:t>
      </w:r>
      <w:r>
        <w:rPr>
          <w:spacing w:val="-3"/>
          <w:sz w:val="24"/>
        </w:rPr>
        <w:t> </w:t>
      </w:r>
      <w:r>
        <w:rPr>
          <w:sz w:val="24"/>
        </w:rPr>
        <w:t>(EMDEX</w:t>
      </w:r>
      <w:r>
        <w:rPr>
          <w:spacing w:val="-1"/>
          <w:sz w:val="24"/>
        </w:rPr>
        <w:t> </w:t>
      </w:r>
      <w:r>
        <w:rPr>
          <w:sz w:val="24"/>
        </w:rPr>
        <w:t>2010/11).</w:t>
      </w:r>
    </w:p>
    <w:p>
      <w:pPr>
        <w:pStyle w:val="BodyText"/>
        <w:spacing w:before="4"/>
        <w:rPr>
          <w:sz w:val="29"/>
        </w:rPr>
      </w:pPr>
    </w:p>
    <w:p>
      <w:pPr>
        <w:pStyle w:val="Heading1"/>
        <w:numPr>
          <w:ilvl w:val="0"/>
          <w:numId w:val="21"/>
        </w:numPr>
        <w:tabs>
          <w:tab w:pos="1540" w:val="left" w:leader="none"/>
        </w:tabs>
        <w:spacing w:line="360" w:lineRule="auto" w:before="0" w:after="0"/>
        <w:ind w:left="1540" w:right="1445" w:hanging="360"/>
        <w:jc w:val="both"/>
      </w:pPr>
      <w:r>
        <w:rPr/>
        <w:t>Micronutrients and Supplements </w:t>
      </w:r>
      <w:r>
        <w:rPr>
          <w:b w:val="0"/>
        </w:rPr>
        <w:t>(</w:t>
      </w:r>
      <w:r>
        <w:rPr/>
        <w:t>Vitamins</w:t>
      </w:r>
      <w:r>
        <w:rPr>
          <w:spacing w:val="1"/>
        </w:rPr>
        <w:t> </w:t>
      </w:r>
      <w:r>
        <w:rPr/>
        <w:t>B</w:t>
      </w:r>
      <w:r>
        <w:rPr>
          <w:vertAlign w:val="subscript"/>
        </w:rPr>
        <w:t>12,</w:t>
      </w:r>
      <w:r>
        <w:rPr>
          <w:vertAlign w:val="baseline"/>
        </w:rPr>
        <w:t> B</w:t>
      </w:r>
      <w:r>
        <w:rPr>
          <w:vertAlign w:val="subscript"/>
        </w:rPr>
        <w:t>6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folic acid,</w:t>
      </w:r>
      <w:r>
        <w:rPr>
          <w:spacing w:val="1"/>
          <w:vertAlign w:val="baseline"/>
        </w:rPr>
        <w:t> </w:t>
      </w:r>
      <w:r>
        <w:rPr>
          <w:vertAlign w:val="baseline"/>
        </w:rPr>
        <w:t>iron,</w:t>
      </w:r>
      <w:r>
        <w:rPr>
          <w:spacing w:val="60"/>
          <w:vertAlign w:val="baseline"/>
        </w:rPr>
        <w:t> </w:t>
      </w:r>
      <w:r>
        <w:rPr>
          <w:vertAlign w:val="baseline"/>
        </w:rPr>
        <w:t>magnesium,</w:t>
      </w:r>
      <w:r>
        <w:rPr>
          <w:spacing w:val="1"/>
          <w:vertAlign w:val="baseline"/>
        </w:rPr>
        <w:t> </w:t>
      </w:r>
      <w:r>
        <w:rPr>
          <w:vertAlign w:val="baseline"/>
        </w:rPr>
        <w:t>zinc)</w:t>
      </w:r>
    </w:p>
    <w:p>
      <w:pPr>
        <w:pStyle w:val="BodyText"/>
        <w:spacing w:line="360" w:lineRule="auto" w:before="199"/>
        <w:ind w:left="820" w:right="1443"/>
        <w:jc w:val="both"/>
      </w:pPr>
      <w:r>
        <w:rPr/>
        <w:t>Deficiencies in vitamins B</w:t>
      </w:r>
      <w:r>
        <w:rPr>
          <w:vertAlign w:val="subscript"/>
        </w:rPr>
        <w:t>12</w:t>
      </w:r>
      <w:r>
        <w:rPr>
          <w:vertAlign w:val="baseline"/>
        </w:rPr>
        <w:t> (Al-Momen, 1995), B</w:t>
      </w:r>
      <w:r>
        <w:rPr>
          <w:vertAlign w:val="subscript"/>
        </w:rPr>
        <w:t>6</w:t>
      </w:r>
      <w:r>
        <w:rPr>
          <w:vertAlign w:val="baseline"/>
        </w:rPr>
        <w:t> (Natta </w:t>
      </w:r>
      <w:r>
        <w:rPr>
          <w:i/>
          <w:vertAlign w:val="baseline"/>
        </w:rPr>
        <w:t>et al</w:t>
      </w:r>
      <w:r>
        <w:rPr>
          <w:vertAlign w:val="baseline"/>
        </w:rPr>
        <w:t>., 1980), and folic acid (Gothoni,</w:t>
      </w:r>
      <w:r>
        <w:rPr>
          <w:spacing w:val="1"/>
          <w:vertAlign w:val="baseline"/>
        </w:rPr>
        <w:t> </w:t>
      </w:r>
      <w:r>
        <w:rPr>
          <w:vertAlign w:val="baseline"/>
        </w:rPr>
        <w:t>1995)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been</w:t>
      </w:r>
      <w:r>
        <w:rPr>
          <w:spacing w:val="1"/>
          <w:vertAlign w:val="baseline"/>
        </w:rPr>
        <w:t> </w:t>
      </w:r>
      <w:r>
        <w:rPr>
          <w:vertAlign w:val="baseline"/>
        </w:rPr>
        <w:t>discovered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patients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SCDs.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Therefore,</w:t>
      </w:r>
      <w:r>
        <w:rPr>
          <w:spacing w:val="1"/>
          <w:vertAlign w:val="baseline"/>
        </w:rPr>
        <w:t> </w:t>
      </w:r>
      <w:r>
        <w:rPr>
          <w:vertAlign w:val="baseline"/>
        </w:rPr>
        <w:t>daily</w:t>
      </w:r>
      <w:r>
        <w:rPr>
          <w:spacing w:val="1"/>
          <w:vertAlign w:val="baseline"/>
        </w:rPr>
        <w:t> </w:t>
      </w:r>
      <w:r>
        <w:rPr>
          <w:vertAlign w:val="baseline"/>
        </w:rPr>
        <w:t>supplements</w:t>
      </w:r>
      <w:r>
        <w:rPr>
          <w:spacing w:val="1"/>
          <w:vertAlign w:val="baseline"/>
        </w:rPr>
        <w:t> </w:t>
      </w:r>
      <w:r>
        <w:rPr>
          <w:vertAlign w:val="baseline"/>
        </w:rPr>
        <w:t>will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necessary and have proved useful in reversing symptoms of deficiency and in improving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general</w:t>
      </w:r>
      <w:r>
        <w:rPr>
          <w:spacing w:val="-3"/>
          <w:vertAlign w:val="baseline"/>
        </w:rPr>
        <w:t> </w:t>
      </w:r>
      <w:r>
        <w:rPr>
          <w:vertAlign w:val="baseline"/>
        </w:rPr>
        <w:t>well</w:t>
      </w:r>
      <w:r>
        <w:rPr>
          <w:spacing w:val="-2"/>
          <w:vertAlign w:val="baseline"/>
        </w:rPr>
        <w:t> </w:t>
      </w:r>
      <w:r>
        <w:rPr>
          <w:vertAlign w:val="baseline"/>
        </w:rPr>
        <w:t>being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patient</w:t>
      </w:r>
      <w:r>
        <w:rPr>
          <w:spacing w:val="6"/>
          <w:vertAlign w:val="baseline"/>
        </w:rPr>
        <w:t> </w:t>
      </w:r>
      <w:r>
        <w:rPr>
          <w:vertAlign w:val="baseline"/>
        </w:rPr>
        <w:t>(Okochi</w:t>
      </w:r>
      <w:r>
        <w:rPr>
          <w:spacing w:val="-7"/>
          <w:vertAlign w:val="baseline"/>
        </w:rPr>
        <w:t> </w:t>
      </w:r>
      <w:r>
        <w:rPr>
          <w:vertAlign w:val="baseline"/>
        </w:rPr>
        <w:t>and</w:t>
      </w:r>
      <w:r>
        <w:rPr>
          <w:spacing w:val="6"/>
          <w:vertAlign w:val="baseline"/>
        </w:rPr>
        <w:t> </w:t>
      </w:r>
      <w:r>
        <w:rPr>
          <w:vertAlign w:val="baseline"/>
        </w:rPr>
        <w:t>Akpuzor</w:t>
      </w:r>
      <w:r>
        <w:rPr>
          <w:spacing w:val="-1"/>
          <w:vertAlign w:val="baseline"/>
        </w:rPr>
        <w:t> </w:t>
      </w:r>
      <w:r>
        <w:rPr>
          <w:vertAlign w:val="baseline"/>
        </w:rPr>
        <w:t>2005).</w:t>
      </w:r>
    </w:p>
    <w:p>
      <w:pPr>
        <w:pStyle w:val="BodyText"/>
        <w:spacing w:line="360" w:lineRule="auto" w:before="202"/>
        <w:ind w:left="820" w:right="1439"/>
        <w:jc w:val="both"/>
      </w:pPr>
      <w:r>
        <w:rPr>
          <w:b/>
        </w:rPr>
        <w:t>Iron: </w:t>
      </w:r>
      <w:r>
        <w:rPr/>
        <w:t>there are conflicting results as to whether iron deficiency exists in patients with SCA or not</w:t>
      </w:r>
      <w:r>
        <w:rPr>
          <w:spacing w:val="-57"/>
        </w:rPr>
        <w:t> </w:t>
      </w:r>
      <w:r>
        <w:rPr/>
        <w:t>and as to whether replacing the iron via iron supplements will be of benefit or harm to the SCA</w:t>
      </w:r>
      <w:r>
        <w:rPr>
          <w:spacing w:val="1"/>
        </w:rPr>
        <w:t> </w:t>
      </w:r>
      <w:r>
        <w:rPr/>
        <w:t>patient (Livrea </w:t>
      </w:r>
      <w:r>
        <w:rPr>
          <w:i/>
        </w:rPr>
        <w:t>et al</w:t>
      </w:r>
      <w:r>
        <w:rPr/>
        <w:t>., 1996). Some reports suggest that some patients with SCA are indeed iron</w:t>
      </w:r>
      <w:r>
        <w:rPr>
          <w:spacing w:val="1"/>
        </w:rPr>
        <w:t> </w:t>
      </w:r>
      <w:r>
        <w:rPr/>
        <w:t>deficient, however, use of supplements in such patients aggravate the symptoms of anaemia</w:t>
      </w:r>
      <w:r>
        <w:rPr>
          <w:spacing w:val="1"/>
        </w:rPr>
        <w:t> </w:t>
      </w:r>
      <w:r>
        <w:rPr/>
        <w:t>(Carmel </w:t>
      </w:r>
      <w:r>
        <w:rPr>
          <w:i/>
        </w:rPr>
        <w:t>et al</w:t>
      </w:r>
      <w:r>
        <w:rPr/>
        <w:t>., 1984). In addition, same study stated that, the iron deficiency actually reduces the</w:t>
      </w:r>
      <w:r>
        <w:rPr>
          <w:spacing w:val="1"/>
        </w:rPr>
        <w:t> </w:t>
      </w:r>
      <w:r>
        <w:rPr/>
        <w:t>sickling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cells,</w:t>
      </w:r>
      <w:r>
        <w:rPr>
          <w:spacing w:val="1"/>
        </w:rPr>
        <w:t> </w:t>
      </w:r>
      <w:r>
        <w:rPr/>
        <w:t>reduces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anaemia,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reduces</w:t>
      </w:r>
      <w:r>
        <w:rPr>
          <w:spacing w:val="1"/>
        </w:rPr>
        <w:t> </w:t>
      </w:r>
      <w:r>
        <w:rPr/>
        <w:t>RBC</w:t>
      </w:r>
      <w:r>
        <w:rPr>
          <w:spacing w:val="1"/>
        </w:rPr>
        <w:t> </w:t>
      </w:r>
      <w:r>
        <w:rPr/>
        <w:t>destruction.</w:t>
      </w:r>
      <w:r>
        <w:rPr>
          <w:spacing w:val="1"/>
        </w:rPr>
        <w:t> </w:t>
      </w:r>
      <w:r>
        <w:rPr/>
        <w:t>Therefore, patients with sickle cell must be carefully evaluated and be given iron supplements</w:t>
      </w:r>
      <w:r>
        <w:rPr>
          <w:spacing w:val="1"/>
        </w:rPr>
        <w:t> </w:t>
      </w:r>
      <w:r>
        <w:rPr/>
        <w:t>only</w:t>
      </w:r>
      <w:r>
        <w:rPr>
          <w:spacing w:val="-9"/>
        </w:rPr>
        <w:t> </w:t>
      </w:r>
      <w:r>
        <w:rPr/>
        <w:t>where there</w:t>
      </w:r>
      <w:r>
        <w:rPr>
          <w:spacing w:val="1"/>
        </w:rPr>
        <w:t> </w:t>
      </w:r>
      <w:r>
        <w:rPr/>
        <w:t>is</w:t>
      </w:r>
      <w:r>
        <w:rPr>
          <w:spacing w:val="4"/>
        </w:rPr>
        <w:t> </w:t>
      </w:r>
      <w:r>
        <w:rPr/>
        <w:t>frank</w:t>
      </w:r>
      <w:r>
        <w:rPr>
          <w:spacing w:val="1"/>
        </w:rPr>
        <w:t> </w:t>
      </w:r>
      <w:r>
        <w:rPr/>
        <w:t>clinically</w:t>
      </w:r>
      <w:r>
        <w:rPr>
          <w:spacing w:val="-4"/>
        </w:rPr>
        <w:t> </w:t>
      </w:r>
      <w:r>
        <w:rPr/>
        <w:t>detectable</w:t>
      </w:r>
      <w:r>
        <w:rPr>
          <w:spacing w:val="6"/>
        </w:rPr>
        <w:t> </w:t>
      </w:r>
      <w:r>
        <w:rPr/>
        <w:t>iron</w:t>
      </w:r>
      <w:r>
        <w:rPr>
          <w:spacing w:val="1"/>
        </w:rPr>
        <w:t> </w:t>
      </w:r>
      <w:r>
        <w:rPr/>
        <w:t>deficiency.</w:t>
      </w:r>
    </w:p>
    <w:p>
      <w:pPr>
        <w:pStyle w:val="BodyText"/>
        <w:spacing w:line="360" w:lineRule="auto" w:before="202"/>
        <w:ind w:left="820" w:right="1441"/>
        <w:jc w:val="both"/>
      </w:pPr>
      <w:r>
        <w:rPr>
          <w:b/>
        </w:rPr>
        <w:t>Magnesium:</w:t>
      </w:r>
      <w:r>
        <w:rPr>
          <w:b/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deficient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SCA.</w:t>
      </w:r>
      <w:r>
        <w:rPr>
          <w:spacing w:val="1"/>
        </w:rPr>
        <w:t> </w:t>
      </w:r>
      <w:r>
        <w:rPr/>
        <w:t>Lowered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magnesium leads to dehydration of RBCs which increases the sickling and predisposes to crises.</w:t>
      </w:r>
      <w:r>
        <w:rPr>
          <w:spacing w:val="1"/>
        </w:rPr>
        <w:t> </w:t>
      </w:r>
      <w:r>
        <w:rPr/>
        <w:t>DeFranceschi </w:t>
      </w:r>
      <w:r>
        <w:rPr>
          <w:i/>
        </w:rPr>
        <w:t>et al</w:t>
      </w:r>
      <w:r>
        <w:rPr/>
        <w:t>., (1997) showed in an experiment that oral magnesium supplements (540mg</w:t>
      </w:r>
      <w:r>
        <w:rPr>
          <w:spacing w:val="1"/>
        </w:rPr>
        <w:t> </w:t>
      </w:r>
      <w:r>
        <w:rPr/>
        <w:t>magnesium per day in form of magnesium pidolate) improved symptoms of patients in crises,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the number</w:t>
      </w:r>
      <w:r>
        <w:rPr>
          <w:spacing w:val="2"/>
        </w:rPr>
        <w:t> </w:t>
      </w:r>
      <w:r>
        <w:rPr/>
        <w:t>of</w:t>
      </w:r>
      <w:r>
        <w:rPr>
          <w:spacing w:val="-7"/>
        </w:rPr>
        <w:t> </w:t>
      </w:r>
      <w:r>
        <w:rPr/>
        <w:t>pain</w:t>
      </w:r>
      <w:r>
        <w:rPr>
          <w:spacing w:val="-4"/>
        </w:rPr>
        <w:t> </w:t>
      </w:r>
      <w:r>
        <w:rPr/>
        <w:t>episodes,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blood</w:t>
      </w:r>
      <w:r>
        <w:rPr>
          <w:spacing w:val="2"/>
        </w:rPr>
        <w:t> </w:t>
      </w:r>
      <w:r>
        <w:rPr/>
        <w:t>abnormalities.</w:t>
      </w:r>
    </w:p>
    <w:p>
      <w:pPr>
        <w:pStyle w:val="BodyText"/>
        <w:spacing w:line="355" w:lineRule="auto" w:before="201"/>
        <w:ind w:left="820" w:right="1445"/>
        <w:jc w:val="both"/>
      </w:pPr>
      <w:r>
        <w:rPr>
          <w:b/>
        </w:rPr>
        <w:t>Zinc: </w:t>
      </w:r>
      <w:r>
        <w:rPr/>
        <w:t>Plasma levels of zinc may be low in SCDs due to chronic haemolysis and loss in the urine</w:t>
      </w:r>
      <w:r>
        <w:rPr>
          <w:spacing w:val="1"/>
        </w:rPr>
        <w:t> </w:t>
      </w:r>
      <w:r>
        <w:rPr/>
        <w:t>(Ishir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1995).</w:t>
      </w:r>
      <w:r>
        <w:rPr>
          <w:spacing w:val="-3"/>
        </w:rPr>
        <w:t> </w:t>
      </w:r>
      <w:r>
        <w:rPr/>
        <w:t>These</w:t>
      </w:r>
      <w:r>
        <w:rPr>
          <w:spacing w:val="3"/>
        </w:rPr>
        <w:t> </w:t>
      </w:r>
      <w:r>
        <w:rPr/>
        <w:t>low</w:t>
      </w:r>
      <w:r>
        <w:rPr>
          <w:spacing w:val="4"/>
        </w:rPr>
        <w:t> </w:t>
      </w:r>
      <w:r>
        <w:rPr/>
        <w:t>levels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corrected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supplementation</w:t>
      </w:r>
      <w:r>
        <w:rPr>
          <w:spacing w:val="-6"/>
        </w:rPr>
        <w:t> </w:t>
      </w:r>
      <w:r>
        <w:rPr/>
        <w:t>(Sindel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1990).</w:t>
      </w:r>
    </w:p>
    <w:p>
      <w:pPr>
        <w:pStyle w:val="BodyText"/>
        <w:spacing w:line="360" w:lineRule="auto" w:before="210"/>
        <w:ind w:left="820" w:right="1440"/>
        <w:jc w:val="both"/>
      </w:pPr>
      <w:r>
        <w:rPr/>
        <w:t>Zinc supplementation has a lot of beneficial effects; in a study by Gupta and Chaubey (1995) it</w:t>
      </w:r>
      <w:r>
        <w:rPr>
          <w:spacing w:val="1"/>
        </w:rPr>
        <w:t> </w:t>
      </w:r>
      <w:r>
        <w:rPr/>
        <w:t>was discovered to cause a significant reduction of the mean number of infective episodes and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morbidity in patients with SCA. It</w:t>
      </w:r>
      <w:r>
        <w:rPr>
          <w:spacing w:val="1"/>
        </w:rPr>
        <w:t> </w:t>
      </w:r>
      <w:r>
        <w:rPr/>
        <w:t>has also</w:t>
      </w:r>
      <w:r>
        <w:rPr>
          <w:spacing w:val="1"/>
        </w:rPr>
        <w:t> </w:t>
      </w:r>
      <w:r>
        <w:rPr/>
        <w:t>been shown in</w:t>
      </w:r>
      <w:r>
        <w:rPr>
          <w:spacing w:val="60"/>
        </w:rPr>
        <w:t> </w:t>
      </w:r>
      <w:r>
        <w:rPr/>
        <w:t>various other studies to</w:t>
      </w:r>
      <w:r>
        <w:rPr>
          <w:spacing w:val="1"/>
        </w:rPr>
        <w:t> </w:t>
      </w:r>
      <w:r>
        <w:rPr/>
        <w:t>have</w:t>
      </w:r>
      <w:r>
        <w:rPr>
          <w:spacing w:val="32"/>
        </w:rPr>
        <w:t> </w:t>
      </w:r>
      <w:r>
        <w:rPr/>
        <w:t>a</w:t>
      </w:r>
      <w:r>
        <w:rPr>
          <w:spacing w:val="37"/>
        </w:rPr>
        <w:t> </w:t>
      </w:r>
      <w:r>
        <w:rPr/>
        <w:t>stabilizing</w:t>
      </w:r>
      <w:r>
        <w:rPr>
          <w:spacing w:val="33"/>
        </w:rPr>
        <w:t> </w:t>
      </w:r>
      <w:r>
        <w:rPr/>
        <w:t>effect</w:t>
      </w:r>
      <w:r>
        <w:rPr>
          <w:spacing w:val="38"/>
        </w:rPr>
        <w:t> </w:t>
      </w:r>
      <w:r>
        <w:rPr/>
        <w:t>on</w:t>
      </w:r>
      <w:r>
        <w:rPr>
          <w:spacing w:val="29"/>
        </w:rPr>
        <w:t> </w:t>
      </w:r>
      <w:r>
        <w:rPr/>
        <w:t>the</w:t>
      </w:r>
      <w:r>
        <w:rPr>
          <w:spacing w:val="33"/>
        </w:rPr>
        <w:t> </w:t>
      </w:r>
      <w:r>
        <w:rPr/>
        <w:t>RBC</w:t>
      </w:r>
      <w:r>
        <w:rPr>
          <w:spacing w:val="36"/>
        </w:rPr>
        <w:t> </w:t>
      </w:r>
      <w:r>
        <w:rPr/>
        <w:t>membrane</w:t>
      </w:r>
      <w:r>
        <w:rPr>
          <w:spacing w:val="37"/>
        </w:rPr>
        <w:t> </w:t>
      </w:r>
      <w:r>
        <w:rPr/>
        <w:t>in</w:t>
      </w:r>
      <w:r>
        <w:rPr>
          <w:spacing w:val="32"/>
        </w:rPr>
        <w:t> </w:t>
      </w:r>
      <w:r>
        <w:rPr/>
        <w:t>people</w:t>
      </w:r>
      <w:r>
        <w:rPr>
          <w:spacing w:val="33"/>
        </w:rPr>
        <w:t> </w:t>
      </w:r>
      <w:r>
        <w:rPr/>
        <w:t>with</w:t>
      </w:r>
      <w:r>
        <w:rPr>
          <w:spacing w:val="29"/>
        </w:rPr>
        <w:t> </w:t>
      </w:r>
      <w:r>
        <w:rPr/>
        <w:t>SCD</w:t>
      </w:r>
      <w:r>
        <w:rPr>
          <w:spacing w:val="33"/>
        </w:rPr>
        <w:t> </w:t>
      </w:r>
      <w:r>
        <w:rPr/>
        <w:t>(Zemel</w:t>
      </w:r>
      <w:r>
        <w:rPr>
          <w:spacing w:val="33"/>
        </w:rPr>
        <w:t> </w:t>
      </w:r>
      <w:r>
        <w:rPr>
          <w:i/>
        </w:rPr>
        <w:t>et</w:t>
      </w:r>
      <w:r>
        <w:rPr>
          <w:i/>
          <w:spacing w:val="34"/>
        </w:rPr>
        <w:t> </w:t>
      </w:r>
      <w:r>
        <w:rPr>
          <w:i/>
        </w:rPr>
        <w:t>al</w:t>
      </w:r>
      <w:r>
        <w:rPr/>
        <w:t>.,</w:t>
      </w:r>
      <w:r>
        <w:rPr>
          <w:spacing w:val="36"/>
        </w:rPr>
        <w:t> </w:t>
      </w:r>
      <w:r>
        <w:rPr/>
        <w:t>2002),</w:t>
      </w:r>
      <w:r>
        <w:rPr>
          <w:spacing w:val="30"/>
        </w:rPr>
        <w:t> </w:t>
      </w:r>
      <w:r>
        <w:rPr/>
        <w:t>to</w:t>
      </w:r>
    </w:p>
    <w:p>
      <w:pPr>
        <w:spacing w:after="0" w:line="360" w:lineRule="auto"/>
        <w:jc w:val="both"/>
        <w:sectPr>
          <w:pgSz w:w="12240" w:h="15840"/>
          <w:pgMar w:header="0" w:footer="1017" w:top="1340" w:bottom="1200" w:left="620" w:right="0"/>
        </w:sectPr>
      </w:pPr>
    </w:p>
    <w:p>
      <w:pPr>
        <w:pStyle w:val="BodyText"/>
        <w:spacing w:line="360" w:lineRule="auto" w:before="72"/>
        <w:ind w:left="820" w:right="1445"/>
        <w:jc w:val="both"/>
      </w:pPr>
      <w:r>
        <w:rPr/>
        <w:t>increase foetal haemoglobin levels (Wilber </w:t>
      </w:r>
      <w:r>
        <w:rPr>
          <w:i/>
        </w:rPr>
        <w:t>et al</w:t>
      </w:r>
      <w:r>
        <w:rPr/>
        <w:t>., 2010), and to improve healing of leg ulcers</w:t>
      </w:r>
      <w:r>
        <w:rPr>
          <w:spacing w:val="1"/>
        </w:rPr>
        <w:t> </w:t>
      </w:r>
      <w:r>
        <w:rPr/>
        <w:t>(Konotey-Ahulu, 1991).</w:t>
      </w:r>
      <w:r>
        <w:rPr>
          <w:spacing w:val="1"/>
        </w:rPr>
        <w:t> </w:t>
      </w:r>
      <w:r>
        <w:rPr/>
        <w:t>Care should be taken when correcting zinc deficiencies, because, zinc</w:t>
      </w:r>
      <w:r>
        <w:rPr>
          <w:spacing w:val="1"/>
        </w:rPr>
        <w:t> </w:t>
      </w:r>
      <w:r>
        <w:rPr/>
        <w:t>supplements when taken over a long period of time often lead to copper deficiency which can in</w:t>
      </w:r>
      <w:r>
        <w:rPr>
          <w:spacing w:val="1"/>
        </w:rPr>
        <w:t> </w:t>
      </w:r>
      <w:r>
        <w:rPr/>
        <w:t>turn</w:t>
      </w:r>
      <w:r>
        <w:rPr>
          <w:spacing w:val="-5"/>
        </w:rPr>
        <w:t> </w:t>
      </w:r>
      <w:r>
        <w:rPr/>
        <w:t>lead to</w:t>
      </w:r>
      <w:r>
        <w:rPr>
          <w:spacing w:val="1"/>
        </w:rPr>
        <w:t> </w:t>
      </w:r>
      <w:r>
        <w:rPr/>
        <w:t>iron</w:t>
      </w:r>
      <w:r>
        <w:rPr>
          <w:spacing w:val="-5"/>
        </w:rPr>
        <w:t> </w:t>
      </w:r>
      <w:r>
        <w:rPr/>
        <w:t>deficiency</w:t>
      </w:r>
      <w:r>
        <w:rPr>
          <w:spacing w:val="-4"/>
        </w:rPr>
        <w:t> </w:t>
      </w:r>
      <w:r>
        <w:rPr/>
        <w:t>anaemia</w:t>
      </w:r>
      <w:r>
        <w:rPr>
          <w:spacing w:val="-1"/>
        </w:rPr>
        <w:t> </w:t>
      </w:r>
      <w:r>
        <w:rPr/>
        <w:t>due to</w:t>
      </w:r>
      <w:r>
        <w:rPr>
          <w:spacing w:val="5"/>
        </w:rPr>
        <w:t> </w:t>
      </w:r>
      <w:r>
        <w:rPr/>
        <w:t>impaired iron</w:t>
      </w:r>
      <w:r>
        <w:rPr>
          <w:spacing w:val="-4"/>
        </w:rPr>
        <w:t> </w:t>
      </w:r>
      <w:r>
        <w:rPr/>
        <w:t>absorption</w:t>
      </w:r>
      <w:r>
        <w:rPr>
          <w:spacing w:val="-4"/>
        </w:rPr>
        <w:t> </w:t>
      </w:r>
      <w:r>
        <w:rPr/>
        <w:t>(Ishir</w:t>
      </w:r>
      <w:r>
        <w:rPr>
          <w:spacing w:val="6"/>
        </w:rPr>
        <w:t> </w:t>
      </w:r>
      <w:r>
        <w:rPr>
          <w:i/>
        </w:rPr>
        <w:t>et al</w:t>
      </w:r>
      <w:r>
        <w:rPr/>
        <w:t>.,</w:t>
      </w:r>
      <w:r>
        <w:rPr>
          <w:spacing w:val="3"/>
        </w:rPr>
        <w:t> </w:t>
      </w:r>
      <w:r>
        <w:rPr/>
        <w:t>1995).</w:t>
      </w:r>
    </w:p>
    <w:p>
      <w:pPr>
        <w:pStyle w:val="BodyText"/>
        <w:spacing w:line="357" w:lineRule="auto" w:before="201"/>
        <w:ind w:left="820" w:right="1438"/>
        <w:jc w:val="both"/>
      </w:pPr>
      <w:r>
        <w:rPr>
          <w:b/>
        </w:rPr>
        <w:t>Folic acid and Vitamin B12: </w:t>
      </w:r>
      <w:r>
        <w:rPr/>
        <w:t>folic acid and vitamin B12 are dietary essentials. A deficiency of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defective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60"/>
        </w:rPr>
        <w:t> </w:t>
      </w:r>
      <w:r>
        <w:rPr/>
        <w:t>chromosomal</w:t>
      </w:r>
      <w:r>
        <w:rPr>
          <w:spacing w:val="1"/>
        </w:rPr>
        <w:t> </w:t>
      </w:r>
      <w:r>
        <w:rPr/>
        <w:t>replication and division are taking place (e.g. red blood cells). An early sign of deficiency is</w:t>
      </w:r>
      <w:r>
        <w:rPr>
          <w:spacing w:val="1"/>
        </w:rPr>
        <w:t> </w:t>
      </w:r>
      <w:r>
        <w:rPr/>
        <w:t>megaloblastic anaemia.</w:t>
      </w:r>
    </w:p>
    <w:p>
      <w:pPr>
        <w:pStyle w:val="Heading1"/>
        <w:spacing w:before="208"/>
        <w:jc w:val="left"/>
      </w:pPr>
      <w:r>
        <w:rPr/>
        <w:t>Indications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0"/>
          <w:numId w:val="22"/>
        </w:numPr>
        <w:tabs>
          <w:tab w:pos="1539" w:val="left" w:leader="none"/>
          <w:tab w:pos="1540" w:val="left" w:leader="none"/>
        </w:tabs>
        <w:spacing w:line="240" w:lineRule="auto" w:before="0" w:after="0"/>
        <w:ind w:left="1540" w:right="0" w:hanging="360"/>
        <w:jc w:val="left"/>
        <w:rPr>
          <w:sz w:val="24"/>
        </w:rPr>
      </w:pP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supplement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sickle</w:t>
      </w:r>
      <w:r>
        <w:rPr>
          <w:spacing w:val="-3"/>
          <w:sz w:val="24"/>
        </w:rPr>
        <w:t> </w:t>
      </w:r>
      <w:r>
        <w:rPr>
          <w:sz w:val="24"/>
        </w:rPr>
        <w:t>cell</w:t>
      </w:r>
      <w:r>
        <w:rPr>
          <w:spacing w:val="-10"/>
          <w:sz w:val="24"/>
        </w:rPr>
        <w:t> </w:t>
      </w:r>
      <w:r>
        <w:rPr>
          <w:sz w:val="24"/>
        </w:rPr>
        <w:t>diseases</w:t>
      </w:r>
      <w:r>
        <w:rPr>
          <w:spacing w:val="-4"/>
          <w:sz w:val="24"/>
        </w:rPr>
        <w:t> </w:t>
      </w:r>
      <w:r>
        <w:rPr>
          <w:sz w:val="24"/>
        </w:rPr>
        <w:t>(folic</w:t>
      </w:r>
      <w:r>
        <w:rPr>
          <w:spacing w:val="-3"/>
          <w:sz w:val="24"/>
        </w:rPr>
        <w:t> </w:t>
      </w:r>
      <w:r>
        <w:rPr>
          <w:sz w:val="24"/>
        </w:rPr>
        <w:t>acid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vitamin</w:t>
      </w:r>
      <w:r>
        <w:rPr>
          <w:spacing w:val="-2"/>
          <w:sz w:val="24"/>
        </w:rPr>
        <w:t> </w:t>
      </w:r>
      <w:r>
        <w:rPr>
          <w:sz w:val="24"/>
        </w:rPr>
        <w:t>B12)</w:t>
      </w:r>
    </w:p>
    <w:p>
      <w:pPr>
        <w:pStyle w:val="ListParagraph"/>
        <w:numPr>
          <w:ilvl w:val="0"/>
          <w:numId w:val="22"/>
        </w:numPr>
        <w:tabs>
          <w:tab w:pos="1539" w:val="left" w:leader="none"/>
          <w:tab w:pos="1540" w:val="left" w:leader="none"/>
        </w:tabs>
        <w:spacing w:line="240" w:lineRule="auto" w:before="239" w:after="0"/>
        <w:ind w:left="1540" w:right="0" w:hanging="360"/>
        <w:jc w:val="left"/>
        <w:rPr>
          <w:sz w:val="24"/>
        </w:rPr>
      </w:pPr>
      <w:r>
        <w:rPr>
          <w:sz w:val="24"/>
        </w:rPr>
        <w:t>Treatment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megaloblastic</w:t>
      </w:r>
      <w:r>
        <w:rPr>
          <w:spacing w:val="-3"/>
          <w:sz w:val="24"/>
        </w:rPr>
        <w:t> </w:t>
      </w:r>
      <w:r>
        <w:rPr>
          <w:sz w:val="24"/>
        </w:rPr>
        <w:t>anaemia</w:t>
      </w:r>
      <w:r>
        <w:rPr>
          <w:spacing w:val="-4"/>
          <w:sz w:val="24"/>
        </w:rPr>
        <w:t> </w:t>
      </w:r>
      <w:r>
        <w:rPr>
          <w:sz w:val="24"/>
        </w:rPr>
        <w:t>(folic</w:t>
      </w:r>
      <w:r>
        <w:rPr>
          <w:spacing w:val="-3"/>
          <w:sz w:val="24"/>
        </w:rPr>
        <w:t> </w:t>
      </w:r>
      <w:r>
        <w:rPr>
          <w:sz w:val="24"/>
        </w:rPr>
        <w:t>acid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vitamin</w:t>
      </w:r>
      <w:r>
        <w:rPr>
          <w:spacing w:val="-2"/>
          <w:sz w:val="24"/>
        </w:rPr>
        <w:t> </w:t>
      </w:r>
      <w:r>
        <w:rPr>
          <w:sz w:val="24"/>
        </w:rPr>
        <w:t>B12)</w:t>
      </w:r>
    </w:p>
    <w:p>
      <w:pPr>
        <w:pStyle w:val="ListParagraph"/>
        <w:numPr>
          <w:ilvl w:val="0"/>
          <w:numId w:val="22"/>
        </w:numPr>
        <w:tabs>
          <w:tab w:pos="1539" w:val="left" w:leader="none"/>
          <w:tab w:pos="1540" w:val="left" w:leader="none"/>
        </w:tabs>
        <w:spacing w:line="240" w:lineRule="auto" w:before="243" w:after="0"/>
        <w:ind w:left="1540" w:right="0" w:hanging="360"/>
        <w:jc w:val="left"/>
        <w:rPr>
          <w:sz w:val="24"/>
        </w:rPr>
      </w:pPr>
      <w:r>
        <w:rPr>
          <w:sz w:val="24"/>
        </w:rPr>
        <w:t>Prevention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neural</w:t>
      </w:r>
      <w:r>
        <w:rPr>
          <w:spacing w:val="-4"/>
          <w:sz w:val="24"/>
        </w:rPr>
        <w:t> </w:t>
      </w:r>
      <w:r>
        <w:rPr>
          <w:sz w:val="24"/>
        </w:rPr>
        <w:t>tube</w:t>
      </w:r>
      <w:r>
        <w:rPr>
          <w:spacing w:val="-2"/>
          <w:sz w:val="24"/>
        </w:rPr>
        <w:t> </w:t>
      </w:r>
      <w:r>
        <w:rPr>
          <w:sz w:val="24"/>
        </w:rPr>
        <w:t>defects</w:t>
      </w:r>
      <w:r>
        <w:rPr>
          <w:spacing w:val="-3"/>
          <w:sz w:val="24"/>
        </w:rPr>
        <w:t> </w:t>
      </w:r>
      <w:r>
        <w:rPr>
          <w:sz w:val="24"/>
        </w:rPr>
        <w:t>(folic</w:t>
      </w:r>
      <w:r>
        <w:rPr>
          <w:spacing w:val="-1"/>
          <w:sz w:val="24"/>
        </w:rPr>
        <w:t> </w:t>
      </w:r>
      <w:r>
        <w:rPr>
          <w:sz w:val="24"/>
        </w:rPr>
        <w:t>acid)</w:t>
      </w:r>
    </w:p>
    <w:p>
      <w:pPr>
        <w:pStyle w:val="Heading1"/>
        <w:spacing w:before="242"/>
        <w:jc w:val="left"/>
      </w:pPr>
      <w:r>
        <w:rPr/>
        <w:t>Side</w:t>
      </w:r>
      <w:r>
        <w:rPr>
          <w:spacing w:val="-3"/>
        </w:rPr>
        <w:t> </w:t>
      </w:r>
      <w:r>
        <w:rPr/>
        <w:t>effects</w:t>
      </w:r>
    </w:p>
    <w:p>
      <w:pPr>
        <w:pStyle w:val="BodyText"/>
        <w:rPr>
          <w:b/>
          <w:sz w:val="29"/>
        </w:rPr>
      </w:pPr>
    </w:p>
    <w:p>
      <w:pPr>
        <w:pStyle w:val="BodyText"/>
        <w:ind w:left="820"/>
      </w:pPr>
      <w:r>
        <w:rPr>
          <w:u w:val="single"/>
        </w:rPr>
        <w:t>Folic</w:t>
      </w:r>
      <w:r>
        <w:rPr>
          <w:spacing w:val="-2"/>
          <w:u w:val="single"/>
        </w:rPr>
        <w:t> </w:t>
      </w:r>
      <w:r>
        <w:rPr>
          <w:u w:val="single"/>
        </w:rPr>
        <w:t>acid</w:t>
      </w:r>
      <w:r>
        <w:rPr/>
        <w:t>:</w:t>
      </w:r>
      <w:r>
        <w:rPr>
          <w:spacing w:val="-2"/>
        </w:rPr>
        <w:t> </w:t>
      </w:r>
      <w:r>
        <w:rPr/>
        <w:t>no</w:t>
      </w:r>
      <w:r>
        <w:rPr>
          <w:spacing w:val="4"/>
        </w:rPr>
        <w:t> </w:t>
      </w:r>
      <w:r>
        <w:rPr/>
        <w:t>substantiated</w:t>
      </w:r>
      <w:r>
        <w:rPr>
          <w:spacing w:val="-1"/>
        </w:rPr>
        <w:t> </w:t>
      </w:r>
      <w:r>
        <w:rPr/>
        <w:t>reports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side</w:t>
      </w:r>
      <w:r>
        <w:rPr>
          <w:spacing w:val="-2"/>
        </w:rPr>
        <w:t> </w:t>
      </w:r>
      <w:r>
        <w:rPr/>
        <w:t>effects</w:t>
      </w:r>
      <w:r>
        <w:rPr>
          <w:spacing w:val="-3"/>
        </w:rPr>
        <w:t> </w:t>
      </w:r>
      <w:r>
        <w:rPr/>
        <w:t>(Goodman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Gilman</w:t>
      </w:r>
      <w:r>
        <w:rPr>
          <w:spacing w:val="-6"/>
        </w:rPr>
        <w:t> </w:t>
      </w:r>
      <w:r>
        <w:rPr/>
        <w:t>1996).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90"/>
        <w:ind w:left="820"/>
      </w:pPr>
      <w:r>
        <w:rPr>
          <w:u w:val="single"/>
        </w:rPr>
        <w:t>Vitamin</w:t>
      </w:r>
      <w:r>
        <w:rPr>
          <w:spacing w:val="-5"/>
          <w:u w:val="single"/>
        </w:rPr>
        <w:t> </w:t>
      </w:r>
      <w:r>
        <w:rPr>
          <w:u w:val="single"/>
        </w:rPr>
        <w:t>B12</w:t>
      </w:r>
      <w:r>
        <w:rPr/>
        <w:t>:</w:t>
      </w:r>
      <w:r>
        <w:rPr>
          <w:spacing w:val="-4"/>
        </w:rPr>
        <w:t> </w:t>
      </w:r>
      <w:r>
        <w:rPr/>
        <w:t>nausea,</w:t>
      </w:r>
      <w:r>
        <w:rPr>
          <w:spacing w:val="-2"/>
        </w:rPr>
        <w:t> </w:t>
      </w:r>
      <w:r>
        <w:rPr/>
        <w:t>headache,</w:t>
      </w:r>
      <w:r>
        <w:rPr>
          <w:spacing w:val="-2"/>
        </w:rPr>
        <w:t> </w:t>
      </w:r>
      <w:r>
        <w:rPr/>
        <w:t>dizziness,</w:t>
      </w:r>
      <w:r>
        <w:rPr>
          <w:spacing w:val="2"/>
        </w:rPr>
        <w:t> </w:t>
      </w:r>
      <w:r>
        <w:rPr/>
        <w:t>fever,</w:t>
      </w:r>
      <w:r>
        <w:rPr>
          <w:spacing w:val="-2"/>
        </w:rPr>
        <w:t> </w:t>
      </w:r>
      <w:r>
        <w:rPr/>
        <w:t>hypersensitivity</w:t>
      </w:r>
      <w:r>
        <w:rPr>
          <w:spacing w:val="-9"/>
        </w:rPr>
        <w:t> </w:t>
      </w:r>
      <w:r>
        <w:rPr/>
        <w:t>(EMDEX</w:t>
      </w:r>
      <w:r>
        <w:rPr>
          <w:spacing w:val="-4"/>
        </w:rPr>
        <w:t> </w:t>
      </w:r>
      <w:r>
        <w:rPr/>
        <w:t>2010/11).</w:t>
      </w:r>
    </w:p>
    <w:p>
      <w:pPr>
        <w:pStyle w:val="BodyText"/>
        <w:rPr>
          <w:sz w:val="22"/>
        </w:rPr>
      </w:pPr>
    </w:p>
    <w:p>
      <w:pPr>
        <w:pStyle w:val="Heading1"/>
        <w:spacing w:before="90"/>
        <w:jc w:val="left"/>
      </w:pPr>
      <w:r>
        <w:rPr/>
        <w:t>Adult</w:t>
      </w:r>
      <w:r>
        <w:rPr>
          <w:spacing w:val="-1"/>
        </w:rPr>
        <w:t> </w:t>
      </w:r>
      <w:r>
        <w:rPr/>
        <w:t>dose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ind w:left="820"/>
      </w:pPr>
      <w:r>
        <w:rPr>
          <w:u w:val="single"/>
        </w:rPr>
        <w:t>Folic</w:t>
      </w:r>
      <w:r>
        <w:rPr>
          <w:spacing w:val="-6"/>
          <w:u w:val="single"/>
        </w:rPr>
        <w:t> </w:t>
      </w:r>
      <w:r>
        <w:rPr>
          <w:u w:val="single"/>
        </w:rPr>
        <w:t>acid</w:t>
      </w:r>
      <w:r>
        <w:rPr/>
        <w:t>:</w:t>
      </w:r>
      <w:r>
        <w:rPr>
          <w:spacing w:val="-5"/>
        </w:rPr>
        <w:t> </w:t>
      </w:r>
      <w:r>
        <w:rPr/>
        <w:t>Oral,</w:t>
      </w:r>
      <w:r>
        <w:rPr>
          <w:spacing w:val="-2"/>
        </w:rPr>
        <w:t> </w:t>
      </w:r>
      <w:r>
        <w:rPr/>
        <w:t>400mcg-5mg</w:t>
      </w:r>
      <w:r>
        <w:rPr>
          <w:spacing w:val="-5"/>
        </w:rPr>
        <w:t> </w:t>
      </w:r>
      <w:r>
        <w:rPr/>
        <w:t>daily.</w:t>
      </w:r>
      <w:r>
        <w:rPr>
          <w:spacing w:val="-1"/>
        </w:rPr>
        <w:t> </w:t>
      </w:r>
      <w:r>
        <w:rPr>
          <w:u w:val="single"/>
        </w:rPr>
        <w:t>Vitamin</w:t>
      </w:r>
      <w:r>
        <w:rPr>
          <w:spacing w:val="-9"/>
          <w:u w:val="single"/>
        </w:rPr>
        <w:t> </w:t>
      </w:r>
      <w:r>
        <w:rPr>
          <w:u w:val="single"/>
        </w:rPr>
        <w:t>B12</w:t>
      </w:r>
      <w:r>
        <w:rPr/>
        <w:t>:</w:t>
      </w:r>
      <w:r>
        <w:rPr>
          <w:spacing w:val="-1"/>
        </w:rPr>
        <w:t> </w:t>
      </w:r>
      <w:r>
        <w:rPr/>
        <w:t>Oral,</w:t>
      </w:r>
      <w:r>
        <w:rPr>
          <w:spacing w:val="-3"/>
        </w:rPr>
        <w:t> </w:t>
      </w:r>
      <w:r>
        <w:rPr/>
        <w:t>5mcg-1mg</w:t>
      </w:r>
      <w:r>
        <w:rPr>
          <w:spacing w:val="-4"/>
        </w:rPr>
        <w:t> </w:t>
      </w:r>
      <w:r>
        <w:rPr/>
        <w:t>daily.</w:t>
      </w:r>
    </w:p>
    <w:p>
      <w:pPr>
        <w:pStyle w:val="BodyText"/>
        <w:spacing w:before="1"/>
        <w:rPr>
          <w:sz w:val="21"/>
        </w:rPr>
      </w:pPr>
    </w:p>
    <w:p>
      <w:pPr>
        <w:pStyle w:val="Heading1"/>
        <w:numPr>
          <w:ilvl w:val="0"/>
          <w:numId w:val="21"/>
        </w:numPr>
        <w:tabs>
          <w:tab w:pos="1540" w:val="left" w:leader="none"/>
        </w:tabs>
        <w:spacing w:line="240" w:lineRule="auto" w:before="0" w:after="0"/>
        <w:ind w:left="1540" w:right="0" w:hanging="360"/>
        <w:jc w:val="left"/>
      </w:pPr>
      <w:r>
        <w:rPr/>
        <w:t>Antioxidants: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39"/>
        <w:jc w:val="both"/>
      </w:pPr>
      <w:r>
        <w:rPr/>
        <w:t>SCD is characterized by a pro-oxidant environment due to high production of reactive oxygen</w:t>
      </w:r>
      <w:r>
        <w:rPr>
          <w:spacing w:val="1"/>
        </w:rPr>
        <w:t> </w:t>
      </w:r>
      <w:r>
        <w:rPr/>
        <w:t>species (ROS) related to increased levels of free pathological iron and heme groups associated</w:t>
      </w:r>
      <w:r>
        <w:rPr>
          <w:spacing w:val="1"/>
        </w:rPr>
        <w:t> </w:t>
      </w:r>
      <w:r>
        <w:rPr/>
        <w:t>with a reduction in antioxidant systems (DeFranceschi, 2009). There are significantly lower</w:t>
      </w:r>
      <w:r>
        <w:rPr>
          <w:spacing w:val="1"/>
        </w:rPr>
        <w:t> </w:t>
      </w:r>
      <w:r>
        <w:rPr/>
        <w:t>plasma levels of the antioxidant vitamins (A, C and E), in patients with severe SCA (Hasanato,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SCA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oxidative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sickle</w:t>
      </w:r>
      <w:r>
        <w:rPr>
          <w:spacing w:val="1"/>
        </w:rPr>
        <w:t> </w:t>
      </w:r>
      <w:r>
        <w:rPr/>
        <w:t>cell</w:t>
      </w:r>
      <w:r>
        <w:rPr>
          <w:spacing w:val="60"/>
        </w:rPr>
        <w:t> </w:t>
      </w:r>
      <w:r>
        <w:rPr/>
        <w:t>redox</w:t>
      </w:r>
      <w:r>
        <w:rPr>
          <w:spacing w:val="1"/>
        </w:rPr>
        <w:t> </w:t>
      </w:r>
      <w:r>
        <w:rPr/>
        <w:t>imbalance (Aslan </w:t>
      </w:r>
      <w:r>
        <w:rPr>
          <w:i/>
        </w:rPr>
        <w:t>et al</w:t>
      </w:r>
      <w:r>
        <w:rPr/>
        <w:t>., 2000). Essien, (1995) in a study in Calabar, Nigeria, found that the</w:t>
      </w:r>
      <w:r>
        <w:rPr>
          <w:spacing w:val="1"/>
        </w:rPr>
        <w:t> </w:t>
      </w:r>
      <w:r>
        <w:rPr/>
        <w:t>plasma concentrations of the antioxidant vitamins A (retinol), C (ascorbic acid) and E (Alpha</w:t>
      </w:r>
      <w:r>
        <w:rPr>
          <w:spacing w:val="1"/>
        </w:rPr>
        <w:t> </w:t>
      </w:r>
      <w:r>
        <w:rPr/>
        <w:t>tocopherol) were significantly low in patients with SCA and he suggested that the deficiency of</w:t>
      </w:r>
      <w:r>
        <w:rPr>
          <w:spacing w:val="1"/>
        </w:rPr>
        <w:t> </w:t>
      </w:r>
      <w:r>
        <w:rPr/>
        <w:t>these</w:t>
      </w:r>
      <w:r>
        <w:rPr>
          <w:spacing w:val="13"/>
        </w:rPr>
        <w:t> </w:t>
      </w:r>
      <w:r>
        <w:rPr/>
        <w:t>antioxidant</w:t>
      </w:r>
      <w:r>
        <w:rPr>
          <w:spacing w:val="24"/>
        </w:rPr>
        <w:t> </w:t>
      </w:r>
      <w:r>
        <w:rPr/>
        <w:t>vitamins</w:t>
      </w:r>
      <w:r>
        <w:rPr>
          <w:spacing w:val="17"/>
        </w:rPr>
        <w:t> </w:t>
      </w:r>
      <w:r>
        <w:rPr/>
        <w:t>could</w:t>
      </w:r>
      <w:r>
        <w:rPr>
          <w:spacing w:val="19"/>
        </w:rPr>
        <w:t> </w:t>
      </w:r>
      <w:r>
        <w:rPr/>
        <w:t>account</w:t>
      </w:r>
      <w:r>
        <w:rPr>
          <w:spacing w:val="24"/>
        </w:rPr>
        <w:t> </w:t>
      </w:r>
      <w:r>
        <w:rPr/>
        <w:t>for</w:t>
      </w:r>
      <w:r>
        <w:rPr>
          <w:spacing w:val="16"/>
        </w:rPr>
        <w:t> </w:t>
      </w:r>
      <w:r>
        <w:rPr/>
        <w:t>some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observed</w:t>
      </w:r>
      <w:r>
        <w:rPr>
          <w:spacing w:val="19"/>
        </w:rPr>
        <w:t> </w:t>
      </w:r>
      <w:r>
        <w:rPr/>
        <w:t>manifestations</w:t>
      </w:r>
      <w:r>
        <w:rPr>
          <w:spacing w:val="12"/>
        </w:rPr>
        <w:t> </w:t>
      </w:r>
      <w:r>
        <w:rPr/>
        <w:t>of</w:t>
      </w:r>
      <w:r>
        <w:rPr>
          <w:spacing w:val="7"/>
        </w:rPr>
        <w:t> </w:t>
      </w:r>
      <w:r>
        <w:rPr/>
        <w:t>SCD</w:t>
      </w:r>
      <w:r>
        <w:rPr>
          <w:spacing w:val="19"/>
        </w:rPr>
        <w:t> </w:t>
      </w:r>
      <w:r>
        <w:rPr/>
        <w:t>such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57" w:lineRule="auto" w:before="72"/>
        <w:ind w:left="820" w:right="1440"/>
        <w:jc w:val="both"/>
      </w:pPr>
      <w:r>
        <w:rPr/>
        <w:t>as increased</w:t>
      </w:r>
      <w:r>
        <w:rPr>
          <w:spacing w:val="1"/>
        </w:rPr>
        <w:t> </w:t>
      </w:r>
      <w:r>
        <w:rPr/>
        <w:t>susceptibility to</w:t>
      </w:r>
      <w:r>
        <w:rPr>
          <w:spacing w:val="1"/>
        </w:rPr>
        <w:t> </w:t>
      </w:r>
      <w:r>
        <w:rPr/>
        <w:t>infection and</w:t>
      </w:r>
      <w:r>
        <w:rPr>
          <w:spacing w:val="1"/>
        </w:rPr>
        <w:t> </w:t>
      </w:r>
      <w:r>
        <w:rPr/>
        <w:t>haemolysis. The authors then advocated that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supplements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SCD</w:t>
      </w:r>
      <w:r>
        <w:rPr>
          <w:spacing w:val="1"/>
        </w:rPr>
        <w:t> </w:t>
      </w:r>
      <w:r>
        <w:rPr/>
        <w:t>patient,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crises</w:t>
      </w:r>
      <w:r>
        <w:rPr>
          <w:spacing w:val="1"/>
        </w:rPr>
        <w:t> </w:t>
      </w:r>
      <w:r>
        <w:rPr/>
        <w:t>episodes</w:t>
      </w:r>
      <w:r>
        <w:rPr>
          <w:spacing w:val="-1"/>
        </w:rPr>
        <w:t> </w:t>
      </w:r>
      <w:r>
        <w:rPr/>
        <w:t>could</w:t>
      </w:r>
      <w:r>
        <w:rPr>
          <w:spacing w:val="2"/>
        </w:rPr>
        <w:t> </w:t>
      </w:r>
      <w:r>
        <w:rPr/>
        <w:t>be</w:t>
      </w:r>
      <w:r>
        <w:rPr>
          <w:spacing w:val="1"/>
        </w:rPr>
        <w:t> </w:t>
      </w:r>
      <w:r>
        <w:rPr/>
        <w:t>reduced.</w:t>
      </w:r>
    </w:p>
    <w:p>
      <w:pPr>
        <w:pStyle w:val="Heading1"/>
        <w:numPr>
          <w:ilvl w:val="0"/>
          <w:numId w:val="21"/>
        </w:numPr>
        <w:tabs>
          <w:tab w:pos="1540" w:val="left" w:leader="none"/>
        </w:tabs>
        <w:spacing w:line="240" w:lineRule="auto" w:before="206" w:after="0"/>
        <w:ind w:left="1540" w:right="0" w:hanging="360"/>
        <w:jc w:val="left"/>
      </w:pPr>
      <w:r>
        <w:rPr/>
        <w:t>Proguanil: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40"/>
        <w:jc w:val="both"/>
      </w:pPr>
      <w:r>
        <w:rPr/>
        <w:t>Proguanil is predominantly a tissue schizonticide and has little blood schizonticidal activity. It is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pre-erythrocytic</w:t>
      </w:r>
      <w:r>
        <w:rPr>
          <w:spacing w:val="1"/>
        </w:rPr>
        <w:t> </w:t>
      </w:r>
      <w:r>
        <w:rPr/>
        <w:t>intrahepatic</w:t>
      </w:r>
      <w:r>
        <w:rPr>
          <w:spacing w:val="1"/>
        </w:rPr>
        <w:t> </w:t>
      </w:r>
      <w:r>
        <w:rPr/>
        <w:t>forms,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Plasmodium</w:t>
      </w:r>
      <w:r>
        <w:rPr>
          <w:i/>
          <w:spacing w:val="1"/>
        </w:rPr>
        <w:t> </w:t>
      </w:r>
      <w:r>
        <w:rPr>
          <w:i/>
        </w:rPr>
        <w:t>falciparum</w:t>
      </w:r>
      <w:r>
        <w:rPr/>
        <w:t>.</w:t>
      </w:r>
      <w:r>
        <w:rPr>
          <w:spacing w:val="1"/>
        </w:rPr>
        <w:t> </w:t>
      </w:r>
      <w:r>
        <w:rPr/>
        <w:t>Proguanil is the drug of choice for</w:t>
      </w:r>
      <w:r>
        <w:rPr>
          <w:spacing w:val="1"/>
        </w:rPr>
        <w:t> </w:t>
      </w:r>
      <w:r>
        <w:rPr/>
        <w:t>malaria prophylaxis in patients with SCD. There is no</w:t>
      </w:r>
      <w:r>
        <w:rPr>
          <w:spacing w:val="1"/>
        </w:rPr>
        <w:t> </w:t>
      </w:r>
      <w:r>
        <w:rPr/>
        <w:t>evidence</w:t>
      </w:r>
      <w:r>
        <w:rPr>
          <w:spacing w:val="-3"/>
        </w:rPr>
        <w:t> </w:t>
      </w:r>
      <w:r>
        <w:rPr/>
        <w:t>that</w:t>
      </w:r>
      <w:r>
        <w:rPr>
          <w:spacing w:val="2"/>
        </w:rPr>
        <w:t> </w:t>
      </w:r>
      <w:r>
        <w:rPr/>
        <w:t>proguanil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harmful</w:t>
      </w:r>
      <w:r>
        <w:rPr>
          <w:spacing w:val="-6"/>
        </w:rPr>
        <w:t> </w:t>
      </w:r>
      <w:r>
        <w:rPr/>
        <w:t>in</w:t>
      </w:r>
      <w:r>
        <w:rPr>
          <w:spacing w:val="-2"/>
        </w:rPr>
        <w:t> </w:t>
      </w:r>
      <w:r>
        <w:rPr/>
        <w:t>prophylactic</w:t>
      </w:r>
      <w:r>
        <w:rPr>
          <w:spacing w:val="-3"/>
        </w:rPr>
        <w:t> </w:t>
      </w:r>
      <w:r>
        <w:rPr/>
        <w:t>doses</w:t>
      </w:r>
      <w:r>
        <w:rPr>
          <w:spacing w:val="-3"/>
        </w:rPr>
        <w:t> </w:t>
      </w:r>
      <w:r>
        <w:rPr/>
        <w:t>against</w:t>
      </w:r>
      <w:r>
        <w:rPr>
          <w:spacing w:val="2"/>
        </w:rPr>
        <w:t> </w:t>
      </w:r>
      <w:r>
        <w:rPr/>
        <w:t>pregnancy</w:t>
      </w:r>
      <w:r>
        <w:rPr>
          <w:spacing w:val="-11"/>
        </w:rPr>
        <w:t> </w:t>
      </w:r>
      <w:r>
        <w:rPr/>
        <w:t>(EMDEX</w:t>
      </w:r>
      <w:r>
        <w:rPr>
          <w:spacing w:val="-2"/>
        </w:rPr>
        <w:t> </w:t>
      </w:r>
      <w:r>
        <w:rPr/>
        <w:t>2010/11).</w:t>
      </w:r>
    </w:p>
    <w:p>
      <w:pPr>
        <w:pStyle w:val="Heading1"/>
        <w:spacing w:before="202"/>
      </w:pPr>
      <w:r>
        <w:rPr/>
        <w:t>Mechanism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action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 w:before="1"/>
        <w:ind w:left="820" w:right="1441"/>
        <w:jc w:val="both"/>
      </w:pPr>
      <w:r>
        <w:rPr/>
        <w:t>Proguanil (Chloroguanide) exemplifies an antimalarial used primarily for causal prophylaxis of</w:t>
      </w:r>
      <w:r>
        <w:rPr>
          <w:spacing w:val="1"/>
        </w:rPr>
        <w:t> </w:t>
      </w:r>
      <w:r>
        <w:rPr/>
        <w:t>falciparum malaria. It is a tissue schizonticide that acts on primary tissue forms of plasmodia</w:t>
      </w:r>
      <w:r>
        <w:rPr>
          <w:spacing w:val="1"/>
        </w:rPr>
        <w:t> </w:t>
      </w:r>
      <w:r>
        <w:rPr/>
        <w:t>within the liver that are destined within a month or less to initiate the erythrocytic stage of the</w:t>
      </w:r>
      <w:r>
        <w:rPr>
          <w:spacing w:val="1"/>
        </w:rPr>
        <w:t> </w:t>
      </w:r>
      <w:r>
        <w:rPr/>
        <w:t>infection. Invasion of erythrocytes and further transmission of infection are thereby prevented</w:t>
      </w:r>
      <w:r>
        <w:rPr>
          <w:spacing w:val="1"/>
        </w:rPr>
        <w:t> </w:t>
      </w:r>
      <w:r>
        <w:rPr/>
        <w:t>(Goodman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Gilman</w:t>
      </w:r>
      <w:r>
        <w:rPr>
          <w:spacing w:val="-3"/>
        </w:rPr>
        <w:t> </w:t>
      </w:r>
      <w:r>
        <w:rPr/>
        <w:t>1996).</w:t>
      </w:r>
    </w:p>
    <w:p>
      <w:pPr>
        <w:pStyle w:val="Heading1"/>
        <w:spacing w:before="200"/>
        <w:jc w:val="left"/>
      </w:pPr>
      <w:r>
        <w:rPr/>
        <w:t>Indications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0"/>
          <w:numId w:val="22"/>
        </w:numPr>
        <w:tabs>
          <w:tab w:pos="1539" w:val="left" w:leader="none"/>
          <w:tab w:pos="1540" w:val="left" w:leader="none"/>
        </w:tabs>
        <w:spacing w:line="240" w:lineRule="auto" w:before="0" w:after="0"/>
        <w:ind w:left="1540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used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prophylaxis</w:t>
      </w:r>
      <w:r>
        <w:rPr>
          <w:spacing w:val="-4"/>
          <w:sz w:val="24"/>
        </w:rPr>
        <w:t> </w:t>
      </w:r>
      <w:r>
        <w:rPr>
          <w:sz w:val="24"/>
        </w:rPr>
        <w:t>against</w:t>
      </w:r>
      <w:r>
        <w:rPr>
          <w:spacing w:val="7"/>
          <w:sz w:val="24"/>
        </w:rPr>
        <w:t> </w:t>
      </w:r>
      <w:r>
        <w:rPr>
          <w:sz w:val="24"/>
        </w:rPr>
        <w:t>malaria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areas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low</w:t>
      </w:r>
      <w:r>
        <w:rPr>
          <w:spacing w:val="-2"/>
          <w:sz w:val="24"/>
        </w:rPr>
        <w:t> </w:t>
      </w:r>
      <w:r>
        <w:rPr>
          <w:sz w:val="24"/>
        </w:rPr>
        <w:t>resistance</w:t>
      </w:r>
      <w:r>
        <w:rPr>
          <w:spacing w:val="-3"/>
          <w:sz w:val="24"/>
        </w:rPr>
        <w:t> </w:t>
      </w:r>
      <w:r>
        <w:rPr>
          <w:sz w:val="24"/>
        </w:rPr>
        <w:t>(EMDEX</w:t>
      </w:r>
      <w:r>
        <w:rPr>
          <w:spacing w:val="-2"/>
          <w:sz w:val="24"/>
        </w:rPr>
        <w:t> </w:t>
      </w:r>
      <w:r>
        <w:rPr>
          <w:sz w:val="24"/>
        </w:rPr>
        <w:t>2010/11).</w:t>
      </w:r>
    </w:p>
    <w:p>
      <w:pPr>
        <w:pStyle w:val="ListParagraph"/>
        <w:numPr>
          <w:ilvl w:val="0"/>
          <w:numId w:val="22"/>
        </w:numPr>
        <w:tabs>
          <w:tab w:pos="1539" w:val="left" w:leader="none"/>
          <w:tab w:pos="1540" w:val="left" w:leader="none"/>
        </w:tabs>
        <w:spacing w:line="273" w:lineRule="auto" w:before="239" w:after="0"/>
        <w:ind w:left="1540" w:right="1446" w:hanging="360"/>
        <w:jc w:val="left"/>
        <w:rPr>
          <w:sz w:val="24"/>
        </w:rPr>
      </w:pPr>
      <w:r>
        <w:rPr>
          <w:sz w:val="24"/>
        </w:rPr>
        <w:t>Suppresses</w:t>
      </w:r>
      <w:r>
        <w:rPr>
          <w:spacing w:val="25"/>
          <w:sz w:val="24"/>
        </w:rPr>
        <w:t> </w:t>
      </w:r>
      <w:r>
        <w:rPr>
          <w:sz w:val="24"/>
        </w:rPr>
        <w:t>acute</w:t>
      </w:r>
      <w:r>
        <w:rPr>
          <w:spacing w:val="26"/>
          <w:sz w:val="24"/>
        </w:rPr>
        <w:t> </w:t>
      </w:r>
      <w:r>
        <w:rPr>
          <w:sz w:val="24"/>
        </w:rPr>
        <w:t>attacks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i/>
          <w:sz w:val="24"/>
        </w:rPr>
        <w:t>Plasmodium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vivax</w:t>
      </w:r>
      <w:r>
        <w:rPr>
          <w:i/>
          <w:spacing w:val="32"/>
          <w:sz w:val="24"/>
        </w:rPr>
        <w:t> </w:t>
      </w:r>
      <w:r>
        <w:rPr>
          <w:sz w:val="24"/>
        </w:rPr>
        <w:t>but</w:t>
      </w:r>
      <w:r>
        <w:rPr>
          <w:spacing w:val="27"/>
          <w:sz w:val="24"/>
        </w:rPr>
        <w:t> </w:t>
      </w:r>
      <w:r>
        <w:rPr>
          <w:sz w:val="24"/>
        </w:rPr>
        <w:t>does</w:t>
      </w:r>
      <w:r>
        <w:rPr>
          <w:spacing w:val="26"/>
          <w:sz w:val="24"/>
        </w:rPr>
        <w:t> </w:t>
      </w:r>
      <w:r>
        <w:rPr>
          <w:sz w:val="24"/>
        </w:rPr>
        <w:t>not</w:t>
      </w:r>
      <w:r>
        <w:rPr>
          <w:spacing w:val="27"/>
          <w:sz w:val="24"/>
        </w:rPr>
        <w:t> </w:t>
      </w:r>
      <w:r>
        <w:rPr>
          <w:sz w:val="24"/>
        </w:rPr>
        <w:t>eradicate</w:t>
      </w:r>
      <w:r>
        <w:rPr>
          <w:spacing w:val="31"/>
          <w:sz w:val="24"/>
        </w:rPr>
        <w:t> </w:t>
      </w:r>
      <w:r>
        <w:rPr>
          <w:sz w:val="24"/>
        </w:rPr>
        <w:t>it</w:t>
      </w:r>
      <w:r>
        <w:rPr>
          <w:spacing w:val="32"/>
          <w:sz w:val="24"/>
        </w:rPr>
        <w:t> </w:t>
      </w:r>
      <w:r>
        <w:rPr>
          <w:sz w:val="24"/>
        </w:rPr>
        <w:t>(Goodman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Gilman</w:t>
      </w:r>
      <w:r>
        <w:rPr>
          <w:spacing w:val="-4"/>
          <w:sz w:val="24"/>
        </w:rPr>
        <w:t> </w:t>
      </w:r>
      <w:r>
        <w:rPr>
          <w:sz w:val="24"/>
        </w:rPr>
        <w:t>1996).</w:t>
      </w:r>
    </w:p>
    <w:p>
      <w:pPr>
        <w:pStyle w:val="Heading1"/>
        <w:spacing w:before="202"/>
        <w:jc w:val="left"/>
      </w:pPr>
      <w:r>
        <w:rPr/>
        <w:t>Side</w:t>
      </w:r>
      <w:r>
        <w:rPr>
          <w:spacing w:val="-3"/>
        </w:rPr>
        <w:t> </w:t>
      </w:r>
      <w:r>
        <w:rPr/>
        <w:t>effects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33"/>
      </w:pPr>
      <w:r>
        <w:rPr/>
        <w:t>Mild</w:t>
      </w:r>
      <w:r>
        <w:rPr>
          <w:spacing w:val="21"/>
        </w:rPr>
        <w:t> </w:t>
      </w:r>
      <w:r>
        <w:rPr/>
        <w:t>gastric</w:t>
      </w:r>
      <w:r>
        <w:rPr>
          <w:spacing w:val="20"/>
        </w:rPr>
        <w:t> </w:t>
      </w:r>
      <w:r>
        <w:rPr/>
        <w:t>intolerance,</w:t>
      </w:r>
      <w:r>
        <w:rPr>
          <w:spacing w:val="18"/>
        </w:rPr>
        <w:t> </w:t>
      </w:r>
      <w:r>
        <w:rPr/>
        <w:t>diarrhoea,</w:t>
      </w:r>
      <w:r>
        <w:rPr>
          <w:spacing w:val="18"/>
        </w:rPr>
        <w:t> </w:t>
      </w:r>
      <w:r>
        <w:rPr/>
        <w:t>constipation,</w:t>
      </w:r>
      <w:r>
        <w:rPr>
          <w:spacing w:val="23"/>
        </w:rPr>
        <w:t> </w:t>
      </w:r>
      <w:r>
        <w:rPr/>
        <w:t>occasional</w:t>
      </w:r>
      <w:r>
        <w:rPr>
          <w:spacing w:val="17"/>
        </w:rPr>
        <w:t> </w:t>
      </w:r>
      <w:r>
        <w:rPr/>
        <w:t>mouth</w:t>
      </w:r>
      <w:r>
        <w:rPr>
          <w:spacing w:val="12"/>
        </w:rPr>
        <w:t> </w:t>
      </w:r>
      <w:r>
        <w:rPr/>
        <w:t>ulcers</w:t>
      </w:r>
      <w:r>
        <w:rPr>
          <w:spacing w:val="15"/>
        </w:rPr>
        <w:t> </w:t>
      </w:r>
      <w:r>
        <w:rPr/>
        <w:t>and</w:t>
      </w:r>
      <w:r>
        <w:rPr>
          <w:spacing w:val="21"/>
        </w:rPr>
        <w:t> </w:t>
      </w:r>
      <w:r>
        <w:rPr/>
        <w:t>stomatitis,</w:t>
      </w:r>
      <w:r>
        <w:rPr>
          <w:spacing w:val="18"/>
        </w:rPr>
        <w:t> </w:t>
      </w:r>
      <w:r>
        <w:rPr/>
        <w:t>rarely</w:t>
      </w:r>
      <w:r>
        <w:rPr>
          <w:spacing w:val="-57"/>
        </w:rPr>
        <w:t> </w:t>
      </w:r>
      <w:r>
        <w:rPr/>
        <w:t>skin</w:t>
      </w:r>
      <w:r>
        <w:rPr>
          <w:spacing w:val="-4"/>
        </w:rPr>
        <w:t> </w:t>
      </w:r>
      <w:r>
        <w:rPr/>
        <w:t>reactions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hair</w:t>
      </w:r>
      <w:r>
        <w:rPr>
          <w:spacing w:val="7"/>
        </w:rPr>
        <w:t> </w:t>
      </w:r>
      <w:r>
        <w:rPr/>
        <w:t>loss,</w:t>
      </w:r>
      <w:r>
        <w:rPr>
          <w:spacing w:val="4"/>
        </w:rPr>
        <w:t> </w:t>
      </w:r>
      <w:r>
        <w:rPr/>
        <w:t>hypersensitivity</w:t>
      </w:r>
      <w:r>
        <w:rPr>
          <w:spacing w:val="-9"/>
        </w:rPr>
        <w:t> </w:t>
      </w:r>
      <w:r>
        <w:rPr/>
        <w:t>reactions</w:t>
      </w:r>
      <w:r>
        <w:rPr>
          <w:spacing w:val="-1"/>
        </w:rPr>
        <w:t> </w:t>
      </w:r>
      <w:r>
        <w:rPr/>
        <w:t>(EMDEX</w:t>
      </w:r>
      <w:r>
        <w:rPr>
          <w:spacing w:val="1"/>
        </w:rPr>
        <w:t> </w:t>
      </w:r>
      <w:r>
        <w:rPr/>
        <w:t>2010/11).</w:t>
      </w:r>
    </w:p>
    <w:p>
      <w:pPr>
        <w:pStyle w:val="Heading1"/>
        <w:spacing w:before="199"/>
        <w:jc w:val="left"/>
      </w:pPr>
      <w:r>
        <w:rPr/>
        <w:t>Dosage</w:t>
      </w:r>
    </w:p>
    <w:p>
      <w:pPr>
        <w:pStyle w:val="BodyText"/>
        <w:rPr>
          <w:b/>
          <w:sz w:val="29"/>
        </w:rPr>
      </w:pPr>
    </w:p>
    <w:p>
      <w:pPr>
        <w:pStyle w:val="BodyText"/>
        <w:spacing w:before="1"/>
        <w:ind w:left="820"/>
      </w:pPr>
      <w:r>
        <w:rPr/>
        <w:t>Oral:</w:t>
      </w:r>
      <w:r>
        <w:rPr>
          <w:spacing w:val="-1"/>
        </w:rPr>
        <w:t> </w:t>
      </w:r>
      <w:r>
        <w:rPr/>
        <w:t>200mg daily</w:t>
      </w:r>
      <w:r>
        <w:rPr>
          <w:spacing w:val="-10"/>
        </w:rPr>
        <w:t> </w:t>
      </w:r>
      <w:r>
        <w:rPr/>
        <w:t>(EMDEX 2010/11).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  <w:numPr>
          <w:ilvl w:val="0"/>
          <w:numId w:val="21"/>
        </w:numPr>
        <w:tabs>
          <w:tab w:pos="1540" w:val="left" w:leader="none"/>
        </w:tabs>
        <w:spacing w:line="240" w:lineRule="auto" w:before="0" w:after="0"/>
        <w:ind w:left="1540" w:right="0" w:hanging="360"/>
        <w:jc w:val="left"/>
      </w:pPr>
      <w:r>
        <w:rPr/>
        <w:t>Amoxicillin: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33"/>
      </w:pPr>
      <w:r>
        <w:rPr/>
        <w:t>Amoxicillin and its congeners is the first drug of choice in treatment of infection in SCD patients</w:t>
      </w:r>
      <w:r>
        <w:rPr>
          <w:spacing w:val="-57"/>
        </w:rPr>
        <w:t> </w:t>
      </w:r>
      <w:r>
        <w:rPr/>
        <w:t>(Standard</w:t>
      </w:r>
      <w:r>
        <w:rPr>
          <w:spacing w:val="6"/>
        </w:rPr>
        <w:t> </w:t>
      </w:r>
      <w:r>
        <w:rPr/>
        <w:t>treatment</w:t>
      </w:r>
      <w:r>
        <w:rPr>
          <w:spacing w:val="10"/>
        </w:rPr>
        <w:t> </w:t>
      </w:r>
      <w:r>
        <w:rPr/>
        <w:t>guidelines,</w:t>
      </w:r>
      <w:r>
        <w:rPr>
          <w:spacing w:val="7"/>
        </w:rPr>
        <w:t> </w:t>
      </w:r>
      <w:r>
        <w:rPr/>
        <w:t>2008).</w:t>
      </w:r>
      <w:r>
        <w:rPr>
          <w:spacing w:val="3"/>
        </w:rPr>
        <w:t> </w:t>
      </w:r>
      <w:r>
        <w:rPr/>
        <w:t>It</w:t>
      </w:r>
      <w:r>
        <w:rPr>
          <w:spacing w:val="10"/>
        </w:rPr>
        <w:t> </w:t>
      </w:r>
      <w:r>
        <w:rPr/>
        <w:t>is</w:t>
      </w:r>
      <w:r>
        <w:rPr>
          <w:spacing w:val="3"/>
        </w:rPr>
        <w:t> </w:t>
      </w:r>
      <w:r>
        <w:rPr/>
        <w:t>a</w:t>
      </w:r>
      <w:r>
        <w:rPr>
          <w:spacing w:val="8"/>
        </w:rPr>
        <w:t> </w:t>
      </w:r>
      <w:r>
        <w:rPr/>
        <w:t>broad</w:t>
      </w:r>
      <w:r>
        <w:rPr>
          <w:spacing w:val="6"/>
        </w:rPr>
        <w:t> </w:t>
      </w:r>
      <w:r>
        <w:rPr/>
        <w:t>spectrum</w:t>
      </w:r>
      <w:r>
        <w:rPr>
          <w:spacing w:val="55"/>
        </w:rPr>
        <w:t> </w:t>
      </w:r>
      <w:r>
        <w:rPr/>
        <w:t>penicillin</w:t>
      </w:r>
      <w:r>
        <w:rPr>
          <w:spacing w:val="5"/>
        </w:rPr>
        <w:t> </w:t>
      </w:r>
      <w:r>
        <w:rPr/>
        <w:t>with</w:t>
      </w:r>
      <w:r>
        <w:rPr>
          <w:spacing w:val="1"/>
        </w:rPr>
        <w:t> </w:t>
      </w:r>
      <w:r>
        <w:rPr/>
        <w:t>antimicrobial</w:t>
      </w:r>
    </w:p>
    <w:p>
      <w:pPr>
        <w:spacing w:after="0" w:line="360" w:lineRule="auto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60" w:lineRule="auto" w:before="72"/>
        <w:ind w:left="820" w:right="1434"/>
        <w:jc w:val="both"/>
      </w:pPr>
      <w:r>
        <w:rPr/>
        <w:t>activity against gram-negative microorganisms such as </w:t>
      </w:r>
      <w:r>
        <w:rPr>
          <w:i/>
        </w:rPr>
        <w:t>Haemophilus influenza</w:t>
      </w:r>
      <w:r>
        <w:rPr/>
        <w:t>, </w:t>
      </w:r>
      <w:r>
        <w:rPr>
          <w:i/>
        </w:rPr>
        <w:t>Escherichia coli</w:t>
      </w:r>
      <w:r>
        <w:rPr/>
        <w:t>,</w:t>
      </w:r>
      <w:r>
        <w:rPr>
          <w:spacing w:val="1"/>
        </w:rPr>
        <w:t> </w:t>
      </w:r>
      <w:r>
        <w:rPr/>
        <w:t>and </w:t>
      </w:r>
      <w:r>
        <w:rPr>
          <w:i/>
        </w:rPr>
        <w:t>Proteus mirabilis</w:t>
      </w:r>
      <w:r>
        <w:rPr/>
        <w:t>. Unfortunately, amoxicillin can be readily hydrolysed by broad-spectrum</w:t>
      </w:r>
      <w:r>
        <w:rPr>
          <w:spacing w:val="1"/>
        </w:rPr>
        <w:t> </w:t>
      </w:r>
      <w:r>
        <w:rPr/>
        <w:t>β-lactamases that are found with increasing frequency in clinical isolates of the gram-negative</w:t>
      </w:r>
      <w:r>
        <w:rPr>
          <w:spacing w:val="1"/>
        </w:rPr>
        <w:t> </w:t>
      </w:r>
      <w:r>
        <w:rPr/>
        <w:t>bacteria (Goodman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Gilman</w:t>
      </w:r>
      <w:r>
        <w:rPr>
          <w:spacing w:val="-3"/>
        </w:rPr>
        <w:t> </w:t>
      </w:r>
      <w:r>
        <w:rPr/>
        <w:t>1996).</w:t>
      </w:r>
    </w:p>
    <w:p>
      <w:pPr>
        <w:pStyle w:val="Heading1"/>
        <w:spacing w:before="201"/>
      </w:pPr>
      <w:r>
        <w:rPr/>
        <w:t>Mechanism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action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42"/>
        <w:jc w:val="both"/>
      </w:pPr>
      <w:r>
        <w:rPr/>
        <w:t>Amoxicillin is a β-lactam antibiotic that can kill susceptible bacteria. Although, knowledge of its</w:t>
      </w:r>
      <w:r>
        <w:rPr>
          <w:spacing w:val="-57"/>
        </w:rPr>
        <w:t> </w:t>
      </w:r>
      <w:r>
        <w:rPr/>
        <w:t>mechanism of action is incomplete, numerous researches suggest it disrupts the cell wall of the</w:t>
      </w:r>
      <w:r>
        <w:rPr>
          <w:spacing w:val="1"/>
        </w:rPr>
        <w:t> </w:t>
      </w:r>
      <w:r>
        <w:rPr/>
        <w:t>bacteria. Peptidoglycan is responsible for the rigid protective nature of the bacterial cell wall.</w:t>
      </w:r>
      <w:r>
        <w:rPr>
          <w:spacing w:val="1"/>
        </w:rPr>
        <w:t> </w:t>
      </w:r>
      <w:r>
        <w:rPr/>
        <w:t>Peptidoglycan</w:t>
      </w:r>
      <w:r>
        <w:rPr>
          <w:spacing w:val="9"/>
        </w:rPr>
        <w:t> </w:t>
      </w:r>
      <w:r>
        <w:rPr/>
        <w:t>biosynthesis</w:t>
      </w:r>
      <w:r>
        <w:rPr>
          <w:spacing w:val="16"/>
        </w:rPr>
        <w:t> </w:t>
      </w:r>
      <w:r>
        <w:rPr/>
        <w:t>is</w:t>
      </w:r>
      <w:r>
        <w:rPr>
          <w:spacing w:val="11"/>
        </w:rPr>
        <w:t> </w:t>
      </w:r>
      <w:r>
        <w:rPr/>
        <w:t>in</w:t>
      </w:r>
      <w:r>
        <w:rPr>
          <w:spacing w:val="9"/>
        </w:rPr>
        <w:t> </w:t>
      </w:r>
      <w:r>
        <w:rPr/>
        <w:t>three</w:t>
      </w:r>
      <w:r>
        <w:rPr>
          <w:spacing w:val="8"/>
        </w:rPr>
        <w:t> </w:t>
      </w:r>
      <w:r>
        <w:rPr/>
        <w:t>stages,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last</w:t>
      </w:r>
      <w:r>
        <w:rPr>
          <w:spacing w:val="14"/>
        </w:rPr>
        <w:t> </w:t>
      </w:r>
      <w:r>
        <w:rPr/>
        <w:t>stage</w:t>
      </w:r>
      <w:r>
        <w:rPr>
          <w:spacing w:val="8"/>
        </w:rPr>
        <w:t> </w:t>
      </w:r>
      <w:r>
        <w:rPr/>
        <w:t>which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catalysed</w:t>
      </w:r>
      <w:r>
        <w:rPr>
          <w:spacing w:val="13"/>
        </w:rPr>
        <w:t> </w:t>
      </w:r>
      <w:r>
        <w:rPr/>
        <w:t>by</w:t>
      </w:r>
      <w:r>
        <w:rPr>
          <w:spacing w:val="5"/>
        </w:rPr>
        <w:t> </w:t>
      </w:r>
      <w:r>
        <w:rPr/>
        <w:t>transpeptidase</w:t>
      </w:r>
      <w:r>
        <w:rPr>
          <w:spacing w:val="-58"/>
        </w:rPr>
        <w:t> </w:t>
      </w:r>
      <w:r>
        <w:rPr/>
        <w:t>is</w:t>
      </w:r>
      <w:r>
        <w:rPr>
          <w:spacing w:val="1"/>
        </w:rPr>
        <w:t> </w:t>
      </w:r>
      <w:r>
        <w:rPr/>
        <w:t>inhibited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β-lactam</w:t>
      </w:r>
      <w:r>
        <w:rPr>
          <w:spacing w:val="1"/>
        </w:rPr>
        <w:t> </w:t>
      </w:r>
      <w:r>
        <w:rPr/>
        <w:t>antibiotics.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transpeptidases</w:t>
      </w:r>
      <w:r>
        <w:rPr>
          <w:spacing w:val="1"/>
        </w:rPr>
        <w:t> </w:t>
      </w:r>
      <w:r>
        <w:rPr/>
        <w:t>causes</w:t>
      </w:r>
      <w:r>
        <w:rPr>
          <w:spacing w:val="60"/>
        </w:rPr>
        <w:t> </w:t>
      </w:r>
      <w:r>
        <w:rPr/>
        <w:t>spheroplast</w:t>
      </w:r>
      <w:r>
        <w:rPr>
          <w:spacing w:val="1"/>
        </w:rPr>
        <w:t> </w:t>
      </w:r>
      <w:r>
        <w:rPr/>
        <w:t>formation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rapid</w:t>
      </w:r>
      <w:r>
        <w:rPr>
          <w:spacing w:val="7"/>
        </w:rPr>
        <w:t> </w:t>
      </w:r>
      <w:r>
        <w:rPr/>
        <w:t>lysis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bacteria (Goodman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Gilman</w:t>
      </w:r>
      <w:r>
        <w:rPr>
          <w:spacing w:val="-4"/>
        </w:rPr>
        <w:t> </w:t>
      </w:r>
      <w:r>
        <w:rPr/>
        <w:t>1996).</w:t>
      </w:r>
    </w:p>
    <w:p>
      <w:pPr>
        <w:pStyle w:val="Heading1"/>
        <w:spacing w:before="200"/>
        <w:jc w:val="left"/>
      </w:pPr>
      <w:r>
        <w:rPr/>
        <w:t>Indications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55" w:lineRule="auto"/>
        <w:ind w:left="820" w:right="1442"/>
        <w:jc w:val="both"/>
      </w:pPr>
      <w:r>
        <w:rPr/>
        <w:t>Urinary tract infections, upper respiratory tract infections, bronchitis, pneumonia, dental abscess</w:t>
      </w:r>
      <w:r>
        <w:rPr>
          <w:spacing w:val="1"/>
        </w:rPr>
        <w:t> </w:t>
      </w:r>
      <w:r>
        <w:rPr/>
        <w:t>and other</w:t>
      </w:r>
      <w:r>
        <w:rPr>
          <w:spacing w:val="-2"/>
        </w:rPr>
        <w:t> </w:t>
      </w:r>
      <w:r>
        <w:rPr/>
        <w:t>oral</w:t>
      </w:r>
      <w:r>
        <w:rPr>
          <w:spacing w:val="-3"/>
        </w:rPr>
        <w:t> </w:t>
      </w:r>
      <w:r>
        <w:rPr/>
        <w:t>infections,</w:t>
      </w:r>
      <w:r>
        <w:rPr>
          <w:spacing w:val="3"/>
        </w:rPr>
        <w:t> </w:t>
      </w:r>
      <w:r>
        <w:rPr/>
        <w:t>gynaecological</w:t>
      </w:r>
      <w:r>
        <w:rPr>
          <w:spacing w:val="-4"/>
        </w:rPr>
        <w:t> </w:t>
      </w:r>
      <w:r>
        <w:rPr/>
        <w:t>infections,</w:t>
      </w:r>
      <w:r>
        <w:rPr>
          <w:spacing w:val="3"/>
        </w:rPr>
        <w:t> </w:t>
      </w:r>
      <w:r>
        <w:rPr/>
        <w:t>gonorrhoea</w:t>
      </w:r>
      <w:r>
        <w:rPr>
          <w:spacing w:val="-4"/>
        </w:rPr>
        <w:t> </w:t>
      </w:r>
      <w:r>
        <w:rPr/>
        <w:t>(EMDEX</w:t>
      </w:r>
      <w:r>
        <w:rPr>
          <w:spacing w:val="-4"/>
        </w:rPr>
        <w:t> </w:t>
      </w:r>
      <w:r>
        <w:rPr/>
        <w:t>2010/11).</w:t>
      </w:r>
    </w:p>
    <w:p>
      <w:pPr>
        <w:pStyle w:val="Heading1"/>
        <w:spacing w:before="210"/>
        <w:jc w:val="left"/>
      </w:pPr>
      <w:r>
        <w:rPr/>
        <w:t>Side</w:t>
      </w:r>
      <w:r>
        <w:rPr>
          <w:spacing w:val="-3"/>
        </w:rPr>
        <w:t> </w:t>
      </w:r>
      <w:r>
        <w:rPr/>
        <w:t>effects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tabs>
          <w:tab w:pos="1803" w:val="left" w:leader="none"/>
          <w:tab w:pos="2941" w:val="left" w:leader="none"/>
          <w:tab w:pos="4125" w:val="left" w:leader="none"/>
          <w:tab w:pos="6149" w:val="left" w:leader="none"/>
          <w:tab w:pos="7554" w:val="left" w:leader="none"/>
          <w:tab w:pos="9301" w:val="left" w:leader="none"/>
        </w:tabs>
        <w:spacing w:line="271" w:lineRule="auto"/>
        <w:ind w:left="820" w:right="1446"/>
      </w:pPr>
      <w:r>
        <w:rPr/>
        <w:t>Nausea,</w:t>
        <w:tab/>
        <w:t>vomiting,</w:t>
        <w:tab/>
        <w:t>diarrhoea,</w:t>
        <w:tab/>
        <w:t>thrombocytopenia,</w:t>
        <w:tab/>
        <w:t>neutropenia,</w:t>
        <w:tab/>
        <w:t>hypersensitivity</w:t>
        <w:tab/>
        <w:t>reactions</w:t>
      </w:r>
      <w:r>
        <w:rPr>
          <w:spacing w:val="-57"/>
        </w:rPr>
        <w:t> </w:t>
      </w:r>
      <w:r>
        <w:rPr/>
        <w:t>(EMDEX</w:t>
      </w:r>
      <w:r>
        <w:rPr>
          <w:spacing w:val="1"/>
        </w:rPr>
        <w:t> </w:t>
      </w:r>
      <w:r>
        <w:rPr/>
        <w:t>2010/11).</w:t>
      </w:r>
    </w:p>
    <w:p>
      <w:pPr>
        <w:pStyle w:val="Heading1"/>
        <w:spacing w:before="207"/>
        <w:jc w:val="left"/>
      </w:pPr>
      <w:r>
        <w:rPr/>
        <w:t>Adult</w:t>
      </w:r>
      <w:r>
        <w:rPr>
          <w:spacing w:val="-1"/>
        </w:rPr>
        <w:t> </w:t>
      </w:r>
      <w:r>
        <w:rPr/>
        <w:t>dose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ind w:left="820"/>
      </w:pPr>
      <w:r>
        <w:rPr/>
        <w:t>Oral:</w:t>
      </w:r>
      <w:r>
        <w:rPr>
          <w:spacing w:val="-3"/>
        </w:rPr>
        <w:t> </w:t>
      </w:r>
      <w:r>
        <w:rPr/>
        <w:t>250mg-3g</w:t>
      </w:r>
      <w:r>
        <w:rPr>
          <w:spacing w:val="-3"/>
        </w:rPr>
        <w:t> </w:t>
      </w:r>
      <w:r>
        <w:rPr/>
        <w:t>every</w:t>
      </w:r>
      <w:r>
        <w:rPr>
          <w:spacing w:val="-13"/>
        </w:rPr>
        <w:t> </w:t>
      </w:r>
      <w:r>
        <w:rPr/>
        <w:t>8hours,</w:t>
      </w:r>
      <w:r>
        <w:rPr>
          <w:spacing w:val="-1"/>
        </w:rPr>
        <w:t> </w:t>
      </w:r>
      <w:r>
        <w:rPr/>
        <w:t>maximum-6g</w:t>
      </w:r>
      <w:r>
        <w:rPr>
          <w:spacing w:val="-3"/>
        </w:rPr>
        <w:t> </w:t>
      </w:r>
      <w:r>
        <w:rPr/>
        <w:t>daily.</w:t>
      </w:r>
    </w:p>
    <w:p>
      <w:pPr>
        <w:pStyle w:val="BodyText"/>
        <w:spacing w:before="6"/>
        <w:rPr>
          <w:sz w:val="21"/>
        </w:rPr>
      </w:pPr>
    </w:p>
    <w:p>
      <w:pPr>
        <w:pStyle w:val="Heading1"/>
        <w:numPr>
          <w:ilvl w:val="0"/>
          <w:numId w:val="21"/>
        </w:numPr>
        <w:tabs>
          <w:tab w:pos="1540" w:val="left" w:leader="none"/>
        </w:tabs>
        <w:spacing w:line="240" w:lineRule="auto" w:before="0" w:after="0"/>
        <w:ind w:left="1540" w:right="0" w:hanging="360"/>
        <w:jc w:val="left"/>
      </w:pPr>
      <w:r>
        <w:rPr/>
        <w:t>Oxygen</w:t>
      </w:r>
      <w:r>
        <w:rPr>
          <w:spacing w:val="-3"/>
        </w:rPr>
        <w:t> </w:t>
      </w:r>
      <w:r>
        <w:rPr/>
        <w:t>Therapy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37"/>
        <w:jc w:val="both"/>
      </w:pPr>
      <w:r>
        <w:rPr/>
        <w:t>Oxygen therapy is often used routinely in the management of vaso-occlusive crises, especially in</w:t>
      </w:r>
      <w:r>
        <w:rPr>
          <w:spacing w:val="-57"/>
        </w:rPr>
        <w:t> </w:t>
      </w:r>
      <w:r>
        <w:rPr/>
        <w:t>patients with ACS and those with evidence of hypoxemia (headache, fatigue, shortness of breath,</w:t>
      </w:r>
      <w:r>
        <w:rPr>
          <w:spacing w:val="-57"/>
        </w:rPr>
        <w:t> </w:t>
      </w:r>
      <w:r>
        <w:rPr/>
        <w:t>euphoria, nausea, cyanosis) (Steinberg, 1999). However, there is lack of evidence supporting the</w:t>
      </w:r>
      <w:r>
        <w:rPr>
          <w:spacing w:val="1"/>
        </w:rPr>
        <w:t> </w:t>
      </w:r>
      <w:r>
        <w:rPr/>
        <w:t>effectiveness of these measures in all patients e.g. in those SCD patients with ACS whose partial</w:t>
      </w:r>
      <w:r>
        <w:rPr>
          <w:spacing w:val="1"/>
        </w:rPr>
        <w:t> </w:t>
      </w:r>
      <w:r>
        <w:rPr/>
        <w:t>pressure of arterial oxygen (PaO</w:t>
      </w:r>
      <w:r>
        <w:rPr>
          <w:vertAlign w:val="subscript"/>
        </w:rPr>
        <w:t>2</w:t>
      </w:r>
      <w:r>
        <w:rPr>
          <w:vertAlign w:val="baseline"/>
        </w:rPr>
        <w:t>) is in the normal range (Steven </w:t>
      </w:r>
      <w:r>
        <w:rPr>
          <w:i/>
          <w:vertAlign w:val="baseline"/>
        </w:rPr>
        <w:t>et al</w:t>
      </w:r>
      <w:r>
        <w:rPr>
          <w:vertAlign w:val="baseline"/>
        </w:rPr>
        <w:t>., 2000). In addition,</w:t>
      </w:r>
      <w:r>
        <w:rPr>
          <w:spacing w:val="1"/>
          <w:vertAlign w:val="baseline"/>
        </w:rPr>
        <w:t> </w:t>
      </w:r>
      <w:r>
        <w:rPr>
          <w:vertAlign w:val="baseline"/>
        </w:rPr>
        <w:t>oxygen may suppress erythrocyte production, depress reticulocytosis and cause rebound sickle</w:t>
      </w:r>
      <w:r>
        <w:rPr>
          <w:spacing w:val="1"/>
          <w:vertAlign w:val="baseline"/>
        </w:rPr>
        <w:t> </w:t>
      </w:r>
      <w:r>
        <w:rPr>
          <w:vertAlign w:val="baseline"/>
        </w:rPr>
        <w:t>cell</w:t>
      </w:r>
      <w:r>
        <w:rPr>
          <w:spacing w:val="-3"/>
          <w:vertAlign w:val="baseline"/>
        </w:rPr>
        <w:t> </w:t>
      </w:r>
      <w:r>
        <w:rPr>
          <w:vertAlign w:val="baseline"/>
        </w:rPr>
        <w:t>crises on</w:t>
      </w:r>
      <w:r>
        <w:rPr>
          <w:spacing w:val="-3"/>
          <w:vertAlign w:val="baseline"/>
        </w:rPr>
        <w:t> </w:t>
      </w:r>
      <w:r>
        <w:rPr>
          <w:vertAlign w:val="baseline"/>
        </w:rPr>
        <w:t>discontinuation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therapy</w:t>
      </w:r>
      <w:r>
        <w:rPr>
          <w:spacing w:val="-9"/>
          <w:vertAlign w:val="baseline"/>
        </w:rPr>
        <w:t> </w:t>
      </w:r>
      <w:r>
        <w:rPr>
          <w:vertAlign w:val="baseline"/>
        </w:rPr>
        <w:t>(Steven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7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</w:t>
      </w:r>
      <w:r>
        <w:rPr>
          <w:spacing w:val="4"/>
          <w:vertAlign w:val="baseline"/>
        </w:rPr>
        <w:t> </w:t>
      </w:r>
      <w:r>
        <w:rPr>
          <w:vertAlign w:val="baseline"/>
        </w:rPr>
        <w:t>2000).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numPr>
          <w:ilvl w:val="0"/>
          <w:numId w:val="21"/>
        </w:numPr>
        <w:tabs>
          <w:tab w:pos="1540" w:val="left" w:leader="none"/>
        </w:tabs>
        <w:spacing w:line="240" w:lineRule="auto" w:before="72" w:after="0"/>
        <w:ind w:left="1540" w:right="0" w:hanging="360"/>
        <w:jc w:val="both"/>
      </w:pPr>
      <w:r>
        <w:rPr/>
        <w:t>Transfusion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 w:before="1"/>
        <w:ind w:left="820" w:right="1441"/>
        <w:jc w:val="both"/>
      </w:pPr>
      <w:r>
        <w:rPr/>
        <w:t>Transfusion is done using sickle negative blood. It “dilutes” out sickled RBCs, reduces ISCs</w:t>
      </w:r>
      <w:r>
        <w:rPr>
          <w:spacing w:val="1"/>
        </w:rPr>
        <w:t> </w:t>
      </w:r>
      <w:r>
        <w:rPr/>
        <w:t>count, precludes recurrent stroke if HbS is less than 30%, and reduces abnormal flow in cerebral</w:t>
      </w:r>
      <w:r>
        <w:rPr>
          <w:spacing w:val="1"/>
        </w:rPr>
        <w:t> </w:t>
      </w:r>
      <w:r>
        <w:rPr/>
        <w:t>vessels in children with SCD (Adams </w:t>
      </w:r>
      <w:r>
        <w:rPr>
          <w:i/>
        </w:rPr>
        <w:t>et al</w:t>
      </w:r>
      <w:r>
        <w:rPr/>
        <w:t>., 2000).</w:t>
      </w:r>
      <w:r>
        <w:rPr>
          <w:spacing w:val="1"/>
        </w:rPr>
        <w:t> </w:t>
      </w:r>
      <w:r>
        <w:rPr/>
        <w:t>Indications for transfusion include pregnant</w:t>
      </w:r>
      <w:r>
        <w:rPr>
          <w:spacing w:val="1"/>
        </w:rPr>
        <w:t> </w:t>
      </w:r>
      <w:r>
        <w:rPr/>
        <w:t>patients with anaemia, acute cerebral syndrome, priapism, acute chest syndrome, surgery, and</w:t>
      </w:r>
      <w:r>
        <w:rPr>
          <w:spacing w:val="1"/>
        </w:rPr>
        <w:t> </w:t>
      </w:r>
      <w:r>
        <w:rPr/>
        <w:t>anaemia.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transfusions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prolonged</w:t>
      </w:r>
      <w:r>
        <w:rPr>
          <w:spacing w:val="1"/>
        </w:rPr>
        <w:t> </w:t>
      </w:r>
      <w:r>
        <w:rPr/>
        <w:t>refractory vaso-occlusive crisis with a stable baseline haemoglobin concentration. The goal is to</w:t>
      </w:r>
      <w:r>
        <w:rPr>
          <w:spacing w:val="1"/>
        </w:rPr>
        <w:t> </w:t>
      </w:r>
      <w:r>
        <w:rPr/>
        <w:t>reduce</w:t>
      </w:r>
      <w:r>
        <w:rPr>
          <w:spacing w:val="-1"/>
        </w:rPr>
        <w:t> </w:t>
      </w:r>
      <w:r>
        <w:rPr/>
        <w:t>sickling by</w:t>
      </w:r>
      <w:r>
        <w:rPr>
          <w:spacing w:val="-4"/>
        </w:rPr>
        <w:t> </w:t>
      </w:r>
      <w:r>
        <w:rPr/>
        <w:t>reducing the haemoglobin</w:t>
      </w:r>
      <w:r>
        <w:rPr>
          <w:spacing w:val="-5"/>
        </w:rPr>
        <w:t> </w:t>
      </w:r>
      <w:r>
        <w:rPr/>
        <w:t>S</w:t>
      </w:r>
      <w:r>
        <w:rPr>
          <w:spacing w:val="7"/>
        </w:rPr>
        <w:t> </w:t>
      </w:r>
      <w:r>
        <w:rPr/>
        <w:t>level</w:t>
      </w:r>
      <w:r>
        <w:rPr>
          <w:spacing w:val="-9"/>
        </w:rPr>
        <w:t> </w:t>
      </w:r>
      <w:r>
        <w:rPr/>
        <w:t>to</w:t>
      </w:r>
      <w:r>
        <w:rPr>
          <w:spacing w:val="6"/>
        </w:rPr>
        <w:t> </w:t>
      </w:r>
      <w:r>
        <w:rPr/>
        <w:t>below 20%</w:t>
      </w:r>
      <w:r>
        <w:rPr>
          <w:spacing w:val="-2"/>
        </w:rPr>
        <w:t> </w:t>
      </w:r>
      <w:r>
        <w:rPr/>
        <w:t>(Steinberg,</w:t>
      </w:r>
      <w:r>
        <w:rPr>
          <w:spacing w:val="2"/>
        </w:rPr>
        <w:t> </w:t>
      </w:r>
      <w:r>
        <w:rPr/>
        <w:t>1999).</w:t>
      </w:r>
    </w:p>
    <w:p>
      <w:pPr>
        <w:pStyle w:val="BodyText"/>
        <w:spacing w:line="360" w:lineRule="auto" w:before="198"/>
        <w:ind w:left="820" w:right="1453"/>
        <w:jc w:val="both"/>
      </w:pPr>
      <w:r>
        <w:rPr/>
        <w:t>Risks of transfusion include iron overload, increased blood viscosity, worsening of sickling,</w:t>
      </w:r>
      <w:r>
        <w:rPr>
          <w:spacing w:val="1"/>
        </w:rPr>
        <w:t> </w:t>
      </w:r>
      <w:r>
        <w:rPr/>
        <w:t>alloimmunization,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transmission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infections</w:t>
      </w:r>
      <w:r>
        <w:rPr>
          <w:spacing w:val="-1"/>
        </w:rPr>
        <w:t> </w:t>
      </w:r>
      <w:r>
        <w:rPr/>
        <w:t>such</w:t>
      </w:r>
      <w:r>
        <w:rPr>
          <w:spacing w:val="-3"/>
        </w:rPr>
        <w:t> </w:t>
      </w:r>
      <w:r>
        <w:rPr/>
        <w:t>as</w:t>
      </w:r>
      <w:r>
        <w:rPr>
          <w:spacing w:val="4"/>
        </w:rPr>
        <w:t> </w:t>
      </w:r>
      <w:r>
        <w:rPr/>
        <w:t>hepatitis</w:t>
      </w:r>
      <w:r>
        <w:rPr>
          <w:spacing w:val="-1"/>
        </w:rPr>
        <w:t> </w:t>
      </w:r>
      <w:r>
        <w:rPr/>
        <w:t>or</w:t>
      </w:r>
      <w:r>
        <w:rPr>
          <w:spacing w:val="2"/>
        </w:rPr>
        <w:t> </w:t>
      </w:r>
      <w:r>
        <w:rPr/>
        <w:t>HIV.</w:t>
      </w:r>
    </w:p>
    <w:p>
      <w:pPr>
        <w:pStyle w:val="Heading1"/>
        <w:numPr>
          <w:ilvl w:val="0"/>
          <w:numId w:val="21"/>
        </w:numPr>
        <w:tabs>
          <w:tab w:pos="1540" w:val="left" w:leader="none"/>
        </w:tabs>
        <w:spacing w:line="240" w:lineRule="auto" w:before="199" w:after="0"/>
        <w:ind w:left="1540" w:right="0" w:hanging="360"/>
        <w:jc w:val="both"/>
      </w:pPr>
      <w:r>
        <w:rPr/>
        <w:t>Fluid</w:t>
      </w:r>
      <w:r>
        <w:rPr>
          <w:spacing w:val="-1"/>
        </w:rPr>
        <w:t> </w:t>
      </w:r>
      <w:r>
        <w:rPr/>
        <w:t>replacement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41"/>
        <w:jc w:val="both"/>
      </w:pPr>
      <w:r>
        <w:rPr/>
        <w:t>Increased plasma osmolarity from a reduced plasma volume can worsen a vaso-occlusive crisis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intracellular</w:t>
      </w:r>
      <w:r>
        <w:rPr>
          <w:spacing w:val="1"/>
        </w:rPr>
        <w:t> </w:t>
      </w:r>
      <w:r>
        <w:rPr/>
        <w:t>dehydration,</w:t>
      </w:r>
      <w:r>
        <w:rPr>
          <w:spacing w:val="1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polymerization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worsening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sickling. During hyponatremia, the affinity of haemoglobin S for oxygen is increased. Patients</w:t>
      </w:r>
      <w:r>
        <w:rPr>
          <w:spacing w:val="1"/>
        </w:rPr>
        <w:t> </w:t>
      </w:r>
      <w:r>
        <w:rPr/>
        <w:t>with SCD have isosthenuria, which leads to difficulty in excreting sodium load (Okpala, 1998),</w:t>
      </w:r>
      <w:r>
        <w:rPr>
          <w:spacing w:val="1"/>
        </w:rPr>
        <w:t> </w:t>
      </w:r>
      <w:r>
        <w:rPr/>
        <w:t>thus, hypernatremia ensues and the affinity of haemoglobin S for oxygen is reduced. This further</w:t>
      </w:r>
      <w:r>
        <w:rPr>
          <w:spacing w:val="-57"/>
        </w:rPr>
        <w:t> </w:t>
      </w:r>
      <w:r>
        <w:rPr/>
        <w:t>reduces the ability of the sickled cells to carry oxygen. Fluids should therefore be administered in</w:t>
      </w:r>
      <w:r>
        <w:rPr>
          <w:spacing w:val="-58"/>
        </w:rPr>
        <w:t> </w:t>
      </w:r>
      <w:r>
        <w:rPr/>
        <w:t>a quantity sufficient to correct existing deficits and replace ongoing losses in order to maintain a</w:t>
      </w:r>
      <w:r>
        <w:rPr>
          <w:spacing w:val="1"/>
        </w:rPr>
        <w:t> </w:t>
      </w:r>
      <w:r>
        <w:rPr/>
        <w:t>euvolemic state</w:t>
      </w:r>
      <w:r>
        <w:rPr>
          <w:spacing w:val="-3"/>
        </w:rPr>
        <w:t> </w:t>
      </w:r>
      <w:r>
        <w:rPr/>
        <w:t>(Steven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4"/>
        </w:rPr>
        <w:t> </w:t>
      </w:r>
      <w:r>
        <w:rPr/>
        <w:t>2000).</w:t>
      </w:r>
    </w:p>
    <w:p>
      <w:pPr>
        <w:pStyle w:val="Heading1"/>
        <w:numPr>
          <w:ilvl w:val="0"/>
          <w:numId w:val="21"/>
        </w:numPr>
        <w:tabs>
          <w:tab w:pos="1540" w:val="left" w:leader="none"/>
        </w:tabs>
        <w:spacing w:line="240" w:lineRule="auto" w:before="202" w:after="0"/>
        <w:ind w:left="1540" w:right="0" w:hanging="360"/>
        <w:jc w:val="both"/>
      </w:pPr>
      <w:r>
        <w:rPr/>
        <w:t>Diet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nutrition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39"/>
        <w:jc w:val="both"/>
      </w:pPr>
      <w:r>
        <w:rPr/>
        <w:t>The voluntary energy intake of sickle cell patients appears to be similar to HbAA individuals, but</w:t>
      </w:r>
      <w:r>
        <w:rPr>
          <w:spacing w:val="-57"/>
        </w:rPr>
        <w:t> </w:t>
      </w:r>
      <w:r>
        <w:rPr/>
        <w:t>since the sickle cell patients have a</w:t>
      </w:r>
      <w:r>
        <w:rPr>
          <w:spacing w:val="1"/>
        </w:rPr>
        <w:t> </w:t>
      </w:r>
      <w:r>
        <w:rPr/>
        <w:t>higher resting</w:t>
      </w:r>
      <w:r>
        <w:rPr>
          <w:spacing w:val="1"/>
        </w:rPr>
        <w:t> </w:t>
      </w:r>
      <w:r>
        <w:rPr/>
        <w:t>metabolic rate, it</w:t>
      </w:r>
      <w:r>
        <w:rPr>
          <w:spacing w:val="1"/>
        </w:rPr>
        <w:t> </w:t>
      </w:r>
      <w:r>
        <w:rPr/>
        <w:t>suggests a suboptimal</w:t>
      </w:r>
      <w:r>
        <w:rPr>
          <w:spacing w:val="1"/>
        </w:rPr>
        <w:t> </w:t>
      </w:r>
      <w:r>
        <w:rPr/>
        <w:t>nutritional state for SCD patients (Singhal </w:t>
      </w:r>
      <w:r>
        <w:rPr>
          <w:i/>
        </w:rPr>
        <w:t>et al</w:t>
      </w:r>
      <w:r>
        <w:rPr/>
        <w:t>., 1997). Growth of the child and adolescent</w:t>
      </w:r>
      <w:r>
        <w:rPr>
          <w:spacing w:val="1"/>
        </w:rPr>
        <w:t> </w:t>
      </w:r>
      <w:r>
        <w:rPr/>
        <w:t>should be carefully monitored. If there is significant lag, the patient must be assessed to rule out</w:t>
      </w:r>
      <w:r>
        <w:rPr>
          <w:spacing w:val="1"/>
        </w:rPr>
        <w:t> </w:t>
      </w:r>
      <w:r>
        <w:rPr/>
        <w:t>other causes of growth delay (Hyacinth </w:t>
      </w:r>
      <w:r>
        <w:rPr>
          <w:i/>
        </w:rPr>
        <w:t>et al</w:t>
      </w:r>
      <w:r>
        <w:rPr/>
        <w:t>., 2010). Peripubertal delay of both growth and</w:t>
      </w:r>
      <w:r>
        <w:rPr>
          <w:spacing w:val="1"/>
        </w:rPr>
        <w:t> </w:t>
      </w:r>
      <w:r>
        <w:rPr/>
        <w:t>sexual maturation of as much as two years is frequent in children with SS disease. It is important</w:t>
      </w:r>
      <w:r>
        <w:rPr>
          <w:spacing w:val="1"/>
        </w:rPr>
        <w:t> </w:t>
      </w:r>
      <w:r>
        <w:rPr/>
        <w:t>to reassure the parents and the teenager that there will be catch-up in both, so that adult size and</w:t>
      </w:r>
      <w:r>
        <w:rPr>
          <w:spacing w:val="1"/>
        </w:rPr>
        <w:t> </w:t>
      </w:r>
      <w:r>
        <w:rPr/>
        <w:t>development</w:t>
      </w:r>
      <w:r>
        <w:rPr>
          <w:spacing w:val="3"/>
        </w:rPr>
        <w:t> </w:t>
      </w:r>
      <w:r>
        <w:rPr/>
        <w:t>will be</w:t>
      </w:r>
      <w:r>
        <w:rPr>
          <w:spacing w:val="-2"/>
        </w:rPr>
        <w:t> </w:t>
      </w:r>
      <w:r>
        <w:rPr/>
        <w:t>within normal</w:t>
      </w:r>
      <w:r>
        <w:rPr>
          <w:spacing w:val="-5"/>
        </w:rPr>
        <w:t> </w:t>
      </w:r>
      <w:r>
        <w:rPr/>
        <w:t>limits.</w:t>
      </w:r>
      <w:r>
        <w:rPr>
          <w:spacing w:val="1"/>
        </w:rPr>
        <w:t> </w:t>
      </w:r>
      <w:r>
        <w:rPr/>
        <w:t>In</w:t>
      </w:r>
      <w:r>
        <w:rPr>
          <w:spacing w:val="-6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adequate</w:t>
      </w:r>
      <w:r>
        <w:rPr>
          <w:spacing w:val="-2"/>
        </w:rPr>
        <w:t> </w:t>
      </w:r>
      <w:r>
        <w:rPr/>
        <w:t>fluid</w:t>
      </w:r>
      <w:r>
        <w:rPr>
          <w:spacing w:val="4"/>
        </w:rPr>
        <w:t> </w:t>
      </w:r>
      <w:r>
        <w:rPr/>
        <w:t>intake</w:t>
      </w:r>
      <w:r>
        <w:rPr>
          <w:spacing w:val="3"/>
        </w:rPr>
        <w:t> </w:t>
      </w:r>
      <w:r>
        <w:rPr/>
        <w:t>is</w:t>
      </w:r>
      <w:r>
        <w:rPr>
          <w:spacing w:val="2"/>
        </w:rPr>
        <w:t> </w:t>
      </w:r>
      <w:r>
        <w:rPr/>
        <w:t>important.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numPr>
          <w:ilvl w:val="0"/>
          <w:numId w:val="21"/>
        </w:numPr>
        <w:tabs>
          <w:tab w:pos="1540" w:val="left" w:leader="none"/>
        </w:tabs>
        <w:spacing w:line="240" w:lineRule="auto" w:before="72" w:after="0"/>
        <w:ind w:left="1540" w:right="0" w:hanging="360"/>
        <w:jc w:val="left"/>
      </w:pPr>
      <w:r>
        <w:rPr/>
        <w:t>Vaccination</w:t>
      </w:r>
      <w:r>
        <w:rPr>
          <w:spacing w:val="-2"/>
        </w:rPr>
        <w:t> </w:t>
      </w:r>
      <w:r>
        <w:rPr/>
        <w:t>and</w:t>
      </w:r>
      <w:r>
        <w:rPr>
          <w:spacing w:val="-7"/>
        </w:rPr>
        <w:t> </w:t>
      </w:r>
      <w:r>
        <w:rPr/>
        <w:t>immunization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 w:before="1"/>
        <w:ind w:left="820" w:right="1440"/>
        <w:jc w:val="both"/>
      </w:pPr>
      <w:r>
        <w:rPr/>
        <w:t>All SCD patients should be given appropriate doses of standard internationally recommended</w:t>
      </w:r>
      <w:r>
        <w:rPr>
          <w:spacing w:val="1"/>
        </w:rPr>
        <w:t> </w:t>
      </w:r>
      <w:r>
        <w:rPr/>
        <w:t>vaccines. Other vaccines to be added are those dictated by the epidemiologic circumstances</w:t>
      </w:r>
      <w:r>
        <w:rPr>
          <w:spacing w:val="1"/>
        </w:rPr>
        <w:t> </w:t>
      </w:r>
      <w:r>
        <w:rPr/>
        <w:t>which include meningococcal and yellow fever vaccines. In view of the fact that SCD patients</w:t>
      </w:r>
      <w:r>
        <w:rPr>
          <w:spacing w:val="1"/>
        </w:rPr>
        <w:t> </w:t>
      </w:r>
      <w:r>
        <w:rPr/>
        <w:t>suffer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asplenia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susceptible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encapsulated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>
          <w:i/>
        </w:rPr>
        <w:t>S</w:t>
      </w:r>
      <w:r>
        <w:rPr>
          <w:i/>
          <w:spacing w:val="1"/>
        </w:rPr>
        <w:t> </w:t>
      </w:r>
      <w:r>
        <w:rPr>
          <w:i/>
        </w:rPr>
        <w:t>pneumoniae, H influenzae </w:t>
      </w:r>
      <w:r>
        <w:rPr/>
        <w:t>type B, </w:t>
      </w:r>
      <w:r>
        <w:rPr>
          <w:i/>
        </w:rPr>
        <w:t>Salmonella, </w:t>
      </w:r>
      <w:r>
        <w:rPr/>
        <w:t>and </w:t>
      </w:r>
      <w:r>
        <w:rPr>
          <w:i/>
        </w:rPr>
        <w:t>Klebsiella</w:t>
      </w:r>
      <w:r>
        <w:rPr/>
        <w:t>, it is recommended that Children</w:t>
      </w:r>
      <w:r>
        <w:rPr>
          <w:spacing w:val="1"/>
        </w:rPr>
        <w:t> </w:t>
      </w:r>
      <w:r>
        <w:rPr/>
        <w:t>with</w:t>
      </w:r>
      <w:r>
        <w:rPr>
          <w:spacing w:val="5"/>
        </w:rPr>
        <w:t> </w:t>
      </w:r>
      <w:r>
        <w:rPr/>
        <w:t>SCA</w:t>
      </w:r>
      <w:r>
        <w:rPr>
          <w:spacing w:val="10"/>
        </w:rPr>
        <w:t> </w:t>
      </w:r>
      <w:r>
        <w:rPr/>
        <w:t>are</w:t>
      </w:r>
      <w:r>
        <w:rPr>
          <w:spacing w:val="9"/>
        </w:rPr>
        <w:t> </w:t>
      </w:r>
      <w:r>
        <w:rPr/>
        <w:t>given</w:t>
      </w:r>
      <w:r>
        <w:rPr>
          <w:spacing w:val="10"/>
        </w:rPr>
        <w:t> </w:t>
      </w:r>
      <w:r>
        <w:rPr/>
        <w:t>prophylactic</w:t>
      </w:r>
      <w:r>
        <w:rPr>
          <w:spacing w:val="9"/>
        </w:rPr>
        <w:t> </w:t>
      </w:r>
      <w:r>
        <w:rPr/>
        <w:t>oral</w:t>
      </w:r>
      <w:r>
        <w:rPr>
          <w:spacing w:val="2"/>
        </w:rPr>
        <w:t> </w:t>
      </w:r>
      <w:r>
        <w:rPr/>
        <w:t>penicillin</w:t>
      </w:r>
      <w:r>
        <w:rPr>
          <w:spacing w:val="14"/>
        </w:rPr>
        <w:t> </w:t>
      </w:r>
      <w:r>
        <w:rPr/>
        <w:t>beginning</w:t>
      </w:r>
      <w:r>
        <w:rPr>
          <w:spacing w:val="15"/>
        </w:rPr>
        <w:t> </w:t>
      </w:r>
      <w:r>
        <w:rPr/>
        <w:t>at</w:t>
      </w:r>
      <w:r>
        <w:rPr>
          <w:spacing w:val="15"/>
        </w:rPr>
        <w:t> </w:t>
      </w:r>
      <w:r>
        <w:rPr/>
        <w:t>3</w:t>
      </w:r>
      <w:r>
        <w:rPr>
          <w:spacing w:val="14"/>
        </w:rPr>
        <w:t> </w:t>
      </w:r>
      <w:r>
        <w:rPr/>
        <w:t>months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age</w:t>
      </w:r>
      <w:r>
        <w:rPr>
          <w:spacing w:val="14"/>
        </w:rPr>
        <w:t> </w:t>
      </w:r>
      <w:r>
        <w:rPr/>
        <w:t>and</w:t>
      </w:r>
      <w:r>
        <w:rPr>
          <w:spacing w:val="9"/>
        </w:rPr>
        <w:t> </w:t>
      </w:r>
      <w:r>
        <w:rPr/>
        <w:t>continuing</w:t>
      </w:r>
      <w:r>
        <w:rPr>
          <w:spacing w:val="10"/>
        </w:rPr>
        <w:t> </w:t>
      </w:r>
      <w:r>
        <w:rPr/>
        <w:t>to</w:t>
      </w:r>
      <w:r>
        <w:rPr>
          <w:spacing w:val="-58"/>
        </w:rPr>
        <w:t> </w:t>
      </w:r>
      <w:r>
        <w:rPr/>
        <w:t>at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age 5</w:t>
      </w:r>
      <w:r>
        <w:rPr>
          <w:spacing w:val="1"/>
        </w:rPr>
        <w:t> </w:t>
      </w:r>
      <w:r>
        <w:rPr/>
        <w:t>years (Lonergan </w:t>
      </w:r>
      <w:r>
        <w:rPr>
          <w:i/>
        </w:rPr>
        <w:t>et al</w:t>
      </w:r>
      <w:r>
        <w:rPr/>
        <w:t>., 2001). This treatment</w:t>
      </w:r>
      <w:r>
        <w:rPr>
          <w:spacing w:val="1"/>
        </w:rPr>
        <w:t> </w:t>
      </w:r>
      <w:r>
        <w:rPr/>
        <w:t>has been shown to</w:t>
      </w:r>
      <w:r>
        <w:rPr>
          <w:spacing w:val="1"/>
        </w:rPr>
        <w:t> </w:t>
      </w:r>
      <w:r>
        <w:rPr/>
        <w:t>reduce the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84%</w:t>
      </w:r>
      <w:r>
        <w:rPr>
          <w:spacing w:val="1"/>
        </w:rPr>
        <w:t> </w:t>
      </w:r>
      <w:r>
        <w:rPr/>
        <w:t>(Lonergan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pneumococcal</w:t>
      </w:r>
      <w:r>
        <w:rPr>
          <w:spacing w:val="-10"/>
        </w:rPr>
        <w:t> </w:t>
      </w:r>
      <w:r>
        <w:rPr/>
        <w:t>and </w:t>
      </w:r>
      <w:r>
        <w:rPr>
          <w:i/>
        </w:rPr>
        <w:t>H</w:t>
      </w:r>
      <w:r>
        <w:rPr>
          <w:i/>
          <w:spacing w:val="-1"/>
        </w:rPr>
        <w:t> </w:t>
      </w:r>
      <w:r>
        <w:rPr>
          <w:i/>
        </w:rPr>
        <w:t>influenzae</w:t>
      </w:r>
      <w:r>
        <w:rPr>
          <w:i/>
          <w:spacing w:val="-1"/>
        </w:rPr>
        <w:t> </w:t>
      </w:r>
      <w:r>
        <w:rPr/>
        <w:t>vaccines,</w:t>
      </w:r>
      <w:r>
        <w:rPr>
          <w:spacing w:val="1"/>
        </w:rPr>
        <w:t> </w:t>
      </w:r>
      <w:r>
        <w:rPr/>
        <w:t>beginning</w:t>
      </w:r>
      <w:r>
        <w:rPr>
          <w:spacing w:val="-1"/>
        </w:rPr>
        <w:t> </w:t>
      </w:r>
      <w:r>
        <w:rPr/>
        <w:t>between</w:t>
      </w:r>
      <w:r>
        <w:rPr>
          <w:spacing w:val="-6"/>
        </w:rPr>
        <w:t> </w:t>
      </w:r>
      <w:r>
        <w:rPr/>
        <w:t>2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5</w:t>
      </w:r>
      <w:r>
        <w:rPr>
          <w:spacing w:val="4"/>
        </w:rPr>
        <w:t> </w:t>
      </w:r>
      <w:r>
        <w:rPr/>
        <w:t>years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age</w:t>
      </w:r>
      <w:r>
        <w:rPr>
          <w:spacing w:val="-2"/>
        </w:rPr>
        <w:t> </w:t>
      </w:r>
      <w:r>
        <w:rPr/>
        <w:t>(Lane,</w:t>
      </w:r>
      <w:r>
        <w:rPr>
          <w:spacing w:val="1"/>
        </w:rPr>
        <w:t> </w:t>
      </w:r>
      <w:r>
        <w:rPr/>
        <w:t>1996).</w:t>
      </w:r>
    </w:p>
    <w:p>
      <w:pPr>
        <w:pStyle w:val="BodyText"/>
        <w:spacing w:before="200"/>
        <w:ind w:left="820"/>
        <w:jc w:val="both"/>
      </w:pPr>
      <w:r>
        <w:rPr/>
        <w:t>Nigeria’s</w:t>
      </w:r>
      <w:r>
        <w:rPr>
          <w:spacing w:val="-4"/>
        </w:rPr>
        <w:t> </w:t>
      </w:r>
      <w:r>
        <w:rPr/>
        <w:t>Immunization</w:t>
      </w:r>
      <w:r>
        <w:rPr>
          <w:spacing w:val="-7"/>
        </w:rPr>
        <w:t> </w:t>
      </w:r>
      <w:r>
        <w:rPr/>
        <w:t>Schedule</w:t>
      </w:r>
      <w:r>
        <w:rPr>
          <w:spacing w:val="2"/>
        </w:rPr>
        <w:t> </w:t>
      </w:r>
      <w:r>
        <w:rPr/>
        <w:t>is</w:t>
      </w:r>
      <w:r>
        <w:rPr>
          <w:spacing w:val="-4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</w:t>
      </w:r>
      <w:r>
        <w:rPr>
          <w:spacing w:val="-4"/>
        </w:rPr>
        <w:t> </w:t>
      </w:r>
      <w:r>
        <w:rPr/>
        <w:t>(EMDEX, 2010/11):</w:t>
      </w:r>
    </w:p>
    <w:p>
      <w:pPr>
        <w:pStyle w:val="ListParagraph"/>
        <w:numPr>
          <w:ilvl w:val="1"/>
          <w:numId w:val="21"/>
        </w:numPr>
        <w:tabs>
          <w:tab w:pos="2260" w:val="left" w:leader="none"/>
        </w:tabs>
        <w:spacing w:line="240" w:lineRule="auto" w:before="200" w:after="0"/>
        <w:ind w:left="2260" w:right="0" w:hanging="360"/>
        <w:jc w:val="left"/>
        <w:rPr>
          <w:sz w:val="24"/>
        </w:rPr>
      </w:pPr>
      <w:r>
        <w:rPr>
          <w:sz w:val="24"/>
        </w:rPr>
        <w:t>BCG</w:t>
      </w:r>
      <w:r>
        <w:rPr>
          <w:spacing w:val="-3"/>
          <w:sz w:val="24"/>
        </w:rPr>
        <w:t> </w:t>
      </w:r>
      <w:r>
        <w:rPr>
          <w:sz w:val="24"/>
        </w:rPr>
        <w:t>(Bacille</w:t>
      </w:r>
      <w:r>
        <w:rPr>
          <w:spacing w:val="-4"/>
          <w:sz w:val="24"/>
        </w:rPr>
        <w:t> </w:t>
      </w:r>
      <w:r>
        <w:rPr>
          <w:sz w:val="24"/>
        </w:rPr>
        <w:t>Calmette-Guerin)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birth</w:t>
      </w:r>
    </w:p>
    <w:p>
      <w:pPr>
        <w:pStyle w:val="ListParagraph"/>
        <w:numPr>
          <w:ilvl w:val="1"/>
          <w:numId w:val="21"/>
        </w:numPr>
        <w:tabs>
          <w:tab w:pos="2260" w:val="left" w:leader="none"/>
        </w:tabs>
        <w:spacing w:line="242" w:lineRule="auto" w:before="199" w:after="0"/>
        <w:ind w:left="2260" w:right="1433" w:hanging="360"/>
        <w:jc w:val="left"/>
        <w:rPr>
          <w:sz w:val="24"/>
        </w:rPr>
      </w:pPr>
      <w:r>
        <w:rPr>
          <w:sz w:val="24"/>
        </w:rPr>
        <w:t>DTwp</w:t>
      </w:r>
      <w:r>
        <w:rPr>
          <w:spacing w:val="32"/>
          <w:sz w:val="24"/>
        </w:rPr>
        <w:t> </w:t>
      </w:r>
      <w:r>
        <w:rPr>
          <w:sz w:val="24"/>
        </w:rPr>
        <w:t>(Diphtheria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tetanus</w:t>
      </w:r>
      <w:r>
        <w:rPr>
          <w:spacing w:val="31"/>
          <w:sz w:val="24"/>
        </w:rPr>
        <w:t> </w:t>
      </w:r>
      <w:r>
        <w:rPr>
          <w:sz w:val="24"/>
        </w:rPr>
        <w:t>toxoid</w:t>
      </w:r>
      <w:r>
        <w:rPr>
          <w:spacing w:val="32"/>
          <w:sz w:val="24"/>
        </w:rPr>
        <w:t> </w:t>
      </w:r>
      <w:r>
        <w:rPr>
          <w:sz w:val="24"/>
        </w:rPr>
        <w:t>with</w:t>
      </w:r>
      <w:r>
        <w:rPr>
          <w:spacing w:val="28"/>
          <w:sz w:val="24"/>
        </w:rPr>
        <w:t> </w:t>
      </w:r>
      <w:r>
        <w:rPr>
          <w:sz w:val="24"/>
        </w:rPr>
        <w:t>whole</w:t>
      </w:r>
      <w:r>
        <w:rPr>
          <w:spacing w:val="33"/>
          <w:sz w:val="24"/>
        </w:rPr>
        <w:t> </w:t>
      </w:r>
      <w:r>
        <w:rPr>
          <w:sz w:val="24"/>
        </w:rPr>
        <w:t>cell</w:t>
      </w:r>
      <w:r>
        <w:rPr>
          <w:spacing w:val="28"/>
          <w:sz w:val="24"/>
        </w:rPr>
        <w:t> </w:t>
      </w:r>
      <w:r>
        <w:rPr>
          <w:sz w:val="24"/>
        </w:rPr>
        <w:t>pertussis</w:t>
      </w:r>
      <w:r>
        <w:rPr>
          <w:spacing w:val="30"/>
          <w:sz w:val="24"/>
        </w:rPr>
        <w:t> </w:t>
      </w:r>
      <w:r>
        <w:rPr>
          <w:sz w:val="24"/>
        </w:rPr>
        <w:t>vaccine)</w:t>
      </w:r>
      <w:r>
        <w:rPr>
          <w:spacing w:val="39"/>
          <w:sz w:val="24"/>
        </w:rPr>
        <w:t> </w:t>
      </w:r>
      <w:r>
        <w:rPr>
          <w:sz w:val="24"/>
        </w:rPr>
        <w:t>–</w:t>
      </w:r>
      <w:r>
        <w:rPr>
          <w:spacing w:val="34"/>
          <w:sz w:val="24"/>
        </w:rPr>
        <w:t> </w:t>
      </w:r>
      <w:r>
        <w:rPr>
          <w:sz w:val="24"/>
        </w:rPr>
        <w:t>at</w:t>
      </w:r>
      <w:r>
        <w:rPr>
          <w:spacing w:val="38"/>
          <w:sz w:val="24"/>
        </w:rPr>
        <w:t> </w:t>
      </w:r>
      <w:r>
        <w:rPr>
          <w:sz w:val="24"/>
        </w:rPr>
        <w:t>6</w:t>
      </w:r>
      <w:r>
        <w:rPr>
          <w:spacing w:val="-57"/>
          <w:sz w:val="24"/>
        </w:rPr>
        <w:t> </w:t>
      </w:r>
      <w:r>
        <w:rPr>
          <w:sz w:val="24"/>
        </w:rPr>
        <w:t>weeks,</w:t>
      </w:r>
      <w:r>
        <w:rPr>
          <w:spacing w:val="3"/>
          <w:sz w:val="24"/>
        </w:rPr>
        <w:t> </w:t>
      </w:r>
      <w:r>
        <w:rPr>
          <w:sz w:val="24"/>
        </w:rPr>
        <w:t>10</w:t>
      </w:r>
      <w:r>
        <w:rPr>
          <w:spacing w:val="3"/>
          <w:sz w:val="24"/>
        </w:rPr>
        <w:t> </w:t>
      </w:r>
      <w:r>
        <w:rPr>
          <w:sz w:val="24"/>
        </w:rPr>
        <w:t>weeks,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14</w:t>
      </w:r>
      <w:r>
        <w:rPr>
          <w:spacing w:val="2"/>
          <w:sz w:val="24"/>
        </w:rPr>
        <w:t> </w:t>
      </w:r>
      <w:r>
        <w:rPr>
          <w:sz w:val="24"/>
        </w:rPr>
        <w:t>weeks</w:t>
      </w:r>
    </w:p>
    <w:p>
      <w:pPr>
        <w:pStyle w:val="ListParagraph"/>
        <w:numPr>
          <w:ilvl w:val="1"/>
          <w:numId w:val="21"/>
        </w:numPr>
        <w:tabs>
          <w:tab w:pos="2260" w:val="left" w:leader="none"/>
        </w:tabs>
        <w:spacing w:line="240" w:lineRule="auto" w:before="196" w:after="0"/>
        <w:ind w:left="2260" w:right="0" w:hanging="360"/>
        <w:jc w:val="left"/>
        <w:rPr>
          <w:sz w:val="24"/>
        </w:rPr>
      </w:pPr>
      <w:r>
        <w:rPr>
          <w:sz w:val="24"/>
        </w:rPr>
        <w:t>HepB</w:t>
      </w:r>
      <w:r>
        <w:rPr>
          <w:spacing w:val="-3"/>
          <w:sz w:val="24"/>
        </w:rPr>
        <w:t> </w:t>
      </w:r>
      <w:r>
        <w:rPr>
          <w:sz w:val="24"/>
        </w:rPr>
        <w:t>(Hepatitis</w:t>
      </w:r>
      <w:r>
        <w:rPr>
          <w:spacing w:val="-4"/>
          <w:sz w:val="24"/>
        </w:rPr>
        <w:t> </w:t>
      </w:r>
      <w:r>
        <w:rPr>
          <w:sz w:val="24"/>
        </w:rPr>
        <w:t>B</w:t>
      </w:r>
      <w:r>
        <w:rPr>
          <w:spacing w:val="2"/>
          <w:sz w:val="24"/>
        </w:rPr>
        <w:t> </w:t>
      </w:r>
      <w:r>
        <w:rPr>
          <w:sz w:val="24"/>
        </w:rPr>
        <w:t>vaccine) –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birth,</w:t>
      </w:r>
      <w:r>
        <w:rPr>
          <w:spacing w:val="1"/>
          <w:sz w:val="24"/>
        </w:rPr>
        <w:t> </w:t>
      </w:r>
      <w:r>
        <w:rPr>
          <w:sz w:val="24"/>
        </w:rPr>
        <w:t>10</w:t>
      </w:r>
      <w:r>
        <w:rPr>
          <w:spacing w:val="-2"/>
          <w:sz w:val="24"/>
        </w:rPr>
        <w:t> </w:t>
      </w:r>
      <w:r>
        <w:rPr>
          <w:sz w:val="24"/>
        </w:rPr>
        <w:t>weeks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16</w:t>
      </w:r>
      <w:r>
        <w:rPr>
          <w:spacing w:val="-2"/>
          <w:sz w:val="24"/>
        </w:rPr>
        <w:t> </w:t>
      </w:r>
      <w:r>
        <w:rPr>
          <w:sz w:val="24"/>
        </w:rPr>
        <w:t>weeks.</w:t>
      </w:r>
    </w:p>
    <w:p>
      <w:pPr>
        <w:pStyle w:val="ListParagraph"/>
        <w:numPr>
          <w:ilvl w:val="1"/>
          <w:numId w:val="21"/>
        </w:numPr>
        <w:tabs>
          <w:tab w:pos="2260" w:val="left" w:leader="none"/>
        </w:tabs>
        <w:spacing w:line="237" w:lineRule="auto" w:before="201" w:after="0"/>
        <w:ind w:left="2260" w:right="1439" w:hanging="360"/>
        <w:jc w:val="left"/>
        <w:rPr>
          <w:sz w:val="24"/>
        </w:rPr>
      </w:pPr>
      <w:r>
        <w:rPr>
          <w:sz w:val="24"/>
        </w:rPr>
        <w:t>MenAC</w:t>
      </w:r>
      <w:r>
        <w:rPr>
          <w:spacing w:val="46"/>
          <w:sz w:val="24"/>
        </w:rPr>
        <w:t> </w:t>
      </w:r>
      <w:r>
        <w:rPr>
          <w:sz w:val="24"/>
        </w:rPr>
        <w:t>or</w:t>
      </w:r>
      <w:r>
        <w:rPr>
          <w:spacing w:val="48"/>
          <w:sz w:val="24"/>
        </w:rPr>
        <w:t> </w:t>
      </w:r>
      <w:r>
        <w:rPr>
          <w:sz w:val="24"/>
        </w:rPr>
        <w:t>MenACWY</w:t>
      </w:r>
      <w:r>
        <w:rPr>
          <w:spacing w:val="48"/>
          <w:sz w:val="24"/>
        </w:rPr>
        <w:t> </w:t>
      </w:r>
      <w:r>
        <w:rPr>
          <w:sz w:val="24"/>
        </w:rPr>
        <w:t>(Meningococcal</w:t>
      </w:r>
      <w:r>
        <w:rPr>
          <w:spacing w:val="44"/>
          <w:sz w:val="24"/>
        </w:rPr>
        <w:t> </w:t>
      </w:r>
      <w:r>
        <w:rPr>
          <w:sz w:val="24"/>
        </w:rPr>
        <w:t>AC</w:t>
      </w:r>
      <w:r>
        <w:rPr>
          <w:spacing w:val="46"/>
          <w:sz w:val="24"/>
        </w:rPr>
        <w:t> </w:t>
      </w:r>
      <w:r>
        <w:rPr>
          <w:sz w:val="24"/>
        </w:rPr>
        <w:t>or</w:t>
      </w:r>
      <w:r>
        <w:rPr>
          <w:spacing w:val="45"/>
          <w:sz w:val="24"/>
        </w:rPr>
        <w:t> </w:t>
      </w:r>
      <w:r>
        <w:rPr>
          <w:sz w:val="24"/>
        </w:rPr>
        <w:t>Meningococcal</w:t>
      </w:r>
      <w:r>
        <w:rPr>
          <w:spacing w:val="43"/>
          <w:sz w:val="24"/>
        </w:rPr>
        <w:t> </w:t>
      </w:r>
      <w:r>
        <w:rPr>
          <w:sz w:val="24"/>
        </w:rPr>
        <w:t>ACWY)</w:t>
      </w:r>
      <w:r>
        <w:rPr>
          <w:spacing w:val="53"/>
          <w:sz w:val="24"/>
        </w:rPr>
        <w:t> </w:t>
      </w:r>
      <w:r>
        <w:rPr>
          <w:sz w:val="24"/>
        </w:rPr>
        <w:t>–</w:t>
      </w:r>
      <w:r>
        <w:rPr>
          <w:spacing w:val="52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special</w:t>
      </w:r>
      <w:r>
        <w:rPr>
          <w:spacing w:val="-8"/>
          <w:sz w:val="24"/>
        </w:rPr>
        <w:t> </w:t>
      </w:r>
      <w:r>
        <w:rPr>
          <w:sz w:val="24"/>
        </w:rPr>
        <w:t>groups e.g. Pilgrims.</w:t>
      </w:r>
    </w:p>
    <w:p>
      <w:pPr>
        <w:pStyle w:val="ListParagraph"/>
        <w:numPr>
          <w:ilvl w:val="1"/>
          <w:numId w:val="21"/>
        </w:numPr>
        <w:tabs>
          <w:tab w:pos="2260" w:val="left" w:leader="none"/>
        </w:tabs>
        <w:spacing w:line="240" w:lineRule="auto" w:before="205" w:after="0"/>
        <w:ind w:left="2260" w:right="0" w:hanging="360"/>
        <w:jc w:val="left"/>
        <w:rPr>
          <w:sz w:val="24"/>
        </w:rPr>
      </w:pPr>
      <w:r>
        <w:rPr>
          <w:sz w:val="24"/>
        </w:rPr>
        <w:t>OPV</w:t>
      </w:r>
      <w:r>
        <w:rPr>
          <w:spacing w:val="-3"/>
          <w:sz w:val="24"/>
        </w:rPr>
        <w:t> </w:t>
      </w:r>
      <w:r>
        <w:rPr>
          <w:sz w:val="24"/>
        </w:rPr>
        <w:t>(Oral</w:t>
      </w:r>
      <w:r>
        <w:rPr>
          <w:spacing w:val="-11"/>
          <w:sz w:val="24"/>
        </w:rPr>
        <w:t> </w:t>
      </w:r>
      <w:r>
        <w:rPr>
          <w:sz w:val="24"/>
        </w:rPr>
        <w:t>polio</w:t>
      </w:r>
      <w:r>
        <w:rPr>
          <w:spacing w:val="5"/>
          <w:sz w:val="24"/>
        </w:rPr>
        <w:t> </w:t>
      </w:r>
      <w:r>
        <w:rPr>
          <w:sz w:val="24"/>
        </w:rPr>
        <w:t>vaccine) –</w:t>
      </w:r>
      <w:r>
        <w:rPr>
          <w:spacing w:val="-3"/>
          <w:sz w:val="24"/>
        </w:rPr>
        <w:t> </w:t>
      </w:r>
      <w:r>
        <w:rPr>
          <w:sz w:val="24"/>
        </w:rPr>
        <w:t>at</w:t>
      </w:r>
      <w:r>
        <w:rPr>
          <w:spacing w:val="2"/>
          <w:sz w:val="24"/>
        </w:rPr>
        <w:t> </w:t>
      </w:r>
      <w:r>
        <w:rPr>
          <w:sz w:val="24"/>
        </w:rPr>
        <w:t>birth,</w:t>
      </w:r>
      <w:r>
        <w:rPr>
          <w:spacing w:val="-1"/>
          <w:sz w:val="24"/>
        </w:rPr>
        <w:t> </w:t>
      </w:r>
      <w:r>
        <w:rPr>
          <w:sz w:val="24"/>
        </w:rPr>
        <w:t>6</w:t>
      </w:r>
      <w:r>
        <w:rPr>
          <w:spacing w:val="-3"/>
          <w:sz w:val="24"/>
        </w:rPr>
        <w:t> </w:t>
      </w:r>
      <w:r>
        <w:rPr>
          <w:sz w:val="24"/>
        </w:rPr>
        <w:t>weeks,</w:t>
      </w:r>
      <w:r>
        <w:rPr>
          <w:spacing w:val="-1"/>
          <w:sz w:val="24"/>
        </w:rPr>
        <w:t> </w:t>
      </w:r>
      <w:r>
        <w:rPr>
          <w:sz w:val="24"/>
        </w:rPr>
        <w:t>10</w:t>
      </w:r>
      <w:r>
        <w:rPr>
          <w:spacing w:val="-3"/>
          <w:sz w:val="24"/>
        </w:rPr>
        <w:t> </w:t>
      </w:r>
      <w:r>
        <w:rPr>
          <w:sz w:val="24"/>
        </w:rPr>
        <w:t>weeks,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16</w:t>
      </w:r>
      <w:r>
        <w:rPr>
          <w:spacing w:val="-3"/>
          <w:sz w:val="24"/>
        </w:rPr>
        <w:t> </w:t>
      </w:r>
      <w:r>
        <w:rPr>
          <w:sz w:val="24"/>
        </w:rPr>
        <w:t>weeks.</w:t>
      </w:r>
    </w:p>
    <w:p>
      <w:pPr>
        <w:pStyle w:val="ListParagraph"/>
        <w:numPr>
          <w:ilvl w:val="1"/>
          <w:numId w:val="21"/>
        </w:numPr>
        <w:tabs>
          <w:tab w:pos="2259" w:val="left" w:leader="none"/>
          <w:tab w:pos="2260" w:val="left" w:leader="none"/>
        </w:tabs>
        <w:spacing w:line="240" w:lineRule="auto" w:before="199" w:after="0"/>
        <w:ind w:left="2260" w:right="0" w:hanging="360"/>
        <w:jc w:val="left"/>
        <w:rPr>
          <w:sz w:val="24"/>
        </w:rPr>
      </w:pPr>
      <w:r>
        <w:rPr>
          <w:sz w:val="24"/>
        </w:rPr>
        <w:t>Pneumo_ps</w:t>
      </w:r>
      <w:r>
        <w:rPr>
          <w:spacing w:val="-3"/>
          <w:sz w:val="24"/>
        </w:rPr>
        <w:t> </w:t>
      </w:r>
      <w:r>
        <w:rPr>
          <w:sz w:val="24"/>
        </w:rPr>
        <w:t>(Pneumococcal</w:t>
      </w:r>
      <w:r>
        <w:rPr>
          <w:spacing w:val="-11"/>
          <w:sz w:val="24"/>
        </w:rPr>
        <w:t> </w:t>
      </w:r>
      <w:r>
        <w:rPr>
          <w:sz w:val="24"/>
        </w:rPr>
        <w:t>polysaccharide</w:t>
      </w:r>
      <w:r>
        <w:rPr>
          <w:spacing w:val="2"/>
          <w:sz w:val="24"/>
        </w:rPr>
        <w:t> </w:t>
      </w:r>
      <w:r>
        <w:rPr>
          <w:sz w:val="24"/>
        </w:rPr>
        <w:t>vaccine)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special</w:t>
      </w:r>
      <w:r>
        <w:rPr>
          <w:spacing w:val="-10"/>
          <w:sz w:val="24"/>
        </w:rPr>
        <w:t> </w:t>
      </w:r>
      <w:r>
        <w:rPr>
          <w:sz w:val="24"/>
        </w:rPr>
        <w:t>groups</w:t>
      </w:r>
    </w:p>
    <w:p>
      <w:pPr>
        <w:pStyle w:val="ListParagraph"/>
        <w:numPr>
          <w:ilvl w:val="1"/>
          <w:numId w:val="21"/>
        </w:numPr>
        <w:tabs>
          <w:tab w:pos="2260" w:val="left" w:leader="none"/>
        </w:tabs>
        <w:spacing w:line="240" w:lineRule="auto" w:before="200" w:after="0"/>
        <w:ind w:left="2260" w:right="0" w:hanging="360"/>
        <w:jc w:val="left"/>
        <w:rPr>
          <w:sz w:val="24"/>
        </w:rPr>
      </w:pPr>
      <w:r>
        <w:rPr>
          <w:sz w:val="24"/>
        </w:rPr>
        <w:t>Vitamin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9</w:t>
      </w:r>
      <w:r>
        <w:rPr>
          <w:spacing w:val="2"/>
          <w:sz w:val="24"/>
        </w:rPr>
        <w:t> </w:t>
      </w:r>
      <w:r>
        <w:rPr>
          <w:sz w:val="24"/>
        </w:rPr>
        <w:t>months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15</w:t>
      </w:r>
      <w:r>
        <w:rPr>
          <w:spacing w:val="2"/>
          <w:sz w:val="24"/>
        </w:rPr>
        <w:t> </w:t>
      </w:r>
      <w:r>
        <w:rPr>
          <w:sz w:val="24"/>
        </w:rPr>
        <w:t>months.</w:t>
      </w:r>
    </w:p>
    <w:p>
      <w:pPr>
        <w:pStyle w:val="ListParagraph"/>
        <w:numPr>
          <w:ilvl w:val="1"/>
          <w:numId w:val="21"/>
        </w:numPr>
        <w:tabs>
          <w:tab w:pos="2260" w:val="left" w:leader="none"/>
        </w:tabs>
        <w:spacing w:line="240" w:lineRule="auto" w:before="199" w:after="0"/>
        <w:ind w:left="2260" w:right="0" w:hanging="360"/>
        <w:jc w:val="left"/>
        <w:rPr>
          <w:sz w:val="24"/>
        </w:rPr>
      </w:pPr>
      <w:r>
        <w:rPr>
          <w:sz w:val="24"/>
        </w:rPr>
        <w:t>Yellow fever</w:t>
      </w:r>
      <w:r>
        <w:rPr>
          <w:spacing w:val="-4"/>
          <w:sz w:val="24"/>
        </w:rPr>
        <w:t> </w:t>
      </w:r>
      <w:r>
        <w:rPr>
          <w:sz w:val="24"/>
        </w:rPr>
        <w:t>vaccine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9 months.</w:t>
      </w:r>
    </w:p>
    <w:p>
      <w:pPr>
        <w:pStyle w:val="Heading1"/>
        <w:numPr>
          <w:ilvl w:val="0"/>
          <w:numId w:val="21"/>
        </w:numPr>
        <w:tabs>
          <w:tab w:pos="1540" w:val="left" w:leader="none"/>
        </w:tabs>
        <w:spacing w:line="240" w:lineRule="auto" w:before="199" w:after="0"/>
        <w:ind w:left="1540" w:right="0" w:hanging="360"/>
        <w:jc w:val="left"/>
      </w:pPr>
      <w:r>
        <w:rPr/>
        <w:t>Induction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foetal</w:t>
      </w:r>
      <w:r>
        <w:rPr>
          <w:spacing w:val="-5"/>
        </w:rPr>
        <w:t> </w:t>
      </w:r>
      <w:r>
        <w:rPr/>
        <w:t>haemoglobin (HbF)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35"/>
        <w:jc w:val="both"/>
      </w:pPr>
      <w:r>
        <w:rPr/>
        <w:t>A large number of epidemiological, clinical, and laboratory observations have converged to</w:t>
      </w:r>
      <w:r>
        <w:rPr>
          <w:spacing w:val="1"/>
        </w:rPr>
        <w:t> </w:t>
      </w:r>
      <w:r>
        <w:rPr/>
        <w:t>support the notion that HbF administration can ameliorate the clinical severity of SCD (Frenette</w:t>
      </w:r>
      <w:r>
        <w:rPr>
          <w:spacing w:val="1"/>
        </w:rPr>
        <w:t> </w:t>
      </w:r>
      <w:r>
        <w:rPr/>
        <w:t>and George 2007). In a study in the United States by Platt</w:t>
      </w:r>
      <w:r>
        <w:rPr>
          <w:spacing w:val="60"/>
        </w:rPr>
        <w:t> </w:t>
      </w:r>
      <w:r>
        <w:rPr>
          <w:i/>
        </w:rPr>
        <w:t>et al</w:t>
      </w:r>
      <w:r>
        <w:rPr/>
        <w:t>., (1994), the Cooperative Study</w:t>
      </w:r>
      <w:r>
        <w:rPr>
          <w:spacing w:val="1"/>
        </w:rPr>
        <w:t> </w:t>
      </w:r>
      <w:r>
        <w:rPr/>
        <w:t>of Sickle Cell Disease (CSSCD) identified HbF as a prognostic factor for several sickle cell</w:t>
      </w:r>
      <w:r>
        <w:rPr>
          <w:spacing w:val="1"/>
        </w:rPr>
        <w:t> </w:t>
      </w:r>
      <w:r>
        <w:rPr/>
        <w:t>complications, including painful events, acute chest syndrome, and death. Also, Serjeant and</w:t>
      </w:r>
      <w:r>
        <w:rPr>
          <w:spacing w:val="1"/>
        </w:rPr>
        <w:t> </w:t>
      </w:r>
      <w:r>
        <w:rPr/>
        <w:t>Serjeant (2001) noted that patients with SCD from the eastern provinces of Saudi Arabia and</w:t>
      </w:r>
      <w:r>
        <w:rPr>
          <w:spacing w:val="1"/>
        </w:rPr>
        <w:t> </w:t>
      </w:r>
      <w:r>
        <w:rPr/>
        <w:t>from</w:t>
      </w:r>
      <w:r>
        <w:rPr>
          <w:spacing w:val="38"/>
        </w:rPr>
        <w:t> </w:t>
      </w:r>
      <w:r>
        <w:rPr/>
        <w:t>India</w:t>
      </w:r>
      <w:r>
        <w:rPr>
          <w:spacing w:val="47"/>
        </w:rPr>
        <w:t> </w:t>
      </w:r>
      <w:r>
        <w:rPr/>
        <w:t>typically</w:t>
      </w:r>
      <w:r>
        <w:rPr>
          <w:spacing w:val="43"/>
        </w:rPr>
        <w:t> </w:t>
      </w:r>
      <w:r>
        <w:rPr/>
        <w:t>have</w:t>
      </w:r>
      <w:r>
        <w:rPr>
          <w:spacing w:val="47"/>
        </w:rPr>
        <w:t> </w:t>
      </w:r>
      <w:r>
        <w:rPr/>
        <w:t>a</w:t>
      </w:r>
      <w:r>
        <w:rPr>
          <w:spacing w:val="47"/>
        </w:rPr>
        <w:t> </w:t>
      </w:r>
      <w:r>
        <w:rPr/>
        <w:t>very</w:t>
      </w:r>
      <w:r>
        <w:rPr>
          <w:spacing w:val="43"/>
        </w:rPr>
        <w:t> </w:t>
      </w:r>
      <w:r>
        <w:rPr/>
        <w:t>mild</w:t>
      </w:r>
      <w:r>
        <w:rPr>
          <w:spacing w:val="47"/>
        </w:rPr>
        <w:t> </w:t>
      </w:r>
      <w:r>
        <w:rPr/>
        <w:t>sickling</w:t>
      </w:r>
      <w:r>
        <w:rPr>
          <w:spacing w:val="48"/>
        </w:rPr>
        <w:t> </w:t>
      </w:r>
      <w:r>
        <w:rPr/>
        <w:t>disorder</w:t>
      </w:r>
      <w:r>
        <w:rPr>
          <w:spacing w:val="45"/>
        </w:rPr>
        <w:t> </w:t>
      </w:r>
      <w:r>
        <w:rPr/>
        <w:t>associated</w:t>
      </w:r>
      <w:r>
        <w:rPr>
          <w:spacing w:val="43"/>
        </w:rPr>
        <w:t> </w:t>
      </w:r>
      <w:r>
        <w:rPr/>
        <w:t>with</w:t>
      </w:r>
      <w:r>
        <w:rPr>
          <w:spacing w:val="43"/>
        </w:rPr>
        <w:t> </w:t>
      </w:r>
      <w:r>
        <w:rPr/>
        <w:t>high</w:t>
      </w:r>
      <w:r>
        <w:rPr>
          <w:spacing w:val="43"/>
        </w:rPr>
        <w:t> </w:t>
      </w:r>
      <w:r>
        <w:rPr/>
        <w:t>levels</w:t>
      </w:r>
      <w:r>
        <w:rPr>
          <w:spacing w:val="41"/>
        </w:rPr>
        <w:t> </w:t>
      </w:r>
      <w:r>
        <w:rPr/>
        <w:t>of</w:t>
      </w:r>
      <w:r>
        <w:rPr>
          <w:spacing w:val="35"/>
        </w:rPr>
        <w:t> </w:t>
      </w:r>
      <w:r>
        <w:rPr/>
        <w:t>HbF.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60" w:lineRule="auto" w:before="72"/>
        <w:ind w:left="820" w:right="1438"/>
        <w:jc w:val="both"/>
      </w:pPr>
      <w:r>
        <w:rPr/>
        <w:t>Furthermore, elegant laboratory studies conducted many years earlier demonstrated that HbF</w:t>
      </w:r>
      <w:r>
        <w:rPr>
          <w:spacing w:val="1"/>
        </w:rPr>
        <w:t> </w:t>
      </w:r>
      <w:r>
        <w:rPr/>
        <w:t>interferes with the polymerization of deoxygenated HbS </w:t>
      </w:r>
      <w:r>
        <w:rPr>
          <w:i/>
        </w:rPr>
        <w:t>in vitro </w:t>
      </w:r>
      <w:r>
        <w:rPr/>
        <w:t>(Frenette and George 2007).</w:t>
      </w:r>
      <w:r>
        <w:rPr>
          <w:spacing w:val="1"/>
        </w:rPr>
        <w:t> </w:t>
      </w:r>
      <w:r>
        <w:rPr/>
        <w:t>This was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by Gladwin and</w:t>
      </w:r>
      <w:r>
        <w:rPr>
          <w:spacing w:val="1"/>
        </w:rPr>
        <w:t> </w:t>
      </w:r>
      <w:r>
        <w:rPr/>
        <w:t>Vinchinsky (2008)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stated that,</w:t>
      </w:r>
      <w:r>
        <w:rPr>
          <w:spacing w:val="1"/>
        </w:rPr>
        <w:t> </w:t>
      </w:r>
      <w:r>
        <w:rPr/>
        <w:t>presence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foetal haemoglobin in the erythrocyte reduces the concentration of haemoglobin S and thereby</w:t>
      </w:r>
      <w:r>
        <w:rPr>
          <w:spacing w:val="1"/>
        </w:rPr>
        <w:t> </w:t>
      </w:r>
      <w:r>
        <w:rPr/>
        <w:t>inhibits</w:t>
      </w:r>
      <w:r>
        <w:rPr>
          <w:spacing w:val="4"/>
        </w:rPr>
        <w:t> </w:t>
      </w:r>
      <w:r>
        <w:rPr/>
        <w:t>its polymerization.</w:t>
      </w:r>
    </w:p>
    <w:p>
      <w:pPr>
        <w:pStyle w:val="Heading1"/>
        <w:numPr>
          <w:ilvl w:val="0"/>
          <w:numId w:val="23"/>
        </w:numPr>
        <w:tabs>
          <w:tab w:pos="1900" w:val="left" w:leader="none"/>
        </w:tabs>
        <w:spacing w:line="240" w:lineRule="auto" w:before="200" w:after="0"/>
        <w:ind w:left="1900" w:right="0" w:hanging="360"/>
        <w:jc w:val="both"/>
      </w:pPr>
      <w:r>
        <w:rPr/>
        <w:t>5-Azacytidine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38"/>
        <w:jc w:val="both"/>
      </w:pPr>
      <w:r>
        <w:rPr/>
        <w:t>5-Azacytidine was the first agent to be used to induce HbF expression via epigenetic silencing of</w:t>
      </w:r>
      <w:r>
        <w:rPr>
          <w:spacing w:val="-57"/>
        </w:rPr>
        <w:t> </w:t>
      </w:r>
      <w:r>
        <w:rPr/>
        <w:t>the γ-globin genes in adult life. 5-Azacytidine was shown to induce very high levels of HbF in</w:t>
      </w:r>
      <w:r>
        <w:rPr>
          <w:spacing w:val="1"/>
        </w:rPr>
        <w:t> </w:t>
      </w:r>
      <w:r>
        <w:rPr/>
        <w:t>anaemic</w:t>
      </w:r>
      <w:r>
        <w:rPr>
          <w:spacing w:val="1"/>
        </w:rPr>
        <w:t> </w:t>
      </w:r>
      <w:r>
        <w:rPr/>
        <w:t>baboons. Its ability to stimulate HbF production was also demonstrated in a small</w:t>
      </w:r>
      <w:r>
        <w:rPr>
          <w:spacing w:val="1"/>
        </w:rPr>
        <w:t> </w:t>
      </w:r>
      <w:r>
        <w:rPr/>
        <w:t>number of patients with SCD and β-thalassemia.</w:t>
      </w:r>
      <w:r>
        <w:rPr>
          <w:spacing w:val="60"/>
        </w:rPr>
        <w:t> </w:t>
      </w:r>
      <w:r>
        <w:rPr/>
        <w:t>In spite of these promising results, this drug</w:t>
      </w:r>
      <w:r>
        <w:rPr>
          <w:spacing w:val="1"/>
        </w:rPr>
        <w:t> </w:t>
      </w:r>
      <w:r>
        <w:rPr/>
        <w:t>was never tested in large-scale clinical trials because of concerns about potential carcinogenicity</w:t>
      </w:r>
      <w:r>
        <w:rPr>
          <w:spacing w:val="1"/>
        </w:rPr>
        <w:t> </w:t>
      </w:r>
      <w:r>
        <w:rPr/>
        <w:t>(Frenette and</w:t>
      </w:r>
      <w:r>
        <w:rPr>
          <w:spacing w:val="2"/>
        </w:rPr>
        <w:t> </w:t>
      </w:r>
      <w:r>
        <w:rPr/>
        <w:t>George</w:t>
      </w:r>
      <w:r>
        <w:rPr>
          <w:spacing w:val="-4"/>
        </w:rPr>
        <w:t> </w:t>
      </w:r>
      <w:r>
        <w:rPr/>
        <w:t>2007).</w:t>
      </w:r>
    </w:p>
    <w:p>
      <w:pPr>
        <w:pStyle w:val="Heading1"/>
        <w:numPr>
          <w:ilvl w:val="0"/>
          <w:numId w:val="23"/>
        </w:numPr>
        <w:tabs>
          <w:tab w:pos="1900" w:val="left" w:leader="none"/>
        </w:tabs>
        <w:spacing w:line="240" w:lineRule="auto" w:before="200" w:after="0"/>
        <w:ind w:left="1900" w:right="0" w:hanging="360"/>
        <w:jc w:val="both"/>
      </w:pPr>
      <w:r>
        <w:rPr/>
        <w:t>Hydroxyurea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 w:before="1"/>
        <w:ind w:left="820" w:right="1437"/>
        <w:jc w:val="both"/>
      </w:pPr>
      <w:r>
        <w:rPr/>
        <w:t>Hydroxyurea was first synthesized in 1869</w:t>
      </w:r>
      <w:r>
        <w:rPr>
          <w:spacing w:val="1"/>
        </w:rPr>
        <w:t> </w:t>
      </w:r>
      <w:r>
        <w:rPr/>
        <w:t>in Germany by Dressler</w:t>
      </w:r>
      <w:r>
        <w:rPr>
          <w:spacing w:val="60"/>
        </w:rPr>
        <w:t> </w:t>
      </w:r>
      <w:r>
        <w:rPr/>
        <w:t>and Stein (Segal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2008). Hydroxyurea is an S phase–specific chemotherapeutic agent (Letvin </w:t>
      </w:r>
      <w:r>
        <w:rPr>
          <w:i/>
        </w:rPr>
        <w:t>et al.</w:t>
      </w:r>
      <w:r>
        <w:rPr/>
        <w:t>, 1984). It was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approved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(FDA)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1967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neoplastic diseases (Segal </w:t>
      </w:r>
      <w:r>
        <w:rPr>
          <w:i/>
        </w:rPr>
        <w:t>et al</w:t>
      </w:r>
      <w:r>
        <w:rPr/>
        <w:t>., 2008). It was shown to result in a marked increase in HbF levels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baboons</w:t>
      </w:r>
      <w:r>
        <w:rPr>
          <w:spacing w:val="1"/>
        </w:rPr>
        <w:t> </w:t>
      </w:r>
      <w:r>
        <w:rPr/>
        <w:t>(Letvin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1984),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severity of SCD</w:t>
      </w:r>
      <w:r>
        <w:rPr>
          <w:spacing w:val="1"/>
        </w:rPr>
        <w:t> </w:t>
      </w:r>
      <w:r>
        <w:rPr/>
        <w:t>by preventing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formation of haemoglobin S polymers (Steinberg, 1999). In February 1998, hydroxyurea was</w:t>
      </w:r>
      <w:r>
        <w:rPr>
          <w:spacing w:val="1"/>
        </w:rPr>
        <w:t> </w:t>
      </w:r>
      <w:r>
        <w:rPr/>
        <w:t>approved by the (FDA) for use in adults with SCD in America (Segal </w:t>
      </w:r>
      <w:r>
        <w:rPr>
          <w:i/>
        </w:rPr>
        <w:t>et al</w:t>
      </w:r>
      <w:r>
        <w:rPr/>
        <w:t>., 2008). In 2002, the</w:t>
      </w:r>
      <w:r>
        <w:rPr>
          <w:spacing w:val="1"/>
        </w:rPr>
        <w:t> </w:t>
      </w:r>
      <w:r>
        <w:rPr/>
        <w:t>National Heart Lung and Blood Institute issued a recommendation that practitioners should</w:t>
      </w:r>
      <w:r>
        <w:rPr>
          <w:spacing w:val="1"/>
        </w:rPr>
        <w:t> </w:t>
      </w:r>
      <w:r>
        <w:rPr/>
        <w:t>consider</w:t>
      </w:r>
      <w:r>
        <w:rPr>
          <w:spacing w:val="1"/>
        </w:rPr>
        <w:t> </w:t>
      </w:r>
      <w:r>
        <w:rPr/>
        <w:t>using</w:t>
      </w:r>
      <w:r>
        <w:rPr>
          <w:spacing w:val="6"/>
        </w:rPr>
        <w:t> </w:t>
      </w:r>
      <w:r>
        <w:rPr/>
        <w:t>hydroxyurea daily</w:t>
      </w:r>
      <w:r>
        <w:rPr>
          <w:spacing w:val="-5"/>
        </w:rPr>
        <w:t> </w:t>
      </w:r>
      <w:r>
        <w:rPr/>
        <w:t>in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with</w:t>
      </w:r>
      <w:r>
        <w:rPr>
          <w:spacing w:val="-4"/>
        </w:rPr>
        <w:t> </w:t>
      </w:r>
      <w:r>
        <w:rPr/>
        <w:t>SCD (Segal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2008).</w:t>
      </w:r>
    </w:p>
    <w:p>
      <w:pPr>
        <w:pStyle w:val="Heading1"/>
        <w:spacing w:before="200"/>
      </w:pPr>
      <w:r>
        <w:rPr/>
        <w:t>Mechanism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Action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37"/>
        <w:jc w:val="both"/>
      </w:pPr>
      <w:r>
        <w:rPr/>
        <w:t>The precise mechanism by which hydroxyurea produces its varied effects is unknown (Segal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2008);</w:t>
      </w:r>
      <w:r>
        <w:rPr>
          <w:spacing w:val="1"/>
        </w:rPr>
        <w:t> </w:t>
      </w:r>
      <w:r>
        <w:rPr/>
        <w:t>Hydroxyurea</w:t>
      </w:r>
      <w:r>
        <w:rPr>
          <w:spacing w:val="1"/>
        </w:rPr>
        <w:t> </w:t>
      </w:r>
      <w:r>
        <w:rPr/>
        <w:t>inhibits</w:t>
      </w:r>
      <w:r>
        <w:rPr>
          <w:spacing w:val="1"/>
        </w:rPr>
        <w:t> </w:t>
      </w:r>
      <w:r>
        <w:rPr/>
        <w:t>ribonucleotide</w:t>
      </w:r>
      <w:r>
        <w:rPr>
          <w:spacing w:val="1"/>
        </w:rPr>
        <w:t> </w:t>
      </w:r>
      <w:r>
        <w:rPr/>
        <w:t>reductase</w:t>
      </w:r>
      <w:r>
        <w:rPr>
          <w:spacing w:val="1"/>
        </w:rPr>
        <w:t> </w:t>
      </w:r>
      <w:r>
        <w:rPr/>
        <w:t>(Steinberg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originally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hydroxyurea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elevate</w:t>
      </w:r>
      <w:r>
        <w:rPr>
          <w:spacing w:val="1"/>
        </w:rPr>
        <w:t> </w:t>
      </w:r>
      <w:r>
        <w:rPr/>
        <w:t>HbF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accelerating</w:t>
      </w:r>
      <w:r>
        <w:rPr>
          <w:spacing w:val="1"/>
        </w:rPr>
        <w:t> </w:t>
      </w:r>
      <w:r>
        <w:rPr/>
        <w:t>erythroid</w:t>
      </w:r>
      <w:r>
        <w:rPr>
          <w:spacing w:val="1"/>
        </w:rPr>
        <w:t> </w:t>
      </w:r>
      <w:r>
        <w:rPr/>
        <w:t>differentiation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bone</w:t>
      </w:r>
      <w:r>
        <w:rPr>
          <w:spacing w:val="1"/>
        </w:rPr>
        <w:t> </w:t>
      </w:r>
      <w:r>
        <w:rPr/>
        <w:t>marrow,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appearance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“foetal-like”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peripheral</w:t>
      </w:r>
      <w:r>
        <w:rPr>
          <w:spacing w:val="10"/>
        </w:rPr>
        <w:t> </w:t>
      </w:r>
      <w:r>
        <w:rPr/>
        <w:t>blood.</w:t>
      </w:r>
      <w:r>
        <w:rPr>
          <w:spacing w:val="11"/>
        </w:rPr>
        <w:t> </w:t>
      </w:r>
      <w:r>
        <w:rPr/>
        <w:t>HbF</w:t>
      </w:r>
      <w:r>
        <w:rPr>
          <w:spacing w:val="11"/>
        </w:rPr>
        <w:t> </w:t>
      </w:r>
      <w:r>
        <w:rPr/>
        <w:t>has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/>
        <w:t>higher</w:t>
      </w:r>
      <w:r>
        <w:rPr>
          <w:spacing w:val="16"/>
        </w:rPr>
        <w:t> </w:t>
      </w:r>
      <w:r>
        <w:rPr/>
        <w:t>affinity</w:t>
      </w:r>
      <w:r>
        <w:rPr>
          <w:spacing w:val="10"/>
        </w:rPr>
        <w:t> </w:t>
      </w:r>
      <w:r>
        <w:rPr/>
        <w:t>for</w:t>
      </w:r>
      <w:r>
        <w:rPr>
          <w:spacing w:val="11"/>
        </w:rPr>
        <w:t> </w:t>
      </w:r>
      <w:r>
        <w:rPr/>
        <w:t>oxygen</w:t>
      </w:r>
      <w:r>
        <w:rPr>
          <w:spacing w:val="9"/>
        </w:rPr>
        <w:t> </w:t>
      </w:r>
      <w:r>
        <w:rPr/>
        <w:t>than</w:t>
      </w:r>
      <w:r>
        <w:rPr>
          <w:spacing w:val="5"/>
        </w:rPr>
        <w:t> </w:t>
      </w:r>
      <w:r>
        <w:rPr/>
        <w:t>HbS,</w:t>
      </w:r>
      <w:r>
        <w:rPr>
          <w:spacing w:val="12"/>
        </w:rPr>
        <w:t> </w:t>
      </w:r>
      <w:r>
        <w:rPr/>
        <w:t>thus,</w:t>
      </w:r>
      <w:r>
        <w:rPr>
          <w:spacing w:val="17"/>
        </w:rPr>
        <w:t> </w:t>
      </w:r>
      <w:r>
        <w:rPr/>
        <w:t>in</w:t>
      </w:r>
      <w:r>
        <w:rPr>
          <w:spacing w:val="9"/>
        </w:rPr>
        <w:t> </w:t>
      </w:r>
      <w:r>
        <w:rPr/>
        <w:t>this</w:t>
      </w:r>
      <w:r>
        <w:rPr>
          <w:spacing w:val="12"/>
        </w:rPr>
        <w:t> </w:t>
      </w:r>
      <w:r>
        <w:rPr/>
        <w:t>way</w:t>
      </w:r>
      <w:r>
        <w:rPr>
          <w:spacing w:val="10"/>
        </w:rPr>
        <w:t> </w:t>
      </w:r>
      <w:r>
        <w:rPr/>
        <w:t>hydroxyurea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60" w:lineRule="auto" w:before="72"/>
        <w:ind w:left="820" w:right="1439"/>
        <w:jc w:val="both"/>
      </w:pPr>
      <w:r>
        <w:rPr/>
        <w:t>was said to decrease sickling (Charache </w:t>
      </w:r>
      <w:r>
        <w:rPr>
          <w:i/>
        </w:rPr>
        <w:t>et al</w:t>
      </w:r>
      <w:r>
        <w:rPr/>
        <w:t>., 1995). More recent studies have shown that it also</w:t>
      </w:r>
      <w:r>
        <w:rPr>
          <w:spacing w:val="-57"/>
        </w:rPr>
        <w:t> </w:t>
      </w:r>
      <w:r>
        <w:rPr/>
        <w:t>has the ability to generate nitric oxide (NO) </w:t>
      </w:r>
      <w:r>
        <w:rPr>
          <w:i/>
        </w:rPr>
        <w:t>in vivo</w:t>
      </w:r>
      <w:r>
        <w:rPr/>
        <w:t>, which results in the vasodilation of the</w:t>
      </w:r>
      <w:r>
        <w:rPr>
          <w:spacing w:val="1"/>
        </w:rPr>
        <w:t> </w:t>
      </w:r>
      <w:r>
        <w:rPr/>
        <w:t>vascular endothelia, nullifying effects of haemolysed cells. Hydroxyurea,</w:t>
      </w:r>
      <w:r>
        <w:rPr>
          <w:spacing w:val="1"/>
        </w:rPr>
        <w:t> </w:t>
      </w:r>
      <w:r>
        <w:rPr/>
        <w:t>has therefore been</w:t>
      </w:r>
      <w:r>
        <w:rPr>
          <w:spacing w:val="1"/>
        </w:rPr>
        <w:t> </w:t>
      </w:r>
      <w:r>
        <w:rPr/>
        <w:t>considered for management and prevention of pulmonary arterial hypertension (PAH) (Aliyu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2008). It</w:t>
      </w:r>
      <w:r>
        <w:rPr>
          <w:spacing w:val="1"/>
        </w:rPr>
        <w:t> </w:t>
      </w:r>
      <w:r>
        <w:rPr/>
        <w:t>has also</w:t>
      </w:r>
      <w:r>
        <w:rPr>
          <w:spacing w:val="1"/>
        </w:rPr>
        <w:t> </w:t>
      </w:r>
      <w:r>
        <w:rPr/>
        <w:t>been shown to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the adhesion of sickle</w:t>
      </w:r>
      <w:r>
        <w:rPr>
          <w:spacing w:val="1"/>
        </w:rPr>
        <w:t> </w:t>
      </w:r>
      <w:r>
        <w:rPr/>
        <w:t>cells to</w:t>
      </w:r>
      <w:r>
        <w:rPr>
          <w:spacing w:val="1"/>
        </w:rPr>
        <w:t> </w:t>
      </w:r>
      <w:r>
        <w:rPr/>
        <w:t>endothelium</w:t>
      </w:r>
      <w:r>
        <w:rPr>
          <w:spacing w:val="1"/>
        </w:rPr>
        <w:t> </w:t>
      </w:r>
      <w:r>
        <w:rPr/>
        <w:t>(Frenette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George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Owing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myelosuppressive</w:t>
      </w:r>
      <w:r>
        <w:rPr>
          <w:spacing w:val="1"/>
        </w:rPr>
        <w:t> </w:t>
      </w:r>
      <w:r>
        <w:rPr/>
        <w:t>activity,</w:t>
      </w:r>
      <w:r>
        <w:rPr>
          <w:spacing w:val="1"/>
        </w:rPr>
        <w:t> </w:t>
      </w:r>
      <w:r>
        <w:rPr/>
        <w:t>hydroxyurea</w:t>
      </w:r>
      <w:r>
        <w:rPr>
          <w:spacing w:val="1"/>
        </w:rPr>
        <w:t> </w:t>
      </w:r>
      <w:r>
        <w:rPr/>
        <w:t>reduces</w:t>
      </w:r>
      <w:r>
        <w:rPr>
          <w:spacing w:val="1"/>
        </w:rPr>
        <w:t> </w:t>
      </w:r>
      <w:r>
        <w:rPr/>
        <w:t>circulating</w:t>
      </w:r>
      <w:r>
        <w:rPr>
          <w:spacing w:val="1"/>
        </w:rPr>
        <w:t> </w:t>
      </w:r>
      <w:r>
        <w:rPr/>
        <w:t>white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(WBC)</w:t>
      </w:r>
      <w:r>
        <w:rPr>
          <w:spacing w:val="1"/>
        </w:rPr>
        <w:t> </w:t>
      </w:r>
      <w:r>
        <w:rPr/>
        <w:t>counts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adherent</w:t>
      </w:r>
      <w:r>
        <w:rPr>
          <w:spacing w:val="60"/>
        </w:rPr>
        <w:t> </w:t>
      </w:r>
      <w:r>
        <w:rPr/>
        <w:t>leukocytes</w:t>
      </w:r>
      <w:r>
        <w:rPr>
          <w:spacing w:val="1"/>
        </w:rPr>
        <w:t> </w:t>
      </w:r>
      <w:r>
        <w:rPr/>
        <w:t>recruited to the wall of small venules. The reduction of WBC counts was correlated with the</w:t>
      </w:r>
      <w:r>
        <w:rPr>
          <w:spacing w:val="1"/>
        </w:rPr>
        <w:t> </w:t>
      </w:r>
      <w:r>
        <w:rPr/>
        <w:t>clinical benefit from hydroxyurea. It is still not entirely clear how much of the clinical benefit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hydroxyurea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HbF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other</w:t>
      </w:r>
      <w:r>
        <w:rPr>
          <w:spacing w:val="-57"/>
        </w:rPr>
        <w:t> </w:t>
      </w:r>
      <w:r>
        <w:rPr/>
        <w:t>activities.</w:t>
      </w:r>
    </w:p>
    <w:p>
      <w:pPr>
        <w:pStyle w:val="BodyText"/>
        <w:spacing w:line="360" w:lineRule="auto" w:before="198"/>
        <w:ind w:left="820" w:right="1434"/>
        <w:jc w:val="both"/>
      </w:pPr>
      <w:r>
        <w:rPr/>
        <w:t>Studies have shown that hydroxyurea showed a marked decrease in the frequency of painful</w:t>
      </w:r>
      <w:r>
        <w:rPr>
          <w:spacing w:val="1"/>
        </w:rPr>
        <w:t> </w:t>
      </w:r>
      <w:r>
        <w:rPr/>
        <w:t>crises and acute chest syndrome and a reduction in transfusion requirements and hospitalizations</w:t>
      </w:r>
      <w:r>
        <w:rPr>
          <w:spacing w:val="1"/>
        </w:rPr>
        <w:t> </w:t>
      </w:r>
      <w:r>
        <w:rPr/>
        <w:t>in adults with moderate to severe SCD. It also improved survival, clinical efficacy and short-term</w:t>
      </w:r>
      <w:r>
        <w:rPr>
          <w:spacing w:val="-57"/>
        </w:rPr>
        <w:t> </w:t>
      </w:r>
      <w:r>
        <w:rPr/>
        <w:t>safety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hydroxyurea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children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SCD</w:t>
      </w:r>
      <w:r>
        <w:rPr>
          <w:spacing w:val="2"/>
        </w:rPr>
        <w:t> </w:t>
      </w:r>
      <w:r>
        <w:rPr/>
        <w:t>(Frenette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George</w:t>
      </w:r>
      <w:r>
        <w:rPr>
          <w:spacing w:val="1"/>
        </w:rPr>
        <w:t> </w:t>
      </w:r>
      <w:r>
        <w:rPr/>
        <w:t>2007).</w:t>
      </w:r>
    </w:p>
    <w:p>
      <w:pPr>
        <w:pStyle w:val="Heading1"/>
        <w:spacing w:before="202"/>
        <w:jc w:val="left"/>
      </w:pPr>
      <w:r>
        <w:rPr/>
        <w:t>Indications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42"/>
        <w:jc w:val="both"/>
      </w:pPr>
      <w:r>
        <w:rPr/>
        <w:t>Hydroxyurea is indicated in adolescents or adults with frequent episodes of pain, a history of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chest</w:t>
      </w:r>
      <w:r>
        <w:rPr>
          <w:spacing w:val="1"/>
        </w:rPr>
        <w:t> </w:t>
      </w:r>
      <w:r>
        <w:rPr/>
        <w:t>syndrome,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symptomatic</w:t>
      </w:r>
      <w:r>
        <w:rPr>
          <w:spacing w:val="1"/>
        </w:rPr>
        <w:t> </w:t>
      </w:r>
      <w:r>
        <w:rPr/>
        <w:t>anaemia,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vaso-occlusive</w:t>
      </w:r>
      <w:r>
        <w:rPr>
          <w:spacing w:val="1"/>
        </w:rPr>
        <w:t> </w:t>
      </w:r>
      <w:r>
        <w:rPr/>
        <w:t>complications.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present,</w:t>
      </w:r>
      <w:r>
        <w:rPr>
          <w:spacing w:val="1"/>
        </w:rPr>
        <w:t> </w:t>
      </w:r>
      <w:r>
        <w:rPr/>
        <w:t>hydroxyurea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complications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who</w:t>
      </w:r>
      <w:r>
        <w:rPr>
          <w:spacing w:val="6"/>
        </w:rPr>
        <w:t> </w:t>
      </w:r>
      <w:r>
        <w:rPr/>
        <w:t>can</w:t>
      </w:r>
      <w:r>
        <w:rPr>
          <w:spacing w:val="-3"/>
        </w:rPr>
        <w:t> </w:t>
      </w:r>
      <w:r>
        <w:rPr/>
        <w:t>reliably</w:t>
      </w:r>
      <w:r>
        <w:rPr>
          <w:spacing w:val="-4"/>
        </w:rPr>
        <w:t> </w:t>
      </w:r>
      <w:r>
        <w:rPr/>
        <w:t>follow</w:t>
      </w:r>
      <w:r>
        <w:rPr>
          <w:spacing w:val="1"/>
        </w:rPr>
        <w:t> </w:t>
      </w:r>
      <w:r>
        <w:rPr/>
        <w:t>the regimen</w:t>
      </w:r>
      <w:r>
        <w:rPr>
          <w:spacing w:val="-3"/>
        </w:rPr>
        <w:t> </w:t>
      </w:r>
      <w:r>
        <w:rPr/>
        <w:t>(Segal</w:t>
      </w:r>
      <w:r>
        <w:rPr>
          <w:spacing w:val="-4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4"/>
        </w:rPr>
        <w:t> </w:t>
      </w:r>
      <w:r>
        <w:rPr/>
        <w:t>2008).</w:t>
      </w:r>
    </w:p>
    <w:p>
      <w:pPr>
        <w:pStyle w:val="Heading1"/>
        <w:spacing w:before="201"/>
      </w:pPr>
      <w:r>
        <w:rPr/>
        <w:t>Side</w:t>
      </w:r>
      <w:r>
        <w:rPr>
          <w:spacing w:val="-3"/>
        </w:rPr>
        <w:t> </w:t>
      </w:r>
      <w:r>
        <w:rPr/>
        <w:t>Effects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 w:before="1"/>
        <w:ind w:left="820" w:right="1448"/>
        <w:jc w:val="both"/>
      </w:pPr>
      <w:r>
        <w:rPr/>
        <w:t>Concerns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hydroxyurea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(Serjeant</w:t>
      </w:r>
      <w:r>
        <w:rPr>
          <w:spacing w:val="6"/>
        </w:rPr>
        <w:t> </w:t>
      </w:r>
      <w:r>
        <w:rPr/>
        <w:t>and</w:t>
      </w:r>
      <w:r>
        <w:rPr>
          <w:spacing w:val="1"/>
        </w:rPr>
        <w:t> </w:t>
      </w:r>
      <w:r>
        <w:rPr/>
        <w:t>Serjeant</w:t>
      </w:r>
      <w:r>
        <w:rPr>
          <w:spacing w:val="7"/>
        </w:rPr>
        <w:t> </w:t>
      </w:r>
      <w:r>
        <w:rPr/>
        <w:t>2001),</w:t>
      </w:r>
      <w:r>
        <w:rPr>
          <w:spacing w:val="3"/>
        </w:rPr>
        <w:t> </w:t>
      </w:r>
      <w:r>
        <w:rPr/>
        <w:t>as</w:t>
      </w:r>
      <w:r>
        <w:rPr>
          <w:spacing w:val="-1"/>
        </w:rPr>
        <w:t> </w:t>
      </w:r>
      <w:r>
        <w:rPr/>
        <w:t>well</w:t>
      </w:r>
      <w:r>
        <w:rPr>
          <w:spacing w:val="-7"/>
        </w:rPr>
        <w:t> </w:t>
      </w:r>
      <w:r>
        <w:rPr/>
        <w:t>as</w:t>
      </w:r>
      <w:r>
        <w:rPr>
          <w:spacing w:val="4"/>
        </w:rPr>
        <w:t> </w:t>
      </w:r>
      <w:r>
        <w:rPr/>
        <w:t>fears of</w:t>
      </w:r>
      <w:r>
        <w:rPr>
          <w:spacing w:val="-7"/>
        </w:rPr>
        <w:t> </w:t>
      </w:r>
      <w:r>
        <w:rPr/>
        <w:t>toxicity</w:t>
      </w:r>
      <w:r>
        <w:rPr>
          <w:spacing w:val="-3"/>
        </w:rPr>
        <w:t> </w:t>
      </w:r>
      <w:r>
        <w:rPr/>
        <w:t>such</w:t>
      </w:r>
      <w:r>
        <w:rPr>
          <w:spacing w:val="-4"/>
        </w:rPr>
        <w:t> </w:t>
      </w:r>
      <w:r>
        <w:rPr/>
        <w:t>as:</w:t>
      </w:r>
    </w:p>
    <w:p>
      <w:pPr>
        <w:pStyle w:val="ListParagraph"/>
        <w:numPr>
          <w:ilvl w:val="1"/>
          <w:numId w:val="23"/>
        </w:numPr>
        <w:tabs>
          <w:tab w:pos="2260" w:val="left" w:leader="none"/>
        </w:tabs>
        <w:spacing w:line="240" w:lineRule="auto" w:before="199" w:after="0"/>
        <w:ind w:left="2260" w:right="0" w:hanging="360"/>
        <w:jc w:val="left"/>
        <w:rPr>
          <w:sz w:val="24"/>
        </w:rPr>
      </w:pPr>
      <w:r>
        <w:rPr>
          <w:sz w:val="24"/>
        </w:rPr>
        <w:t>Neutropenia,</w:t>
      </w:r>
      <w:r>
        <w:rPr>
          <w:spacing w:val="-1"/>
          <w:sz w:val="24"/>
        </w:rPr>
        <w:t> </w:t>
      </w:r>
      <w:r>
        <w:rPr>
          <w:sz w:val="24"/>
        </w:rPr>
        <w:t>skin</w:t>
      </w:r>
      <w:r>
        <w:rPr>
          <w:spacing w:val="-7"/>
          <w:sz w:val="24"/>
        </w:rPr>
        <w:t> </w:t>
      </w:r>
      <w:r>
        <w:rPr>
          <w:sz w:val="24"/>
        </w:rPr>
        <w:t>rashes, hair</w:t>
      </w:r>
      <w:r>
        <w:rPr>
          <w:spacing w:val="3"/>
          <w:sz w:val="24"/>
        </w:rPr>
        <w:t> </w:t>
      </w:r>
      <w:r>
        <w:rPr>
          <w:sz w:val="24"/>
        </w:rPr>
        <w:t>loss, nausea,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nail</w:t>
      </w:r>
      <w:r>
        <w:rPr>
          <w:spacing w:val="-6"/>
          <w:sz w:val="24"/>
        </w:rPr>
        <w:t> </w:t>
      </w:r>
      <w:r>
        <w:rPr>
          <w:sz w:val="24"/>
        </w:rPr>
        <w:t>changes</w:t>
      </w:r>
      <w:r>
        <w:rPr>
          <w:spacing w:val="-5"/>
          <w:sz w:val="24"/>
        </w:rPr>
        <w:t> </w:t>
      </w:r>
      <w:r>
        <w:rPr>
          <w:sz w:val="24"/>
        </w:rPr>
        <w:t>(Segal</w:t>
      </w:r>
      <w:r>
        <w:rPr>
          <w:spacing w:val="-6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 2008).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23"/>
        </w:numPr>
        <w:tabs>
          <w:tab w:pos="2260" w:val="left" w:leader="none"/>
        </w:tabs>
        <w:spacing w:line="360" w:lineRule="auto" w:before="0" w:after="0"/>
        <w:ind w:left="2260" w:right="1448" w:hanging="360"/>
        <w:jc w:val="left"/>
        <w:rPr>
          <w:sz w:val="24"/>
        </w:rPr>
      </w:pPr>
      <w:r>
        <w:rPr>
          <w:sz w:val="24"/>
        </w:rPr>
        <w:t>Theoretical</w:t>
      </w:r>
      <w:r>
        <w:rPr>
          <w:spacing w:val="-3"/>
          <w:sz w:val="24"/>
        </w:rPr>
        <w:t> </w:t>
      </w:r>
      <w:r>
        <w:rPr>
          <w:sz w:val="24"/>
        </w:rPr>
        <w:t>dangers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mutagenesis,</w:t>
      </w:r>
      <w:r>
        <w:rPr>
          <w:spacing w:val="3"/>
          <w:sz w:val="24"/>
        </w:rPr>
        <w:t> </w:t>
      </w:r>
      <w:r>
        <w:rPr>
          <w:sz w:val="24"/>
        </w:rPr>
        <w:t>teratogenesis,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leukaemogenesis</w:t>
      </w:r>
      <w:r>
        <w:rPr>
          <w:spacing w:val="3"/>
          <w:sz w:val="24"/>
        </w:rPr>
        <w:t> </w:t>
      </w:r>
      <w:r>
        <w:rPr>
          <w:sz w:val="24"/>
        </w:rPr>
        <w:t>(Serjeant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Serjeant</w:t>
      </w:r>
      <w:r>
        <w:rPr>
          <w:spacing w:val="7"/>
          <w:sz w:val="24"/>
        </w:rPr>
        <w:t> </w:t>
      </w:r>
      <w:r>
        <w:rPr>
          <w:sz w:val="24"/>
        </w:rPr>
        <w:t>2001).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</w:pPr>
      <w:r>
        <w:rPr/>
        <w:t>Dosage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administration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 w:before="1"/>
        <w:ind w:left="820" w:right="1437"/>
        <w:jc w:val="both"/>
      </w:pPr>
      <w:r>
        <w:rPr/>
        <w:t>It is an orally available drug that is relatively well tolerated and simple to use. Hydroxyurea is</w:t>
      </w:r>
      <w:r>
        <w:rPr>
          <w:spacing w:val="1"/>
        </w:rPr>
        <w:t> </w:t>
      </w:r>
      <w:r>
        <w:rPr/>
        <w:t>initiated in a dosage of 500 mg per day (10-15 mg per kilogram of body weight every morning)</w:t>
      </w:r>
      <w:r>
        <w:rPr>
          <w:spacing w:val="1"/>
        </w:rPr>
        <w:t> </w:t>
      </w:r>
      <w:r>
        <w:rPr/>
        <w:t>for six to</w:t>
      </w:r>
      <w:r>
        <w:rPr>
          <w:spacing w:val="1"/>
        </w:rPr>
        <w:t> </w:t>
      </w:r>
      <w:r>
        <w:rPr/>
        <w:t>eight</w:t>
      </w:r>
      <w:r>
        <w:rPr>
          <w:spacing w:val="1"/>
        </w:rPr>
        <w:t> </w:t>
      </w:r>
      <w:r>
        <w:rPr/>
        <w:t>weeks. If blood counts are acceptable, the dosage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increased to</w:t>
      </w:r>
      <w:r>
        <w:rPr>
          <w:spacing w:val="60"/>
        </w:rPr>
        <w:t> </w:t>
      </w:r>
      <w:r>
        <w:rPr/>
        <w:t>1,000 mg per</w:t>
      </w:r>
      <w:r>
        <w:rPr>
          <w:spacing w:val="1"/>
        </w:rPr>
        <w:t> </w:t>
      </w:r>
      <w:r>
        <w:rPr/>
        <w:t>day after six to eight weeks, with the patient monitored for a decline in granulocyte or platelet</w:t>
      </w:r>
      <w:r>
        <w:rPr>
          <w:spacing w:val="1"/>
        </w:rPr>
        <w:t> </w:t>
      </w:r>
      <w:r>
        <w:rPr/>
        <w:t>counts. The maintenance dosage is between 1,000 and 2,000 mg per day, depending on the</w:t>
      </w:r>
      <w:r>
        <w:rPr>
          <w:spacing w:val="1"/>
        </w:rPr>
        <w:t> </w:t>
      </w:r>
      <w:r>
        <w:rPr/>
        <w:t>balance between hematologic toxicity and increases</w:t>
      </w:r>
      <w:r>
        <w:rPr>
          <w:spacing w:val="1"/>
        </w:rPr>
        <w:t> </w:t>
      </w:r>
      <w:r>
        <w:rPr/>
        <w:t>in haemoglobin F values. Blood counts</w:t>
      </w:r>
      <w:r>
        <w:rPr>
          <w:spacing w:val="1"/>
        </w:rPr>
        <w:t> </w:t>
      </w:r>
      <w:r>
        <w:rPr/>
        <w:t>should be followed every four to six weeks to detect longer term hematologic toxicities. The</w:t>
      </w:r>
      <w:r>
        <w:rPr>
          <w:spacing w:val="1"/>
        </w:rPr>
        <w:t> </w:t>
      </w:r>
      <w:r>
        <w:rPr/>
        <w:t>long-term effects of hydroxyurea maintenance therapy are not well known. The paucity of long-</w:t>
      </w:r>
      <w:r>
        <w:rPr>
          <w:spacing w:val="1"/>
        </w:rPr>
        <w:t> </w:t>
      </w:r>
      <w:r>
        <w:rPr/>
        <w:t>term</w:t>
      </w:r>
      <w:r>
        <w:rPr>
          <w:spacing w:val="-8"/>
        </w:rPr>
        <w:t> </w:t>
      </w:r>
      <w:r>
        <w:rPr/>
        <w:t>studies</w:t>
      </w:r>
      <w:r>
        <w:rPr>
          <w:spacing w:val="5"/>
        </w:rPr>
        <w:t> </w:t>
      </w:r>
      <w:r>
        <w:rPr/>
        <w:t>limits conclusions about</w:t>
      </w:r>
      <w:r>
        <w:rPr>
          <w:spacing w:val="2"/>
        </w:rPr>
        <w:t> </w:t>
      </w:r>
      <w:r>
        <w:rPr/>
        <w:t>toxicity</w:t>
      </w:r>
      <w:r>
        <w:rPr>
          <w:spacing w:val="-8"/>
        </w:rPr>
        <w:t> </w:t>
      </w:r>
      <w:r>
        <w:rPr/>
        <w:t>(Lanzkron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2008).</w:t>
      </w:r>
    </w:p>
    <w:p>
      <w:pPr>
        <w:pStyle w:val="Heading1"/>
        <w:numPr>
          <w:ilvl w:val="0"/>
          <w:numId w:val="23"/>
        </w:numPr>
        <w:tabs>
          <w:tab w:pos="1900" w:val="left" w:leader="none"/>
        </w:tabs>
        <w:spacing w:line="240" w:lineRule="auto" w:before="200" w:after="0"/>
        <w:ind w:left="1900" w:right="0" w:hanging="360"/>
        <w:jc w:val="both"/>
      </w:pPr>
      <w:r>
        <w:rPr/>
        <w:t>Butyrate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38"/>
        <w:jc w:val="both"/>
      </w:pPr>
      <w:r>
        <w:rPr/>
        <w:t>Butyrate,</w:t>
      </w:r>
      <w:r>
        <w:rPr>
          <w:spacing w:val="1"/>
        </w:rPr>
        <w:t> </w:t>
      </w:r>
      <w:r>
        <w:rPr/>
        <w:t>a short-chain</w:t>
      </w:r>
      <w:r>
        <w:rPr>
          <w:spacing w:val="1"/>
        </w:rPr>
        <w:t> </w:t>
      </w:r>
      <w:r>
        <w:rPr/>
        <w:t>fatty acid that</w:t>
      </w:r>
      <w:r>
        <w:rPr>
          <w:spacing w:val="1"/>
        </w:rPr>
        <w:t> </w:t>
      </w:r>
      <w:r>
        <w:rPr/>
        <w:t>inhibits</w:t>
      </w:r>
      <w:r>
        <w:rPr>
          <w:spacing w:val="1"/>
        </w:rPr>
        <w:t> </w:t>
      </w:r>
      <w:r>
        <w:rPr/>
        <w:t>histone de acetylase (HDAC)</w:t>
      </w:r>
      <w:r>
        <w:rPr>
          <w:spacing w:val="1"/>
        </w:rPr>
        <w:t> </w:t>
      </w:r>
      <w:r>
        <w:rPr/>
        <w:t>was shown to</w:t>
      </w:r>
      <w:r>
        <w:rPr>
          <w:spacing w:val="1"/>
        </w:rPr>
        <w:t> </w:t>
      </w:r>
      <w:r>
        <w:rPr/>
        <w:t>stimulate embryonic or foetal globin gene expression in chicken,</w:t>
      </w:r>
      <w:r>
        <w:rPr>
          <w:spacing w:val="1"/>
        </w:rPr>
        <w:t> </w:t>
      </w:r>
      <w:r>
        <w:rPr/>
        <w:t>mice, and</w:t>
      </w:r>
      <w:r>
        <w:rPr>
          <w:spacing w:val="60"/>
        </w:rPr>
        <w:t> </w:t>
      </w:r>
      <w:r>
        <w:rPr/>
        <w:t>baboons (Frenette</w:t>
      </w:r>
      <w:r>
        <w:rPr>
          <w:spacing w:val="1"/>
        </w:rPr>
        <w:t> </w:t>
      </w:r>
      <w:r>
        <w:rPr/>
        <w:t>and George 2007). When arginine butyrate was administered to patients with SCD intermittently</w:t>
      </w:r>
      <w:r>
        <w:rPr>
          <w:spacing w:val="1"/>
        </w:rPr>
        <w:t> </w:t>
      </w:r>
      <w:r>
        <w:rPr/>
        <w:t>(four days every four weeks), it resulted in sustained</w:t>
      </w:r>
      <w:r>
        <w:rPr>
          <w:spacing w:val="60"/>
        </w:rPr>
        <w:t> </w:t>
      </w:r>
      <w:r>
        <w:rPr/>
        <w:t>induction of HbF production in a majority</w:t>
      </w:r>
      <w:r>
        <w:rPr>
          <w:spacing w:val="1"/>
        </w:rPr>
        <w:t> </w:t>
      </w:r>
      <w:r>
        <w:rPr/>
        <w:t>of patients</w:t>
      </w:r>
      <w:r>
        <w:rPr>
          <w:spacing w:val="1"/>
        </w:rPr>
        <w:t> </w:t>
      </w:r>
      <w:r>
        <w:rPr/>
        <w:t>(Atweh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1999).</w:t>
      </w:r>
      <w:r>
        <w:rPr>
          <w:spacing w:val="1"/>
        </w:rPr>
        <w:t> </w:t>
      </w:r>
      <w:r>
        <w:rPr/>
        <w:t>In spite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promise</w:t>
      </w:r>
      <w:r>
        <w:rPr>
          <w:spacing w:val="1"/>
        </w:rPr>
        <w:t> </w:t>
      </w:r>
      <w:r>
        <w:rPr/>
        <w:t>of this</w:t>
      </w:r>
      <w:r>
        <w:rPr>
          <w:spacing w:val="1"/>
        </w:rPr>
        <w:t> </w:t>
      </w:r>
      <w:r>
        <w:rPr/>
        <w:t>agent</w:t>
      </w:r>
      <w:r>
        <w:rPr>
          <w:spacing w:val="60"/>
        </w:rPr>
        <w:t> </w:t>
      </w:r>
      <w:r>
        <w:rPr/>
        <w:t>in the</w:t>
      </w:r>
      <w:r>
        <w:rPr>
          <w:spacing w:val="1"/>
        </w:rPr>
        <w:t> </w:t>
      </w:r>
      <w:r>
        <w:rPr/>
        <w:t>treatment of SCD, the difficulty of administrating large volumes of this drug through central</w:t>
      </w:r>
      <w:r>
        <w:rPr>
          <w:spacing w:val="1"/>
        </w:rPr>
        <w:t> </w:t>
      </w:r>
      <w:r>
        <w:rPr/>
        <w:t>venous catheters poses a major therapeutic challenge. It is unlikely that the full potential of</w:t>
      </w:r>
      <w:r>
        <w:rPr>
          <w:spacing w:val="1"/>
        </w:rPr>
        <w:t> </w:t>
      </w:r>
      <w:r>
        <w:rPr/>
        <w:t>butyrate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HDAC</w:t>
      </w:r>
      <w:r>
        <w:rPr>
          <w:spacing w:val="1"/>
        </w:rPr>
        <w:t> </w:t>
      </w:r>
      <w:r>
        <w:rPr/>
        <w:t>inhibitors 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realized</w:t>
      </w:r>
      <w:r>
        <w:rPr>
          <w:spacing w:val="1"/>
        </w:rPr>
        <w:t> </w:t>
      </w:r>
      <w:r>
        <w:rPr/>
        <w:t>until an oral preparation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(Frenette and</w:t>
      </w:r>
      <w:r>
        <w:rPr>
          <w:spacing w:val="2"/>
        </w:rPr>
        <w:t> </w:t>
      </w:r>
      <w:r>
        <w:rPr/>
        <w:t>George</w:t>
      </w:r>
      <w:r>
        <w:rPr>
          <w:spacing w:val="-4"/>
        </w:rPr>
        <w:t> </w:t>
      </w:r>
      <w:r>
        <w:rPr/>
        <w:t>2007).</w:t>
      </w:r>
    </w:p>
    <w:p>
      <w:pPr>
        <w:pStyle w:val="Heading1"/>
        <w:numPr>
          <w:ilvl w:val="0"/>
          <w:numId w:val="23"/>
        </w:numPr>
        <w:tabs>
          <w:tab w:pos="1900" w:val="left" w:leader="none"/>
        </w:tabs>
        <w:spacing w:line="240" w:lineRule="auto" w:before="201" w:after="0"/>
        <w:ind w:left="1900" w:right="0" w:hanging="360"/>
        <w:jc w:val="both"/>
      </w:pPr>
      <w:r>
        <w:rPr/>
        <w:t>Decitabine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820" w:right="1434"/>
        <w:jc w:val="both"/>
      </w:pPr>
      <w:r>
        <w:rPr/>
        <w:t>Small scale clinical trials have shown that treatment with decitabine (5-aza-2-deoxycytidine- a</w:t>
      </w:r>
      <w:r>
        <w:rPr>
          <w:spacing w:val="1"/>
        </w:rPr>
        <w:t> </w:t>
      </w:r>
      <w:r>
        <w:rPr/>
        <w:t>new analog of 5-azacytidine) resulted in significant increases in mean γ-globin synthesis, HbF</w:t>
      </w:r>
      <w:r>
        <w:rPr>
          <w:spacing w:val="1"/>
        </w:rPr>
        <w:t> </w:t>
      </w:r>
      <w:r>
        <w:rPr/>
        <w:t>levels, and the number of F cells (RBC that contain HbF) (Frenette and George 2007). Increased</w:t>
      </w:r>
      <w:r>
        <w:rPr>
          <w:spacing w:val="1"/>
        </w:rPr>
        <w:t> </w:t>
      </w:r>
      <w:r>
        <w:rPr/>
        <w:t>HbF levels were observed in 100% of patients with SCD who received decitabine, including</w:t>
      </w:r>
      <w:r>
        <w:rPr>
          <w:spacing w:val="1"/>
        </w:rPr>
        <w:t> </w:t>
      </w:r>
      <w:r>
        <w:rPr/>
        <w:t>patients who had previously failed to respond to hydroxyurea. The increase in the levels of HbF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RBC</w:t>
      </w:r>
      <w:r>
        <w:rPr>
          <w:spacing w:val="1"/>
        </w:rPr>
        <w:t> </w:t>
      </w:r>
      <w:r>
        <w:rPr/>
        <w:t>adhesion,</w:t>
      </w:r>
      <w:r>
        <w:rPr>
          <w:spacing w:val="1"/>
        </w:rPr>
        <w:t> </w:t>
      </w:r>
      <w:r>
        <w:rPr/>
        <w:t>endothelial</w:t>
      </w:r>
      <w:r>
        <w:rPr>
          <w:spacing w:val="1"/>
        </w:rPr>
        <w:t> </w:t>
      </w:r>
      <w:r>
        <w:rPr/>
        <w:t>damage,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activation of the coagulation pathway (Saunthararajah </w:t>
      </w:r>
      <w:r>
        <w:rPr>
          <w:i/>
        </w:rPr>
        <w:t>et al.</w:t>
      </w:r>
      <w:r>
        <w:rPr/>
        <w:t>, 2003). Larger and longer-term</w:t>
      </w:r>
      <w:r>
        <w:rPr>
          <w:spacing w:val="1"/>
        </w:rPr>
        <w:t> </w:t>
      </w:r>
      <w:r>
        <w:rPr/>
        <w:t>studies</w:t>
      </w:r>
      <w:r>
        <w:rPr>
          <w:spacing w:val="-2"/>
        </w:rPr>
        <w:t> </w:t>
      </w:r>
      <w:r>
        <w:rPr/>
        <w:t>are needed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confirm</w:t>
      </w:r>
      <w:r>
        <w:rPr>
          <w:spacing w:val="-8"/>
        </w:rPr>
        <w:t> </w:t>
      </w:r>
      <w:r>
        <w:rPr/>
        <w:t>the efficacy</w:t>
      </w:r>
      <w:r>
        <w:rPr>
          <w:spacing w:val="-9"/>
        </w:rPr>
        <w:t> </w:t>
      </w:r>
      <w:r>
        <w:rPr/>
        <w:t>and</w:t>
      </w:r>
      <w:r>
        <w:rPr>
          <w:spacing w:val="1"/>
        </w:rPr>
        <w:t> </w:t>
      </w:r>
      <w:r>
        <w:rPr/>
        <w:t>safety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decitabine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the treatment</w:t>
      </w:r>
      <w:r>
        <w:rPr>
          <w:spacing w:val="5"/>
        </w:rPr>
        <w:t> </w:t>
      </w:r>
      <w:r>
        <w:rPr/>
        <w:t>of</w:t>
      </w:r>
      <w:r>
        <w:rPr>
          <w:spacing w:val="-7"/>
        </w:rPr>
        <w:t> </w:t>
      </w:r>
      <w:r>
        <w:rPr/>
        <w:t>SCD.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numPr>
          <w:ilvl w:val="0"/>
          <w:numId w:val="21"/>
        </w:numPr>
        <w:tabs>
          <w:tab w:pos="1540" w:val="left" w:leader="none"/>
        </w:tabs>
        <w:spacing w:line="240" w:lineRule="auto" w:before="72" w:after="0"/>
        <w:ind w:left="1540" w:right="0" w:hanging="360"/>
        <w:jc w:val="both"/>
      </w:pPr>
      <w:r>
        <w:rPr/>
        <w:t>Prevention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dehydration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 w:before="1"/>
        <w:ind w:left="820" w:right="1442"/>
        <w:jc w:val="both"/>
      </w:pPr>
      <w:r>
        <w:rPr/>
        <w:t>One of the distinguishing characteristics of SCD is the presence of dense erythrocytes, formed as</w:t>
      </w:r>
      <w:r>
        <w:rPr>
          <w:spacing w:val="-57"/>
        </w:rPr>
        <w:t> </w:t>
      </w:r>
      <w:r>
        <w:rPr/>
        <w:t>a result</w:t>
      </w:r>
      <w:r>
        <w:rPr>
          <w:spacing w:val="1"/>
        </w:rPr>
        <w:t> </w:t>
      </w:r>
      <w:r>
        <w:rPr/>
        <w:t>of cell dehydration and</w:t>
      </w:r>
      <w:r>
        <w:rPr>
          <w:spacing w:val="1"/>
        </w:rPr>
        <w:t> </w:t>
      </w:r>
      <w:r>
        <w:rPr/>
        <w:t>loss of potassium (K</w:t>
      </w:r>
      <w:r>
        <w:rPr>
          <w:vertAlign w:val="superscript"/>
        </w:rPr>
        <w:t>+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These dense red</w:t>
      </w:r>
      <w:r>
        <w:rPr>
          <w:spacing w:val="1"/>
          <w:vertAlign w:val="baseline"/>
        </w:rPr>
        <w:t> </w:t>
      </w:r>
      <w:r>
        <w:rPr>
          <w:vertAlign w:val="baseline"/>
        </w:rPr>
        <w:t>cells generally have</w:t>
      </w:r>
      <w:r>
        <w:rPr>
          <w:spacing w:val="60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low HbF content and a high percentage of irreversible sickle cells (ISCs). An inverse correlation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has been demonstrated between percentage of ICSs and erythrocyte survival. In addition, the</w:t>
      </w:r>
      <w:r>
        <w:rPr>
          <w:spacing w:val="1"/>
          <w:vertAlign w:val="baseline"/>
        </w:rPr>
        <w:t> </w:t>
      </w:r>
      <w:r>
        <w:rPr>
          <w:vertAlign w:val="baseline"/>
        </w:rPr>
        <w:t>dense,</w:t>
      </w:r>
      <w:r>
        <w:rPr>
          <w:spacing w:val="1"/>
          <w:vertAlign w:val="baseline"/>
        </w:rPr>
        <w:t> </w:t>
      </w:r>
      <w:r>
        <w:rPr>
          <w:vertAlign w:val="baseline"/>
        </w:rPr>
        <w:t>dehydrated</w:t>
      </w:r>
      <w:r>
        <w:rPr>
          <w:spacing w:val="1"/>
          <w:vertAlign w:val="baseline"/>
        </w:rPr>
        <w:t> </w:t>
      </w:r>
      <w:r>
        <w:rPr>
          <w:vertAlign w:val="baseline"/>
        </w:rPr>
        <w:t>red</w:t>
      </w:r>
      <w:r>
        <w:rPr>
          <w:spacing w:val="1"/>
          <w:vertAlign w:val="baseline"/>
        </w:rPr>
        <w:t> </w:t>
      </w:r>
      <w:r>
        <w:rPr>
          <w:vertAlign w:val="baseline"/>
        </w:rPr>
        <w:t>cells</w:t>
      </w:r>
      <w:r>
        <w:rPr>
          <w:spacing w:val="1"/>
          <w:vertAlign w:val="baseline"/>
        </w:rPr>
        <w:t> </w:t>
      </w:r>
      <w:r>
        <w:rPr>
          <w:vertAlign w:val="baseline"/>
        </w:rPr>
        <w:t>might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easily</w:t>
      </w:r>
      <w:r>
        <w:rPr>
          <w:spacing w:val="1"/>
          <w:vertAlign w:val="baseline"/>
        </w:rPr>
        <w:t> </w:t>
      </w:r>
      <w:r>
        <w:rPr>
          <w:vertAlign w:val="baseline"/>
        </w:rPr>
        <w:t>trapped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post</w:t>
      </w:r>
      <w:r>
        <w:rPr>
          <w:spacing w:val="1"/>
          <w:vertAlign w:val="baseline"/>
        </w:rPr>
        <w:t> </w:t>
      </w:r>
      <w:r>
        <w:rPr>
          <w:vertAlign w:val="baseline"/>
        </w:rPr>
        <w:t>capillary</w:t>
      </w:r>
      <w:r>
        <w:rPr>
          <w:spacing w:val="1"/>
          <w:vertAlign w:val="baseline"/>
        </w:rPr>
        <w:t> </w:t>
      </w:r>
      <w:r>
        <w:rPr>
          <w:vertAlign w:val="baseline"/>
        </w:rPr>
        <w:t>venules,</w:t>
      </w:r>
      <w:r>
        <w:rPr>
          <w:spacing w:val="1"/>
          <w:vertAlign w:val="baseline"/>
        </w:rPr>
        <w:t> </w:t>
      </w:r>
      <w:r>
        <w:rPr>
          <w:vertAlign w:val="baseline"/>
        </w:rPr>
        <w:t>promoting</w:t>
      </w:r>
      <w:r>
        <w:rPr>
          <w:spacing w:val="1"/>
          <w:vertAlign w:val="baseline"/>
        </w:rPr>
        <w:t> </w:t>
      </w:r>
      <w:r>
        <w:rPr>
          <w:vertAlign w:val="baseline"/>
        </w:rPr>
        <w:t>microvascular obstruction. Thus, preventing of red cell dehydration presents an exciting possible</w:t>
      </w:r>
      <w:r>
        <w:rPr>
          <w:spacing w:val="1"/>
          <w:vertAlign w:val="baseline"/>
        </w:rPr>
        <w:t> </w:t>
      </w:r>
      <w:r>
        <w:rPr>
          <w:vertAlign w:val="baseline"/>
        </w:rPr>
        <w:t>new therapeutic strategy (DeFranceschi, 2009). In SCD, the anti-adherence therapeutic strategies</w:t>
      </w:r>
      <w:r>
        <w:rPr>
          <w:spacing w:val="-57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divided</w:t>
      </w:r>
      <w:r>
        <w:rPr>
          <w:spacing w:val="7"/>
          <w:vertAlign w:val="baseline"/>
        </w:rPr>
        <w:t> </w:t>
      </w:r>
      <w:r>
        <w:rPr>
          <w:vertAlign w:val="baseline"/>
        </w:rPr>
        <w:t>into:</w:t>
      </w:r>
    </w:p>
    <w:p>
      <w:pPr>
        <w:pStyle w:val="ListParagraph"/>
        <w:numPr>
          <w:ilvl w:val="0"/>
          <w:numId w:val="24"/>
        </w:numPr>
        <w:tabs>
          <w:tab w:pos="1540" w:val="left" w:leader="none"/>
        </w:tabs>
        <w:spacing w:line="355" w:lineRule="auto" w:before="201" w:after="0"/>
        <w:ind w:left="1540" w:right="1439" w:hanging="360"/>
        <w:jc w:val="both"/>
        <w:rPr>
          <w:sz w:val="24"/>
        </w:rPr>
      </w:pPr>
      <w:r>
        <w:rPr>
          <w:b/>
          <w:sz w:val="24"/>
        </w:rPr>
        <w:t>The imidazole antimycotic clotrimazole </w:t>
      </w:r>
      <w:r>
        <w:rPr>
          <w:sz w:val="24"/>
        </w:rPr>
        <w:t>- has been shown to be a specific inhibitor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Gardos</w:t>
      </w:r>
      <w:r>
        <w:rPr>
          <w:spacing w:val="-8"/>
          <w:sz w:val="24"/>
        </w:rPr>
        <w:t> </w:t>
      </w:r>
      <w:r>
        <w:rPr>
          <w:sz w:val="24"/>
        </w:rPr>
        <w:t>channel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prevent</w:t>
      </w:r>
      <w:r>
        <w:rPr>
          <w:spacing w:val="3"/>
          <w:sz w:val="24"/>
        </w:rPr>
        <w:t> </w:t>
      </w:r>
      <w:r>
        <w:rPr>
          <w:sz w:val="24"/>
        </w:rPr>
        <w:t>sickle</w:t>
      </w:r>
      <w:r>
        <w:rPr>
          <w:spacing w:val="-2"/>
          <w:sz w:val="24"/>
        </w:rPr>
        <w:t> </w:t>
      </w:r>
      <w:r>
        <w:rPr>
          <w:sz w:val="24"/>
        </w:rPr>
        <w:t>cell</w:t>
      </w:r>
      <w:r>
        <w:rPr>
          <w:spacing w:val="-5"/>
          <w:sz w:val="24"/>
        </w:rPr>
        <w:t> </w:t>
      </w:r>
      <w:r>
        <w:rPr>
          <w:sz w:val="24"/>
        </w:rPr>
        <w:t>dehydration</w:t>
      </w:r>
      <w:r>
        <w:rPr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vitro</w:t>
      </w:r>
      <w:r>
        <w:rPr>
          <w:i/>
          <w:spacing w:val="-1"/>
          <w:sz w:val="24"/>
        </w:rPr>
        <w:t> </w:t>
      </w:r>
      <w:r>
        <w:rPr>
          <w:sz w:val="24"/>
        </w:rPr>
        <w:t>(DeFranceschi,</w:t>
      </w:r>
      <w:r>
        <w:rPr>
          <w:spacing w:val="1"/>
          <w:sz w:val="24"/>
        </w:rPr>
        <w:t> </w:t>
      </w:r>
      <w:r>
        <w:rPr>
          <w:sz w:val="24"/>
        </w:rPr>
        <w:t>2009).</w:t>
      </w:r>
    </w:p>
    <w:p>
      <w:pPr>
        <w:pStyle w:val="ListParagraph"/>
        <w:numPr>
          <w:ilvl w:val="0"/>
          <w:numId w:val="24"/>
        </w:numPr>
        <w:tabs>
          <w:tab w:pos="1540" w:val="left" w:leader="none"/>
        </w:tabs>
        <w:spacing w:line="271" w:lineRule="auto" w:before="211" w:after="0"/>
        <w:ind w:left="1540" w:right="1438" w:hanging="360"/>
        <w:jc w:val="both"/>
        <w:rPr>
          <w:sz w:val="24"/>
        </w:rPr>
      </w:pPr>
      <w:r>
        <w:rPr>
          <w:b/>
          <w:spacing w:val="-1"/>
          <w:sz w:val="24"/>
        </w:rPr>
        <w:t>Senicapoc: a novel Gardos </w:t>
      </w:r>
      <w:r>
        <w:rPr>
          <w:b/>
          <w:sz w:val="24"/>
        </w:rPr>
        <w:t>channel inhibitor - </w:t>
      </w:r>
      <w:r>
        <w:rPr>
          <w:sz w:val="24"/>
        </w:rPr>
        <w:t>limits solute and water loss, thereby</w:t>
      </w:r>
      <w:r>
        <w:rPr>
          <w:spacing w:val="1"/>
          <w:sz w:val="24"/>
        </w:rPr>
        <w:t> </w:t>
      </w:r>
      <w:r>
        <w:rPr>
          <w:sz w:val="24"/>
        </w:rPr>
        <w:t>preserving</w:t>
      </w:r>
      <w:r>
        <w:rPr>
          <w:spacing w:val="1"/>
          <w:sz w:val="24"/>
        </w:rPr>
        <w:t> </w:t>
      </w:r>
      <w:r>
        <w:rPr>
          <w:sz w:val="24"/>
        </w:rPr>
        <w:t>sickle red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1"/>
          <w:sz w:val="24"/>
        </w:rPr>
        <w:t> </w:t>
      </w:r>
      <w:r>
        <w:rPr>
          <w:sz w:val="24"/>
        </w:rPr>
        <w:t>cell</w:t>
      </w:r>
      <w:r>
        <w:rPr>
          <w:spacing w:val="-7"/>
          <w:sz w:val="24"/>
        </w:rPr>
        <w:t> </w:t>
      </w:r>
      <w:r>
        <w:rPr>
          <w:sz w:val="24"/>
        </w:rPr>
        <w:t>(RBC)</w:t>
      </w:r>
      <w:r>
        <w:rPr>
          <w:spacing w:val="2"/>
          <w:sz w:val="24"/>
        </w:rPr>
        <w:t> </w:t>
      </w:r>
      <w:r>
        <w:rPr>
          <w:sz w:val="24"/>
        </w:rPr>
        <w:t>hydration</w:t>
      </w:r>
      <w:r>
        <w:rPr>
          <w:spacing w:val="-4"/>
          <w:sz w:val="24"/>
        </w:rPr>
        <w:t> </w:t>
      </w:r>
      <w:r>
        <w:rPr>
          <w:sz w:val="24"/>
        </w:rPr>
        <w:t>(Ataga</w:t>
      </w:r>
      <w:r>
        <w:rPr>
          <w:spacing w:val="4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3"/>
          <w:sz w:val="24"/>
        </w:rPr>
        <w:t> </w:t>
      </w:r>
      <w:r>
        <w:rPr>
          <w:sz w:val="24"/>
        </w:rPr>
        <w:t>2008).</w:t>
      </w:r>
    </w:p>
    <w:p>
      <w:pPr>
        <w:pStyle w:val="ListParagraph"/>
        <w:numPr>
          <w:ilvl w:val="0"/>
          <w:numId w:val="24"/>
        </w:numPr>
        <w:tabs>
          <w:tab w:pos="1540" w:val="left" w:leader="none"/>
        </w:tabs>
        <w:spacing w:line="360" w:lineRule="auto" w:before="211" w:after="0"/>
        <w:ind w:left="1540" w:right="1440" w:hanging="360"/>
        <w:jc w:val="both"/>
        <w:rPr>
          <w:sz w:val="24"/>
        </w:rPr>
      </w:pPr>
      <w:r>
        <w:rPr>
          <w:b/>
          <w:sz w:val="24"/>
        </w:rPr>
        <w:t>L-Arginine </w:t>
      </w:r>
      <w:r>
        <w:rPr>
          <w:sz w:val="24"/>
        </w:rPr>
        <w:t>- supplementation of transgenic sickle cell mice resulted in inhibition of</w:t>
      </w:r>
      <w:r>
        <w:rPr>
          <w:spacing w:val="1"/>
          <w:sz w:val="24"/>
        </w:rPr>
        <w:t> </w:t>
      </w:r>
      <w:r>
        <w:rPr>
          <w:sz w:val="24"/>
        </w:rPr>
        <w:t>erythrocyte Gardos channel activity and amelioration of red cell dehydration. However,</w:t>
      </w:r>
      <w:r>
        <w:rPr>
          <w:spacing w:val="1"/>
          <w:sz w:val="24"/>
        </w:rPr>
        <w:t> </w:t>
      </w:r>
      <w:r>
        <w:rPr>
          <w:sz w:val="24"/>
        </w:rPr>
        <w:t>phase II studies to test the effect of arginine supplementation have shown no</w:t>
      </w:r>
      <w:r>
        <w:rPr>
          <w:spacing w:val="60"/>
          <w:sz w:val="24"/>
        </w:rPr>
        <w:t> </w:t>
      </w:r>
      <w:r>
        <w:rPr>
          <w:sz w:val="24"/>
        </w:rPr>
        <w:t>major</w:t>
      </w:r>
      <w:r>
        <w:rPr>
          <w:spacing w:val="1"/>
          <w:sz w:val="24"/>
        </w:rPr>
        <w:t> </w:t>
      </w:r>
      <w:r>
        <w:rPr>
          <w:sz w:val="24"/>
        </w:rPr>
        <w:t>effects on Gardos channel</w:t>
      </w:r>
      <w:r>
        <w:rPr>
          <w:spacing w:val="1"/>
          <w:sz w:val="24"/>
        </w:rPr>
        <w:t> </w:t>
      </w:r>
      <w:r>
        <w:rPr>
          <w:sz w:val="24"/>
        </w:rPr>
        <w:t>function and</w:t>
      </w:r>
      <w:r>
        <w:rPr>
          <w:spacing w:val="1"/>
          <w:sz w:val="24"/>
        </w:rPr>
        <w:t> </w:t>
      </w:r>
      <w:r>
        <w:rPr>
          <w:sz w:val="24"/>
        </w:rPr>
        <w:t>erythrocyte</w:t>
      </w:r>
      <w:r>
        <w:rPr>
          <w:spacing w:val="1"/>
          <w:sz w:val="24"/>
        </w:rPr>
        <w:t> </w:t>
      </w:r>
      <w:r>
        <w:rPr>
          <w:sz w:val="24"/>
        </w:rPr>
        <w:t>hydration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patients with</w:t>
      </w:r>
      <w:r>
        <w:rPr>
          <w:spacing w:val="1"/>
          <w:sz w:val="24"/>
        </w:rPr>
        <w:t> </w:t>
      </w:r>
      <w:r>
        <w:rPr>
          <w:sz w:val="24"/>
        </w:rPr>
        <w:t>SCD</w:t>
      </w:r>
      <w:r>
        <w:rPr>
          <w:spacing w:val="1"/>
          <w:sz w:val="24"/>
        </w:rPr>
        <w:t> </w:t>
      </w:r>
      <w:r>
        <w:rPr>
          <w:sz w:val="24"/>
        </w:rPr>
        <w:t>(DeFranceschi, 2009). It has been used in dose of 0.1 g/kg three times daily to decrease</w:t>
      </w:r>
      <w:r>
        <w:rPr>
          <w:spacing w:val="1"/>
          <w:sz w:val="24"/>
        </w:rPr>
        <w:t> </w:t>
      </w:r>
      <w:r>
        <w:rPr>
          <w:sz w:val="24"/>
        </w:rPr>
        <w:t>pulmonary</w:t>
      </w:r>
      <w:r>
        <w:rPr>
          <w:spacing w:val="1"/>
          <w:sz w:val="24"/>
        </w:rPr>
        <w:t> </w:t>
      </w:r>
      <w:r>
        <w:rPr>
          <w:sz w:val="24"/>
        </w:rPr>
        <w:t>artery</w:t>
      </w:r>
      <w:r>
        <w:rPr>
          <w:spacing w:val="1"/>
          <w:sz w:val="24"/>
        </w:rPr>
        <w:t> </w:t>
      </w:r>
      <w:r>
        <w:rPr>
          <w:sz w:val="24"/>
        </w:rPr>
        <w:t>systolic</w:t>
      </w:r>
      <w:r>
        <w:rPr>
          <w:spacing w:val="1"/>
          <w:sz w:val="24"/>
        </w:rPr>
        <w:t> </w:t>
      </w:r>
      <w:r>
        <w:rPr>
          <w:sz w:val="24"/>
        </w:rPr>
        <w:t>pressure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15%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small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sickle</w:t>
      </w:r>
      <w:r>
        <w:rPr>
          <w:spacing w:val="1"/>
          <w:sz w:val="24"/>
        </w:rPr>
        <w:t> </w:t>
      </w:r>
      <w:r>
        <w:rPr>
          <w:sz w:val="24"/>
        </w:rPr>
        <w:t>cell</w:t>
      </w:r>
      <w:r>
        <w:rPr>
          <w:spacing w:val="1"/>
          <w:sz w:val="24"/>
        </w:rPr>
        <w:t> </w:t>
      </w:r>
      <w:r>
        <w:rPr>
          <w:sz w:val="24"/>
        </w:rPr>
        <w:t>patients</w:t>
      </w:r>
      <w:r>
        <w:rPr>
          <w:spacing w:val="1"/>
          <w:sz w:val="24"/>
        </w:rPr>
        <w:t> </w:t>
      </w:r>
      <w:r>
        <w:rPr>
          <w:sz w:val="24"/>
        </w:rPr>
        <w:t>(Machado,</w:t>
      </w:r>
      <w:r>
        <w:rPr>
          <w:spacing w:val="3"/>
          <w:sz w:val="24"/>
        </w:rPr>
        <w:t> </w:t>
      </w:r>
      <w:r>
        <w:rPr>
          <w:sz w:val="24"/>
        </w:rPr>
        <w:t>2009).</w:t>
      </w:r>
    </w:p>
    <w:p>
      <w:pPr>
        <w:pStyle w:val="Heading1"/>
        <w:numPr>
          <w:ilvl w:val="0"/>
          <w:numId w:val="21"/>
        </w:numPr>
        <w:tabs>
          <w:tab w:pos="1540" w:val="left" w:leader="none"/>
        </w:tabs>
        <w:spacing w:line="240" w:lineRule="auto" w:before="199" w:after="0"/>
        <w:ind w:left="1540" w:right="0" w:hanging="360"/>
        <w:jc w:val="both"/>
      </w:pPr>
      <w:r>
        <w:rPr/>
        <w:t>Bone</w:t>
      </w:r>
      <w:r>
        <w:rPr>
          <w:spacing w:val="-3"/>
        </w:rPr>
        <w:t> </w:t>
      </w:r>
      <w:r>
        <w:rPr/>
        <w:t>marrow</w:t>
      </w:r>
      <w:r>
        <w:rPr>
          <w:spacing w:val="-1"/>
        </w:rPr>
        <w:t> </w:t>
      </w:r>
      <w:r>
        <w:rPr/>
        <w:t>transplantation (BMT)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/>
        <w:ind w:left="820" w:right="1434"/>
        <w:jc w:val="both"/>
      </w:pPr>
      <w:r>
        <w:rPr/>
        <w:t>BMT involves replacing defective SC producing bone marrow with bone marrow that produces</w:t>
      </w:r>
      <w:r>
        <w:rPr>
          <w:spacing w:val="1"/>
        </w:rPr>
        <w:t> </w:t>
      </w:r>
      <w:r>
        <w:rPr/>
        <w:t>normal</w:t>
      </w:r>
      <w:r>
        <w:rPr>
          <w:spacing w:val="29"/>
        </w:rPr>
        <w:t> </w:t>
      </w:r>
      <w:r>
        <w:rPr/>
        <w:t>RBCs</w:t>
      </w:r>
      <w:r>
        <w:rPr>
          <w:spacing w:val="37"/>
        </w:rPr>
        <w:t> </w:t>
      </w:r>
      <w:r>
        <w:rPr/>
        <w:t>(Lucarelli</w:t>
      </w:r>
      <w:r>
        <w:rPr>
          <w:spacing w:val="32"/>
        </w:rPr>
        <w:t> </w:t>
      </w:r>
      <w:r>
        <w:rPr>
          <w:i/>
        </w:rPr>
        <w:t>et</w:t>
      </w:r>
      <w:r>
        <w:rPr>
          <w:i/>
          <w:spacing w:val="35"/>
        </w:rPr>
        <w:t> </w:t>
      </w:r>
      <w:r>
        <w:rPr>
          <w:i/>
        </w:rPr>
        <w:t>al</w:t>
      </w:r>
      <w:r>
        <w:rPr/>
        <w:t>.,</w:t>
      </w:r>
      <w:r>
        <w:rPr>
          <w:spacing w:val="37"/>
        </w:rPr>
        <w:t> </w:t>
      </w:r>
      <w:r>
        <w:rPr/>
        <w:t>1990).</w:t>
      </w:r>
      <w:r>
        <w:rPr>
          <w:spacing w:val="37"/>
        </w:rPr>
        <w:t> </w:t>
      </w:r>
      <w:r>
        <w:rPr/>
        <w:t>For</w:t>
      </w:r>
      <w:r>
        <w:rPr>
          <w:spacing w:val="38"/>
        </w:rPr>
        <w:t> </w:t>
      </w:r>
      <w:r>
        <w:rPr/>
        <w:t>many</w:t>
      </w:r>
      <w:r>
        <w:rPr>
          <w:spacing w:val="38"/>
        </w:rPr>
        <w:t> </w:t>
      </w:r>
      <w:r>
        <w:rPr/>
        <w:t>years,</w:t>
      </w:r>
      <w:r>
        <w:rPr>
          <w:spacing w:val="37"/>
        </w:rPr>
        <w:t> </w:t>
      </w:r>
      <w:r>
        <w:rPr/>
        <w:t>such</w:t>
      </w:r>
      <w:r>
        <w:rPr>
          <w:spacing w:val="35"/>
        </w:rPr>
        <w:t> </w:t>
      </w:r>
      <w:r>
        <w:rPr/>
        <w:t>an</w:t>
      </w:r>
      <w:r>
        <w:rPr>
          <w:spacing w:val="30"/>
        </w:rPr>
        <w:t> </w:t>
      </w:r>
      <w:r>
        <w:rPr/>
        <w:t>approach</w:t>
      </w:r>
      <w:r>
        <w:rPr>
          <w:spacing w:val="30"/>
        </w:rPr>
        <w:t> </w:t>
      </w:r>
      <w:r>
        <w:rPr/>
        <w:t>was</w:t>
      </w:r>
      <w:r>
        <w:rPr>
          <w:spacing w:val="37"/>
        </w:rPr>
        <w:t> </w:t>
      </w:r>
      <w:r>
        <w:rPr/>
        <w:t>considered</w:t>
      </w:r>
      <w:r>
        <w:rPr>
          <w:spacing w:val="34"/>
        </w:rPr>
        <w:t> </w:t>
      </w:r>
      <w:r>
        <w:rPr/>
        <w:t>too</w:t>
      </w:r>
      <w:r>
        <w:rPr>
          <w:spacing w:val="-58"/>
        </w:rPr>
        <w:t> </w:t>
      </w:r>
      <w:r>
        <w:rPr/>
        <w:t>risky for a non-malignant disorder such as SCD, since the mortality of the procedure itself was</w:t>
      </w:r>
      <w:r>
        <w:rPr>
          <w:spacing w:val="1"/>
        </w:rPr>
        <w:t> </w:t>
      </w:r>
      <w:r>
        <w:rPr/>
        <w:t>around 20%. The reduction in mortality resulting from recent advances in immunosuppressive</w:t>
      </w:r>
      <w:r>
        <w:rPr>
          <w:spacing w:val="1"/>
        </w:rPr>
        <w:t> </w:t>
      </w:r>
      <w:r>
        <w:rPr/>
        <w:t>therapy and supportive care and the fact that long-term survival of patients with β-thalassaemia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BMT</w:t>
      </w:r>
      <w:r>
        <w:rPr>
          <w:spacing w:val="1"/>
        </w:rPr>
        <w:t> </w:t>
      </w:r>
      <w:r>
        <w:rPr/>
        <w:t>was 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 greater</w:t>
      </w:r>
      <w:r>
        <w:rPr>
          <w:spacing w:val="1"/>
        </w:rPr>
        <w:t> </w:t>
      </w:r>
      <w:r>
        <w:rPr/>
        <w:t>than 90%</w:t>
      </w:r>
      <w:r>
        <w:rPr>
          <w:spacing w:val="1"/>
        </w:rPr>
        <w:t> </w:t>
      </w:r>
      <w:r>
        <w:rPr/>
        <w:t>(Lucarelli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1990),</w:t>
      </w:r>
      <w:r>
        <w:rPr>
          <w:spacing w:val="60"/>
        </w:rPr>
        <w:t> </w:t>
      </w:r>
      <w:r>
        <w:rPr/>
        <w:t>resulted</w:t>
      </w:r>
      <w:r>
        <w:rPr>
          <w:spacing w:val="60"/>
        </w:rPr>
        <w:t> </w:t>
      </w:r>
      <w:r>
        <w:rPr/>
        <w:t>in renewed</w:t>
      </w:r>
      <w:r>
        <w:rPr>
          <w:spacing w:val="1"/>
        </w:rPr>
        <w:t> </w:t>
      </w:r>
      <w:r>
        <w:rPr/>
        <w:t>interest in this therapy for SCD. It can be curative, but it still presents problems. Long-term</w:t>
      </w:r>
      <w:r>
        <w:rPr>
          <w:spacing w:val="1"/>
        </w:rPr>
        <w:t> </w:t>
      </w:r>
      <w:r>
        <w:rPr/>
        <w:t>follow-up</w:t>
      </w:r>
      <w:r>
        <w:rPr>
          <w:spacing w:val="20"/>
        </w:rPr>
        <w:t> </w:t>
      </w:r>
      <w:r>
        <w:rPr/>
        <w:t>is</w:t>
      </w:r>
      <w:r>
        <w:rPr>
          <w:spacing w:val="19"/>
        </w:rPr>
        <w:t> </w:t>
      </w:r>
      <w:r>
        <w:rPr/>
        <w:t>lacking,</w:t>
      </w:r>
      <w:r>
        <w:rPr>
          <w:spacing w:val="19"/>
        </w:rPr>
        <w:t> </w:t>
      </w:r>
      <w:r>
        <w:rPr/>
        <w:t>and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procedure</w:t>
      </w:r>
      <w:r>
        <w:rPr>
          <w:spacing w:val="20"/>
        </w:rPr>
        <w:t> </w:t>
      </w:r>
      <w:r>
        <w:rPr/>
        <w:t>is</w:t>
      </w:r>
      <w:r>
        <w:rPr>
          <w:spacing w:val="19"/>
        </w:rPr>
        <w:t> </w:t>
      </w:r>
      <w:r>
        <w:rPr/>
        <w:t>expensive</w:t>
      </w:r>
      <w:r>
        <w:rPr>
          <w:spacing w:val="15"/>
        </w:rPr>
        <w:t> </w:t>
      </w:r>
      <w:r>
        <w:rPr/>
        <w:t>and</w:t>
      </w:r>
      <w:r>
        <w:rPr>
          <w:spacing w:val="26"/>
        </w:rPr>
        <w:t> </w:t>
      </w:r>
      <w:r>
        <w:rPr/>
        <w:t>not</w:t>
      </w:r>
      <w:r>
        <w:rPr>
          <w:spacing w:val="21"/>
        </w:rPr>
        <w:t> </w:t>
      </w:r>
      <w:r>
        <w:rPr/>
        <w:t>widely</w:t>
      </w:r>
      <w:r>
        <w:rPr>
          <w:spacing w:val="11"/>
        </w:rPr>
        <w:t> </w:t>
      </w:r>
      <w:r>
        <w:rPr/>
        <w:t>available.</w:t>
      </w:r>
      <w:r>
        <w:rPr>
          <w:spacing w:val="23"/>
        </w:rPr>
        <w:t> </w:t>
      </w:r>
      <w:r>
        <w:rPr/>
        <w:t>Another</w:t>
      </w:r>
      <w:r>
        <w:rPr>
          <w:spacing w:val="18"/>
        </w:rPr>
        <w:t> </w:t>
      </w:r>
      <w:r>
        <w:rPr/>
        <w:t>serious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57" w:lineRule="auto" w:before="72"/>
        <w:ind w:left="820" w:right="1440"/>
        <w:jc w:val="both"/>
      </w:pPr>
      <w:r>
        <w:rPr/>
        <w:t>barrier to the use of bone marrow transplantation is the frequent lack of a human leukocyte</w:t>
      </w:r>
      <w:r>
        <w:rPr>
          <w:spacing w:val="1"/>
        </w:rPr>
        <w:t> </w:t>
      </w:r>
      <w:r>
        <w:rPr/>
        <w:t>antigen matched sibling as donor in the individual case (Walters </w:t>
      </w:r>
      <w:r>
        <w:rPr>
          <w:i/>
        </w:rPr>
        <w:t>et al</w:t>
      </w:r>
      <w:r>
        <w:rPr/>
        <w:t>., 1996) as well as the high</w:t>
      </w:r>
      <w:r>
        <w:rPr>
          <w:spacing w:val="1"/>
        </w:rPr>
        <w:t> </w:t>
      </w:r>
      <w:r>
        <w:rPr/>
        <w:t>cost</w:t>
      </w:r>
      <w:r>
        <w:rPr>
          <w:spacing w:val="-1"/>
        </w:rPr>
        <w:t> </w:t>
      </w:r>
      <w:r>
        <w:rPr/>
        <w:t>which</w:t>
      </w:r>
      <w:r>
        <w:rPr>
          <w:spacing w:val="-4"/>
        </w:rPr>
        <w:t> </w:t>
      </w:r>
      <w:r>
        <w:rPr/>
        <w:t>will</w:t>
      </w:r>
      <w:r>
        <w:rPr>
          <w:spacing w:val="1"/>
        </w:rPr>
        <w:t> </w:t>
      </w:r>
      <w:r>
        <w:rPr/>
        <w:t>not be</w:t>
      </w:r>
      <w:r>
        <w:rPr>
          <w:spacing w:val="-1"/>
        </w:rPr>
        <w:t> </w:t>
      </w:r>
      <w:r>
        <w:rPr/>
        <w:t>affordable</w:t>
      </w:r>
      <w:r>
        <w:rPr>
          <w:spacing w:val="3"/>
        </w:rPr>
        <w:t> </w:t>
      </w:r>
      <w:r>
        <w:rPr/>
        <w:t>by</w:t>
      </w:r>
      <w:r>
        <w:rPr>
          <w:spacing w:val="-4"/>
        </w:rPr>
        <w:t> </w:t>
      </w:r>
      <w:r>
        <w:rPr/>
        <w:t>majority</w:t>
      </w:r>
      <w:r>
        <w:rPr>
          <w:spacing w:val="-5"/>
        </w:rPr>
        <w:t> </w:t>
      </w:r>
      <w:r>
        <w:rPr/>
        <w:t>in the</w:t>
      </w:r>
      <w:r>
        <w:rPr>
          <w:spacing w:val="-1"/>
        </w:rPr>
        <w:t> </w:t>
      </w:r>
      <w:r>
        <w:rPr/>
        <w:t>developing countries</w:t>
      </w:r>
      <w:r>
        <w:rPr>
          <w:spacing w:val="3"/>
        </w:rPr>
        <w:t> </w:t>
      </w:r>
      <w:r>
        <w:rPr/>
        <w:t>like</w:t>
      </w:r>
      <w:r>
        <w:rPr>
          <w:spacing w:val="-1"/>
        </w:rPr>
        <w:t> </w:t>
      </w:r>
      <w:r>
        <w:rPr/>
        <w:t>Nigeria.</w:t>
      </w:r>
    </w:p>
    <w:p>
      <w:pPr>
        <w:pStyle w:val="Heading1"/>
        <w:numPr>
          <w:ilvl w:val="0"/>
          <w:numId w:val="21"/>
        </w:numPr>
        <w:tabs>
          <w:tab w:pos="1540" w:val="left" w:leader="none"/>
        </w:tabs>
        <w:spacing w:line="240" w:lineRule="auto" w:before="206" w:after="0"/>
        <w:ind w:left="1540" w:right="0" w:hanging="360"/>
        <w:jc w:val="both"/>
      </w:pPr>
      <w:r>
        <w:rPr/>
        <w:t>Gene</w:t>
      </w:r>
      <w:r>
        <w:rPr>
          <w:spacing w:val="-2"/>
        </w:rPr>
        <w:t> </w:t>
      </w:r>
      <w:r>
        <w:rPr/>
        <w:t>therapy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39"/>
        <w:jc w:val="both"/>
      </w:pPr>
      <w:r>
        <w:rPr/>
        <w:t>Autosomal recessive disorders e.g. SCD are good candidates for gene therapy because a normal</w:t>
      </w:r>
      <w:r>
        <w:rPr>
          <w:spacing w:val="1"/>
        </w:rPr>
        <w:t> </w:t>
      </w:r>
      <w:r>
        <w:rPr/>
        <w:t>phenotype can be restored in diseased cells with only a single normal copy of the mutant gene</w:t>
      </w:r>
      <w:r>
        <w:rPr>
          <w:spacing w:val="1"/>
        </w:rPr>
        <w:t> </w:t>
      </w:r>
      <w:r>
        <w:rPr/>
        <w:t>(Olowoyeye and Okwundu 2010). The challenge of replacement gene therapy for SCD is to</w:t>
      </w:r>
      <w:r>
        <w:rPr>
          <w:spacing w:val="1"/>
        </w:rPr>
        <w:t> </w:t>
      </w:r>
      <w:r>
        <w:rPr/>
        <w:t>ensure viral transduction into</w:t>
      </w:r>
      <w:r>
        <w:rPr>
          <w:spacing w:val="1"/>
        </w:rPr>
        <w:t> </w:t>
      </w:r>
      <w:r>
        <w:rPr/>
        <w:t>hematopoietic stem cells (HSCs) and to generate safe, stable,</w:t>
      </w:r>
      <w:r>
        <w:rPr>
          <w:spacing w:val="1"/>
        </w:rPr>
        <w:t> </w:t>
      </w:r>
      <w:r>
        <w:rPr/>
        <w:t>erythroid-specific replacement gene expression at a level that is sufficient to have a clinical</w:t>
      </w:r>
      <w:r>
        <w:rPr>
          <w:spacing w:val="1"/>
        </w:rPr>
        <w:t> </w:t>
      </w:r>
      <w:r>
        <w:rPr/>
        <w:t>effect. The necessity for fulfilling all these criteria may make this genetic disorder among the</w:t>
      </w:r>
      <w:r>
        <w:rPr>
          <w:spacing w:val="1"/>
        </w:rPr>
        <w:t> </w:t>
      </w:r>
      <w:r>
        <w:rPr/>
        <w:t>most complex to treat successfully by gene therapy (Walters, 2005).</w:t>
      </w:r>
      <w:r>
        <w:rPr>
          <w:spacing w:val="60"/>
        </w:rPr>
        <w:t> </w:t>
      </w:r>
      <w:r>
        <w:rPr/>
        <w:t>Gene therapy continues to</w:t>
      </w:r>
      <w:r>
        <w:rPr>
          <w:spacing w:val="1"/>
        </w:rPr>
        <w:t> </w:t>
      </w:r>
      <w:r>
        <w:rPr/>
        <w:t>be studied as a way to inactivate the sickle gene and to increase expression of the gene for HbF</w:t>
      </w:r>
      <w:r>
        <w:rPr>
          <w:spacing w:val="1"/>
        </w:rPr>
        <w:t> </w:t>
      </w:r>
      <w:r>
        <w:rPr/>
        <w:t>(Olowoyeye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Okwundu</w:t>
      </w:r>
      <w:r>
        <w:rPr>
          <w:spacing w:val="7"/>
        </w:rPr>
        <w:t> </w:t>
      </w:r>
      <w:r>
        <w:rPr/>
        <w:t>2010).</w:t>
      </w:r>
    </w:p>
    <w:p>
      <w:pPr>
        <w:pStyle w:val="Heading1"/>
        <w:numPr>
          <w:ilvl w:val="0"/>
          <w:numId w:val="21"/>
        </w:numPr>
        <w:tabs>
          <w:tab w:pos="1540" w:val="left" w:leader="none"/>
        </w:tabs>
        <w:spacing w:line="240" w:lineRule="auto" w:before="201" w:after="0"/>
        <w:ind w:left="1540" w:right="0" w:hanging="360"/>
        <w:jc w:val="both"/>
      </w:pPr>
      <w:r>
        <w:rPr/>
        <w:t>Stem</w:t>
      </w:r>
      <w:r>
        <w:rPr>
          <w:spacing w:val="-5"/>
        </w:rPr>
        <w:t> </w:t>
      </w:r>
      <w:r>
        <w:rPr/>
        <w:t>cells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 w:before="1"/>
        <w:ind w:left="820" w:right="1438"/>
        <w:jc w:val="both"/>
      </w:pPr>
      <w:r>
        <w:rPr>
          <w:spacing w:val="-1"/>
        </w:rPr>
        <w:t>Since the first report of successful BMT for </w:t>
      </w:r>
      <w:r>
        <w:rPr/>
        <w:t>SCA 20 years ago, stem cells curative therapy has</w:t>
      </w:r>
      <w:r>
        <w:rPr>
          <w:spacing w:val="1"/>
        </w:rPr>
        <w:t> </w:t>
      </w:r>
      <w:r>
        <w:rPr>
          <w:spacing w:val="-1"/>
        </w:rPr>
        <w:t>emerged</w:t>
      </w:r>
      <w:r>
        <w:rPr/>
        <w:t>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important option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treating</w:t>
      </w:r>
      <w:r>
        <w:rPr/>
        <w:t> </w:t>
      </w:r>
      <w:r>
        <w:rPr>
          <w:spacing w:val="-1"/>
        </w:rPr>
        <w:t>individuals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inherit</w:t>
      </w:r>
      <w:r>
        <w:rPr/>
        <w:t> </w:t>
      </w:r>
      <w:r>
        <w:rPr>
          <w:spacing w:val="-1"/>
        </w:rPr>
        <w:t>this</w:t>
      </w:r>
      <w:r>
        <w:rPr/>
        <w:t> disorder.</w:t>
      </w:r>
      <w:r>
        <w:rPr>
          <w:spacing w:val="60"/>
        </w:rPr>
        <w:t> </w:t>
      </w:r>
      <w:r>
        <w:rPr/>
        <w:t>While its</w:t>
      </w:r>
      <w:r>
        <w:rPr>
          <w:spacing w:val="1"/>
        </w:rPr>
        <w:t> </w:t>
      </w:r>
      <w:r>
        <w:rPr/>
        <w:t>curative potential distinguishes it from therapeutic alternatives, such as RBC transfusions and</w:t>
      </w:r>
      <w:r>
        <w:rPr>
          <w:spacing w:val="1"/>
        </w:rPr>
        <w:t> </w:t>
      </w:r>
      <w:r>
        <w:rPr>
          <w:spacing w:val="-1"/>
        </w:rPr>
        <w:t>hydroxyurea; the </w:t>
      </w:r>
      <w:r>
        <w:rPr/>
        <w:t>acute and late toxicities of transplantation raise concerns about its wider use</w:t>
      </w:r>
      <w:r>
        <w:rPr>
          <w:spacing w:val="1"/>
        </w:rPr>
        <w:t> </w:t>
      </w:r>
      <w:r>
        <w:rPr/>
        <w:t>(Walters </w:t>
      </w:r>
      <w:r>
        <w:rPr>
          <w:i/>
        </w:rPr>
        <w:t>et al</w:t>
      </w:r>
      <w:r>
        <w:rPr/>
        <w:t>., 2002). The use of cord-blood stem cells might avoid some of the problems of</w:t>
      </w:r>
      <w:r>
        <w:rPr>
          <w:spacing w:val="1"/>
        </w:rPr>
        <w:t> </w:t>
      </w:r>
      <w:r>
        <w:rPr/>
        <w:t>bone marrow transplantation (Brichard </w:t>
      </w:r>
      <w:r>
        <w:rPr>
          <w:i/>
        </w:rPr>
        <w:t>et al</w:t>
      </w:r>
      <w:r>
        <w:rPr/>
        <w:t>., 1996). Non-ablative marrow infusion, rather than</w:t>
      </w:r>
      <w:r>
        <w:rPr>
          <w:spacing w:val="1"/>
        </w:rPr>
        <w:t> </w:t>
      </w:r>
      <w:r>
        <w:rPr/>
        <w:t>total</w:t>
      </w:r>
      <w:r>
        <w:rPr>
          <w:spacing w:val="-3"/>
        </w:rPr>
        <w:t> </w:t>
      </w:r>
      <w:r>
        <w:rPr/>
        <w:t>marrow</w:t>
      </w:r>
      <w:r>
        <w:rPr>
          <w:spacing w:val="2"/>
        </w:rPr>
        <w:t> </w:t>
      </w:r>
      <w:r>
        <w:rPr/>
        <w:t>replacement,</w:t>
      </w:r>
      <w:r>
        <w:rPr>
          <w:spacing w:val="3"/>
        </w:rPr>
        <w:t> </w:t>
      </w:r>
      <w:r>
        <w:rPr/>
        <w:t>also</w:t>
      </w:r>
      <w:r>
        <w:rPr>
          <w:spacing w:val="7"/>
        </w:rPr>
        <w:t> </w:t>
      </w:r>
      <w:r>
        <w:rPr/>
        <w:t>shows</w:t>
      </w:r>
      <w:r>
        <w:rPr>
          <w:spacing w:val="1"/>
        </w:rPr>
        <w:t> </w:t>
      </w:r>
      <w:r>
        <w:rPr/>
        <w:t>promise.</w:t>
      </w:r>
    </w:p>
    <w:p>
      <w:pPr>
        <w:pStyle w:val="Heading1"/>
        <w:numPr>
          <w:ilvl w:val="0"/>
          <w:numId w:val="21"/>
        </w:numPr>
        <w:tabs>
          <w:tab w:pos="1540" w:val="left" w:leader="none"/>
        </w:tabs>
        <w:spacing w:line="240" w:lineRule="auto" w:before="198" w:after="0"/>
        <w:ind w:left="1540" w:right="0" w:hanging="360"/>
        <w:jc w:val="both"/>
      </w:pPr>
      <w:r>
        <w:rPr/>
        <w:t>Anti</w:t>
      </w:r>
      <w:r>
        <w:rPr>
          <w:spacing w:val="-3"/>
        </w:rPr>
        <w:t> </w:t>
      </w:r>
      <w:r>
        <w:rPr/>
        <w:t>adherence</w:t>
      </w:r>
      <w:r>
        <w:rPr>
          <w:spacing w:val="-3"/>
        </w:rPr>
        <w:t> </w:t>
      </w:r>
      <w:r>
        <w:rPr/>
        <w:t>therapy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41" w:firstLine="57"/>
        <w:jc w:val="both"/>
      </w:pPr>
      <w:r>
        <w:rPr/>
        <w:t>Vaso-occlusive episodes are</w:t>
      </w:r>
      <w:r>
        <w:rPr>
          <w:spacing w:val="1"/>
        </w:rPr>
        <w:t> </w:t>
      </w:r>
      <w:r>
        <w:rPr/>
        <w:t>central events</w:t>
      </w:r>
      <w:r>
        <w:rPr>
          <w:spacing w:val="1"/>
        </w:rPr>
        <w:t> </w:t>
      </w:r>
      <w:r>
        <w:rPr/>
        <w:t>in the pathophysiology of SCD associated with</w:t>
      </w:r>
      <w:r>
        <w:rPr>
          <w:spacing w:val="1"/>
        </w:rPr>
        <w:t> </w:t>
      </w:r>
      <w:r>
        <w:rPr/>
        <w:t>abnormal adhesive interactions between erythrocyte, reticulocytes, endothelial cells, platelets or</w:t>
      </w:r>
      <w:r>
        <w:rPr>
          <w:spacing w:val="1"/>
        </w:rPr>
        <w:t> </w:t>
      </w:r>
      <w:r>
        <w:rPr/>
        <w:t>soluble mediators which may represent a possible new therapeutic target. The end-point of anti-</w:t>
      </w:r>
      <w:r>
        <w:rPr>
          <w:spacing w:val="1"/>
        </w:rPr>
        <w:t> </w:t>
      </w:r>
      <w:r>
        <w:rPr/>
        <w:t>adherence therapy is to interfere with the initialization and/or amplification of adhesive events.</w:t>
      </w:r>
      <w:r>
        <w:rPr>
          <w:spacing w:val="1"/>
        </w:rPr>
        <w:t> </w:t>
      </w:r>
      <w:r>
        <w:rPr/>
        <w:t>These strategies can</w:t>
      </w:r>
      <w:r>
        <w:rPr>
          <w:spacing w:val="-3"/>
        </w:rPr>
        <w:t> </w:t>
      </w:r>
      <w:r>
        <w:rPr/>
        <w:t>be</w:t>
      </w:r>
      <w:r>
        <w:rPr>
          <w:spacing w:val="1"/>
        </w:rPr>
        <w:t> </w:t>
      </w:r>
      <w:r>
        <w:rPr/>
        <w:t>divided</w:t>
      </w:r>
      <w:r>
        <w:rPr>
          <w:spacing w:val="7"/>
        </w:rPr>
        <w:t> </w:t>
      </w:r>
      <w:r>
        <w:rPr/>
        <w:t>into: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numPr>
          <w:ilvl w:val="0"/>
          <w:numId w:val="25"/>
        </w:numPr>
        <w:tabs>
          <w:tab w:pos="1540" w:val="left" w:leader="none"/>
        </w:tabs>
        <w:spacing w:line="355" w:lineRule="auto" w:before="76" w:after="0"/>
        <w:ind w:left="1540" w:right="1444" w:hanging="360"/>
        <w:jc w:val="both"/>
      </w:pPr>
      <w:r>
        <w:rPr/>
        <w:t>Molecules</w:t>
      </w:r>
      <w:r>
        <w:rPr>
          <w:spacing w:val="1"/>
        </w:rPr>
        <w:t> </w:t>
      </w:r>
      <w:r>
        <w:rPr/>
        <w:t>interfering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chemical-physical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erythrocyte-</w:t>
      </w:r>
      <w:r>
        <w:rPr>
          <w:spacing w:val="1"/>
        </w:rPr>
        <w:t> </w:t>
      </w:r>
      <w:r>
        <w:rPr/>
        <w:t>endothelial</w:t>
      </w:r>
      <w:r>
        <w:rPr>
          <w:spacing w:val="-3"/>
        </w:rPr>
        <w:t> </w:t>
      </w:r>
      <w:r>
        <w:rPr/>
        <w:t>adhesion</w:t>
      </w:r>
      <w:r>
        <w:rPr>
          <w:spacing w:val="3"/>
        </w:rPr>
        <w:t> </w:t>
      </w:r>
      <w:r>
        <w:rPr/>
        <w:t>events</w:t>
      </w:r>
    </w:p>
    <w:p>
      <w:pPr>
        <w:pStyle w:val="BodyText"/>
        <w:spacing w:line="360" w:lineRule="auto" w:before="206"/>
        <w:ind w:left="820" w:right="1441"/>
        <w:jc w:val="both"/>
      </w:pPr>
      <w:r>
        <w:rPr/>
        <w:t>Non-ionic surfactant block copolymer such as RheothRx (Poloxamer 188) lowers viscosity and</w:t>
      </w:r>
      <w:r>
        <w:rPr>
          <w:spacing w:val="1"/>
        </w:rPr>
        <w:t> </w:t>
      </w:r>
      <w:r>
        <w:rPr/>
        <w:t>frictional forces in RBCs which improves microvascular blood flow. Phase II studies have shown</w:t>
      </w:r>
      <w:r>
        <w:rPr>
          <w:spacing w:val="-58"/>
        </w:rPr>
        <w:t> </w:t>
      </w:r>
      <w:r>
        <w:rPr/>
        <w:t>a limited favourable effect in treatment of acute pain crises when compared with hydroxyurea in</w:t>
      </w:r>
      <w:r>
        <w:rPr>
          <w:spacing w:val="1"/>
        </w:rPr>
        <w:t> </w:t>
      </w:r>
      <w:r>
        <w:rPr/>
        <w:t>sickle</w:t>
      </w:r>
      <w:r>
        <w:rPr>
          <w:spacing w:val="1"/>
        </w:rPr>
        <w:t> </w:t>
      </w:r>
      <w:r>
        <w:rPr/>
        <w:t>cell children.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clinical development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planned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compound</w:t>
      </w:r>
      <w:r>
        <w:rPr>
          <w:spacing w:val="1"/>
        </w:rPr>
        <w:t> </w:t>
      </w:r>
      <w:r>
        <w:rPr/>
        <w:t>(De</w:t>
      </w:r>
      <w:r>
        <w:rPr>
          <w:spacing w:val="1"/>
        </w:rPr>
        <w:t> </w:t>
      </w:r>
      <w:r>
        <w:rPr/>
        <w:t>Franceschi,</w:t>
      </w:r>
      <w:r>
        <w:rPr>
          <w:spacing w:val="4"/>
        </w:rPr>
        <w:t> </w:t>
      </w:r>
      <w:r>
        <w:rPr/>
        <w:t>2009).</w:t>
      </w:r>
    </w:p>
    <w:p>
      <w:pPr>
        <w:pStyle w:val="Heading1"/>
        <w:numPr>
          <w:ilvl w:val="0"/>
          <w:numId w:val="25"/>
        </w:numPr>
        <w:tabs>
          <w:tab w:pos="1540" w:val="left" w:leader="none"/>
        </w:tabs>
        <w:spacing w:line="240" w:lineRule="auto" w:before="201" w:after="0"/>
        <w:ind w:left="1540" w:right="0" w:hanging="360"/>
        <w:jc w:val="both"/>
      </w:pPr>
      <w:r>
        <w:rPr/>
        <w:t>Molecules</w:t>
      </w:r>
      <w:r>
        <w:rPr>
          <w:spacing w:val="-5"/>
        </w:rPr>
        <w:t> </w:t>
      </w:r>
      <w:r>
        <w:rPr/>
        <w:t>interfering</w:t>
      </w:r>
      <w:r>
        <w:rPr>
          <w:spacing w:val="-4"/>
        </w:rPr>
        <w:t> </w:t>
      </w:r>
      <w:r>
        <w:rPr/>
        <w:t>with</w:t>
      </w:r>
      <w:r>
        <w:rPr>
          <w:spacing w:val="-2"/>
        </w:rPr>
        <w:t> </w:t>
      </w:r>
      <w:r>
        <w:rPr/>
        <w:t>sickle</w:t>
      </w:r>
      <w:r>
        <w:rPr>
          <w:spacing w:val="-4"/>
        </w:rPr>
        <w:t> </w:t>
      </w:r>
      <w:r>
        <w:rPr/>
        <w:t>cell-endothelial</w:t>
      </w:r>
      <w:r>
        <w:rPr>
          <w:spacing w:val="-7"/>
        </w:rPr>
        <w:t> </w:t>
      </w:r>
      <w:r>
        <w:rPr/>
        <w:t>adhesive</w:t>
      </w:r>
      <w:r>
        <w:rPr>
          <w:spacing w:val="-4"/>
        </w:rPr>
        <w:t> </w:t>
      </w:r>
      <w:r>
        <w:rPr/>
        <w:t>mechanisms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55" w:lineRule="auto"/>
        <w:ind w:left="820" w:right="1444"/>
        <w:jc w:val="both"/>
      </w:pPr>
      <w:r>
        <w:rPr/>
        <w:t>Sickle cell-endothelial adherence might be blocked by anionic polysaccharides such as high</w:t>
      </w:r>
      <w:r>
        <w:rPr>
          <w:spacing w:val="1"/>
        </w:rPr>
        <w:t> </w:t>
      </w:r>
      <w:r>
        <w:rPr/>
        <w:t>molecular weight</w:t>
      </w:r>
      <w:r>
        <w:rPr>
          <w:spacing w:val="5"/>
        </w:rPr>
        <w:t> </w:t>
      </w:r>
      <w:r>
        <w:rPr/>
        <w:t>dextran</w:t>
      </w:r>
      <w:r>
        <w:rPr>
          <w:spacing w:val="-5"/>
        </w:rPr>
        <w:t> </w:t>
      </w:r>
      <w:r>
        <w:rPr/>
        <w:t>sulfate</w:t>
      </w:r>
      <w:r>
        <w:rPr>
          <w:spacing w:val="-6"/>
        </w:rPr>
        <w:t> </w:t>
      </w:r>
      <w:r>
        <w:rPr/>
        <w:t>or</w:t>
      </w:r>
      <w:r>
        <w:rPr>
          <w:spacing w:val="-3"/>
        </w:rPr>
        <w:t> </w:t>
      </w:r>
      <w:r>
        <w:rPr/>
        <w:t>chondroitin</w:t>
      </w:r>
      <w:r>
        <w:rPr>
          <w:spacing w:val="-5"/>
        </w:rPr>
        <w:t> </w:t>
      </w:r>
      <w:r>
        <w:rPr/>
        <w:t>sulphate,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/>
        <w:t>heparin</w:t>
      </w:r>
      <w:r>
        <w:rPr>
          <w:spacing w:val="-6"/>
        </w:rPr>
        <w:t> </w:t>
      </w:r>
      <w:r>
        <w:rPr/>
        <w:t>(De</w:t>
      </w:r>
      <w:r>
        <w:rPr>
          <w:spacing w:val="-1"/>
        </w:rPr>
        <w:t> </w:t>
      </w:r>
      <w:r>
        <w:rPr/>
        <w:t>Franceschi,</w:t>
      </w:r>
      <w:r>
        <w:rPr>
          <w:spacing w:val="2"/>
        </w:rPr>
        <w:t> </w:t>
      </w:r>
      <w:r>
        <w:rPr/>
        <w:t>2009) .</w:t>
      </w:r>
    </w:p>
    <w:p>
      <w:pPr>
        <w:pStyle w:val="Heading1"/>
        <w:numPr>
          <w:ilvl w:val="0"/>
          <w:numId w:val="25"/>
        </w:numPr>
        <w:tabs>
          <w:tab w:pos="1540" w:val="left" w:leader="none"/>
        </w:tabs>
        <w:spacing w:line="355" w:lineRule="auto" w:before="216" w:after="0"/>
        <w:ind w:left="1540" w:right="1439" w:hanging="360"/>
        <w:jc w:val="both"/>
      </w:pPr>
      <w:r>
        <w:rPr/>
        <w:t>Molecules</w:t>
      </w:r>
      <w:r>
        <w:rPr>
          <w:spacing w:val="1"/>
        </w:rPr>
        <w:t> </w:t>
      </w:r>
      <w:r>
        <w:rPr/>
        <w:t>modulating inflammatory</w:t>
      </w:r>
      <w:r>
        <w:rPr>
          <w:spacing w:val="1"/>
        </w:rPr>
        <w:t> </w:t>
      </w:r>
      <w:r>
        <w:rPr/>
        <w:t>pathways 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sickle</w:t>
      </w:r>
      <w:r>
        <w:rPr>
          <w:spacing w:val="1"/>
        </w:rPr>
        <w:t> </w:t>
      </w:r>
      <w:r>
        <w:rPr/>
        <w:t>cell-endothelial</w:t>
      </w:r>
      <w:r>
        <w:rPr>
          <w:spacing w:val="1"/>
        </w:rPr>
        <w:t> </w:t>
      </w:r>
      <w:r>
        <w:rPr/>
        <w:t>adhesion</w:t>
      </w:r>
    </w:p>
    <w:p>
      <w:pPr>
        <w:pStyle w:val="BodyText"/>
        <w:spacing w:line="360" w:lineRule="auto" w:before="205"/>
        <w:ind w:left="820" w:right="1434"/>
        <w:jc w:val="both"/>
      </w:pPr>
      <w:r>
        <w:rPr/>
        <w:t>Chronic inflammatory states have been described in SCD patients. These factors participate to</w:t>
      </w:r>
      <w:r>
        <w:rPr>
          <w:spacing w:val="1"/>
        </w:rPr>
        <w:t> </w:t>
      </w:r>
      <w:r>
        <w:rPr/>
        <w:t>affect leukocyte chemotasis, modulate vascular tone and contribute in sickle cell related tissue</w:t>
      </w:r>
      <w:r>
        <w:rPr>
          <w:spacing w:val="1"/>
        </w:rPr>
        <w:t> </w:t>
      </w:r>
      <w:r>
        <w:rPr/>
        <w:t>damage. Thus, anti-inflammatory therapy has been proposed to</w:t>
      </w:r>
      <w:r>
        <w:rPr>
          <w:spacing w:val="1"/>
        </w:rPr>
        <w:t> </w:t>
      </w:r>
      <w:r>
        <w:rPr/>
        <w:t>interfere</w:t>
      </w:r>
      <w:r>
        <w:rPr>
          <w:spacing w:val="60"/>
        </w:rPr>
        <w:t> </w:t>
      </w:r>
      <w:r>
        <w:rPr/>
        <w:t>with inflammatory</w:t>
      </w:r>
      <w:r>
        <w:rPr>
          <w:spacing w:val="1"/>
        </w:rPr>
        <w:t> </w:t>
      </w:r>
      <w:r>
        <w:rPr/>
        <w:t>storm</w:t>
      </w:r>
      <w:r>
        <w:rPr>
          <w:spacing w:val="-9"/>
        </w:rPr>
        <w:t> </w:t>
      </w:r>
      <w:r>
        <w:rPr/>
        <w:t>and</w:t>
      </w:r>
      <w:r>
        <w:rPr>
          <w:spacing w:val="1"/>
        </w:rPr>
        <w:t> </w:t>
      </w:r>
      <w:r>
        <w:rPr/>
        <w:t>abnormal</w:t>
      </w:r>
      <w:r>
        <w:rPr>
          <w:spacing w:val="-3"/>
        </w:rPr>
        <w:t> </w:t>
      </w:r>
      <w:r>
        <w:rPr/>
        <w:t>vascular</w:t>
      </w:r>
      <w:r>
        <w:rPr>
          <w:spacing w:val="2"/>
        </w:rPr>
        <w:t> </w:t>
      </w:r>
      <w:r>
        <w:rPr/>
        <w:t>activation.</w:t>
      </w:r>
      <w:r>
        <w:rPr>
          <w:spacing w:val="2"/>
        </w:rPr>
        <w:t> </w:t>
      </w:r>
      <w:r>
        <w:rPr/>
        <w:t>e.g.</w:t>
      </w:r>
      <w:r>
        <w:rPr>
          <w:spacing w:val="-1"/>
        </w:rPr>
        <w:t> </w:t>
      </w:r>
      <w:r>
        <w:rPr/>
        <w:t>Sulfasalazine (De</w:t>
      </w:r>
      <w:r>
        <w:rPr>
          <w:spacing w:val="-1"/>
        </w:rPr>
        <w:t> </w:t>
      </w:r>
      <w:r>
        <w:rPr/>
        <w:t>Franceschi,</w:t>
      </w:r>
      <w:r>
        <w:rPr>
          <w:spacing w:val="3"/>
        </w:rPr>
        <w:t> </w:t>
      </w:r>
      <w:r>
        <w:rPr/>
        <w:t>2009).</w:t>
      </w:r>
    </w:p>
    <w:p>
      <w:pPr>
        <w:pStyle w:val="Heading1"/>
        <w:numPr>
          <w:ilvl w:val="0"/>
          <w:numId w:val="25"/>
        </w:numPr>
        <w:tabs>
          <w:tab w:pos="1540" w:val="left" w:leader="none"/>
        </w:tabs>
        <w:spacing w:line="240" w:lineRule="auto" w:before="202" w:after="0"/>
        <w:ind w:left="1540" w:right="0" w:hanging="360"/>
        <w:jc w:val="both"/>
      </w:pPr>
      <w:r>
        <w:rPr/>
        <w:t>The</w:t>
      </w:r>
      <w:r>
        <w:rPr>
          <w:spacing w:val="-3"/>
        </w:rPr>
        <w:t> </w:t>
      </w:r>
      <w:r>
        <w:rPr/>
        <w:t>heme-oxygenase-1</w:t>
      </w:r>
      <w:r>
        <w:rPr>
          <w:spacing w:val="-2"/>
        </w:rPr>
        <w:t> </w:t>
      </w:r>
      <w:r>
        <w:rPr/>
        <w:t>connection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38"/>
        <w:jc w:val="both"/>
      </w:pPr>
      <w:r>
        <w:rPr/>
        <w:t>Heme-oxygenase-1 is a cytoprotective gene which has been shown to increase in response to</w:t>
      </w:r>
      <w:r>
        <w:rPr>
          <w:spacing w:val="1"/>
        </w:rPr>
        <w:t> </w:t>
      </w:r>
      <w:r>
        <w:rPr/>
        <w:t>chronic inflammatory stress characterizing SCD. Belcher </w:t>
      </w:r>
      <w:r>
        <w:rPr>
          <w:i/>
        </w:rPr>
        <w:t>et al., </w:t>
      </w:r>
      <w:r>
        <w:rPr/>
        <w:t>(2005) have shown up-regulation</w:t>
      </w:r>
      <w:r>
        <w:rPr>
          <w:spacing w:val="-57"/>
        </w:rPr>
        <w:t> </w:t>
      </w:r>
      <w:r>
        <w:rPr/>
        <w:t>of cytoprotective gene as heme oxygenase-1 (HO-1) and a reduction of the sickle cell related</w:t>
      </w:r>
      <w:r>
        <w:rPr>
          <w:spacing w:val="1"/>
        </w:rPr>
        <w:t> </w:t>
      </w:r>
      <w:r>
        <w:rPr/>
        <w:t>organ damage when pathological mice were treated with heme oxygenase-1 products. However,</w:t>
      </w:r>
      <w:r>
        <w:rPr>
          <w:spacing w:val="1"/>
        </w:rPr>
        <w:t> </w:t>
      </w:r>
      <w:r>
        <w:rPr/>
        <w:t>this</w:t>
      </w:r>
      <w:r>
        <w:rPr>
          <w:spacing w:val="4"/>
        </w:rPr>
        <w:t> </w:t>
      </w:r>
      <w:r>
        <w:rPr/>
        <w:t>is still</w:t>
      </w:r>
      <w:r>
        <w:rPr>
          <w:spacing w:val="-3"/>
        </w:rPr>
        <w:t> </w:t>
      </w:r>
      <w:r>
        <w:rPr/>
        <w:t>being</w:t>
      </w:r>
      <w:r>
        <w:rPr>
          <w:spacing w:val="2"/>
        </w:rPr>
        <w:t> </w:t>
      </w:r>
      <w:r>
        <w:rPr/>
        <w:t>studied</w:t>
      </w:r>
      <w:r>
        <w:rPr>
          <w:spacing w:val="2"/>
        </w:rPr>
        <w:t> </w:t>
      </w:r>
      <w:r>
        <w:rPr/>
        <w:t>(De Franceschi,</w:t>
      </w:r>
      <w:r>
        <w:rPr>
          <w:spacing w:val="4"/>
        </w:rPr>
        <w:t> </w:t>
      </w:r>
      <w:r>
        <w:rPr/>
        <w:t>2009).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numPr>
          <w:ilvl w:val="1"/>
          <w:numId w:val="14"/>
        </w:numPr>
        <w:tabs>
          <w:tab w:pos="1362" w:val="left" w:leader="none"/>
        </w:tabs>
        <w:spacing w:line="240" w:lineRule="auto" w:before="72" w:after="0"/>
        <w:ind w:left="1361" w:right="0" w:hanging="542"/>
        <w:jc w:val="both"/>
      </w:pPr>
      <w:bookmarkStart w:name="_TOC_250035" w:id="19"/>
      <w:bookmarkEnd w:id="19"/>
      <w:r>
        <w:rPr/>
        <w:t>Micronutrients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 w:before="1"/>
        <w:ind w:left="820" w:right="1441"/>
        <w:jc w:val="both"/>
      </w:pPr>
      <w:r>
        <w:rPr/>
        <w:t>Micronutrients are nutrients needed throughout life in small quantities. They are dietary minerals</w:t>
      </w:r>
      <w:r>
        <w:rPr>
          <w:spacing w:val="-57"/>
        </w:rPr>
        <w:t> </w:t>
      </w:r>
      <w:r>
        <w:rPr/>
        <w:t>which are essential for</w:t>
      </w:r>
      <w:r>
        <w:rPr>
          <w:spacing w:val="1"/>
        </w:rPr>
        <w:t> </w:t>
      </w:r>
      <w:r>
        <w:rPr/>
        <w:t>normal growth and</w:t>
      </w:r>
      <w:r>
        <w:rPr>
          <w:spacing w:val="1"/>
        </w:rPr>
        <w:t> </w:t>
      </w:r>
      <w:r>
        <w:rPr/>
        <w:t>body functions. They are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very small</w:t>
      </w:r>
      <w:r>
        <w:rPr>
          <w:spacing w:val="1"/>
        </w:rPr>
        <w:t> </w:t>
      </w:r>
      <w:r>
        <w:rPr/>
        <w:t>quantities   as   opposed   to  </w:t>
      </w:r>
      <w:r>
        <w:rPr>
          <w:spacing w:val="1"/>
        </w:rPr>
        <w:t> </w:t>
      </w:r>
      <w:r>
        <w:rPr/>
        <w:t>macro-minerals    which   are   required    in    larger   quantities.</w:t>
      </w:r>
      <w:r>
        <w:rPr>
          <w:spacing w:val="1"/>
        </w:rPr>
        <w:t> </w:t>
      </w:r>
      <w:r>
        <w:rPr/>
        <w:t>The micronutrients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vitamins,</w:t>
      </w:r>
      <w:r>
        <w:rPr>
          <w:spacing w:val="1"/>
        </w:rPr>
        <w:t> </w:t>
      </w:r>
      <w:r>
        <w:rPr/>
        <w:t>iron,</w:t>
      </w:r>
      <w:r>
        <w:rPr>
          <w:spacing w:val="1"/>
        </w:rPr>
        <w:t> </w:t>
      </w:r>
      <w:r>
        <w:rPr/>
        <w:t>cobalt,</w:t>
      </w:r>
      <w:r>
        <w:rPr>
          <w:spacing w:val="1"/>
        </w:rPr>
        <w:t> </w:t>
      </w:r>
      <w:r>
        <w:rPr/>
        <w:t>chromium,</w:t>
      </w:r>
      <w:r>
        <w:rPr>
          <w:spacing w:val="1"/>
        </w:rPr>
        <w:t> </w:t>
      </w:r>
      <w:r>
        <w:rPr/>
        <w:t>copper,</w:t>
      </w:r>
      <w:r>
        <w:rPr>
          <w:spacing w:val="1"/>
        </w:rPr>
        <w:t> </w:t>
      </w:r>
      <w:r>
        <w:rPr/>
        <w:t>iodine,</w:t>
      </w:r>
      <w:r>
        <w:rPr>
          <w:spacing w:val="1"/>
        </w:rPr>
        <w:t> </w:t>
      </w:r>
      <w:r>
        <w:rPr/>
        <w:t>manganese,</w:t>
      </w:r>
      <w:r>
        <w:rPr>
          <w:spacing w:val="1"/>
        </w:rPr>
        <w:t> </w:t>
      </w:r>
      <w:r>
        <w:rPr/>
        <w:t>magnesium,</w:t>
      </w:r>
      <w:r>
        <w:rPr>
          <w:spacing w:val="3"/>
        </w:rPr>
        <w:t> </w:t>
      </w:r>
      <w:r>
        <w:rPr/>
        <w:t>selenium,</w:t>
      </w:r>
      <w:r>
        <w:rPr>
          <w:spacing w:val="3"/>
        </w:rPr>
        <w:t> </w:t>
      </w:r>
      <w:r>
        <w:rPr/>
        <w:t>zinc</w:t>
      </w:r>
      <w:r>
        <w:rPr>
          <w:spacing w:val="1"/>
        </w:rPr>
        <w:t> </w:t>
      </w:r>
      <w:r>
        <w:rPr/>
        <w:t>and</w:t>
      </w:r>
      <w:r>
        <w:rPr>
          <w:spacing w:val="6"/>
        </w:rPr>
        <w:t> </w:t>
      </w:r>
      <w:r>
        <w:rPr/>
        <w:t>molybdenum.</w:t>
      </w:r>
    </w:p>
    <w:p>
      <w:pPr>
        <w:pStyle w:val="Heading1"/>
        <w:numPr>
          <w:ilvl w:val="2"/>
          <w:numId w:val="14"/>
        </w:numPr>
        <w:tabs>
          <w:tab w:pos="1482" w:val="left" w:leader="none"/>
        </w:tabs>
        <w:spacing w:line="240" w:lineRule="auto" w:before="200" w:after="0"/>
        <w:ind w:left="1481" w:right="0" w:hanging="662"/>
        <w:jc w:val="both"/>
      </w:pPr>
      <w:bookmarkStart w:name="_TOC_250034" w:id="20"/>
      <w:bookmarkEnd w:id="20"/>
      <w:r>
        <w:rPr/>
        <w:t>Introduction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35"/>
        <w:jc w:val="both"/>
      </w:pPr>
      <w:r>
        <w:rPr/>
        <w:t>"Micronutrients"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collective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vitamins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trace</w:t>
      </w:r>
      <w:r>
        <w:rPr>
          <w:spacing w:val="1"/>
        </w:rPr>
        <w:t> </w:t>
      </w:r>
      <w:r>
        <w:rPr/>
        <w:t>minerals.</w:t>
      </w:r>
      <w:r>
        <w:rPr>
          <w:spacing w:val="1"/>
        </w:rPr>
        <w:t> </w:t>
      </w:r>
      <w:r>
        <w:rPr/>
        <w:t>Inadequate intake of them is now recognized as an important contributor to the global burden of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rates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illnesses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deaths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infectious</w:t>
      </w:r>
      <w:r>
        <w:rPr>
          <w:spacing w:val="1"/>
        </w:rPr>
        <w:t> </w:t>
      </w:r>
      <w:r>
        <w:rPr/>
        <w:t>diseases,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disabilities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impairment</w:t>
      </w:r>
      <w:r>
        <w:rPr>
          <w:spacing w:val="1"/>
        </w:rPr>
        <w:t> </w:t>
      </w:r>
      <w:r>
        <w:rPr/>
        <w:t>(Black,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Micronutrient</w:t>
      </w:r>
      <w:r>
        <w:rPr>
          <w:spacing w:val="1"/>
        </w:rPr>
        <w:t> </w:t>
      </w:r>
      <w:r>
        <w:rPr/>
        <w:t>malnutrition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approximately 2 billion people worldwide (Howson, </w:t>
      </w:r>
      <w:r>
        <w:rPr>
          <w:i/>
        </w:rPr>
        <w:t>et al</w:t>
      </w:r>
      <w:r>
        <w:rPr/>
        <w:t>., 1998). Under-nutrition and infectious</w:t>
      </w:r>
      <w:r>
        <w:rPr>
          <w:spacing w:val="1"/>
        </w:rPr>
        <w:t> </w:t>
      </w:r>
      <w:r>
        <w:rPr/>
        <w:t>diseases exist</w:t>
      </w:r>
      <w:r>
        <w:rPr>
          <w:spacing w:val="1"/>
        </w:rPr>
        <w:t> </w:t>
      </w:r>
      <w:r>
        <w:rPr/>
        <w:t>in a</w:t>
      </w:r>
      <w:r>
        <w:rPr>
          <w:spacing w:val="1"/>
        </w:rPr>
        <w:t> </w:t>
      </w:r>
      <w:r>
        <w:rPr/>
        <w:t>baleful synergy.</w:t>
      </w:r>
      <w:r>
        <w:rPr>
          <w:spacing w:val="1"/>
        </w:rPr>
        <w:t> </w:t>
      </w:r>
      <w:r>
        <w:rPr/>
        <w:t>Under-nutrition reduces immunological capacity to</w:t>
      </w:r>
      <w:r>
        <w:rPr>
          <w:spacing w:val="60"/>
        </w:rPr>
        <w:t> </w:t>
      </w:r>
      <w:r>
        <w:rPr/>
        <w:t>defend</w:t>
      </w:r>
      <w:r>
        <w:rPr>
          <w:spacing w:val="1"/>
        </w:rPr>
        <w:t> </w:t>
      </w:r>
      <w:r>
        <w:rPr/>
        <w:t>the body against diseases, and diseases deplete and deprive the body of essential nutrients (Ezzati</w:t>
      </w:r>
      <w:r>
        <w:rPr>
          <w:spacing w:val="-57"/>
        </w:rPr>
        <w:t> </w:t>
      </w:r>
      <w:r>
        <w:rPr>
          <w:i/>
        </w:rPr>
        <w:t>et al</w:t>
      </w:r>
      <w:r>
        <w:rPr/>
        <w:t>., 2002). Under-nutrition and infectious diseases further exacerbate poverty through lost</w:t>
      </w:r>
      <w:r>
        <w:rPr>
          <w:spacing w:val="1"/>
        </w:rPr>
        <w:t> </w:t>
      </w:r>
      <w:r>
        <w:rPr/>
        <w:t>wages, increased health care costs, and most insidiously impaired intellectual development that</w:t>
      </w:r>
      <w:r>
        <w:rPr>
          <w:spacing w:val="1"/>
        </w:rPr>
        <w:t> </w:t>
      </w:r>
      <w:r>
        <w:rPr/>
        <w:t>can significantly reduce earning potential. Deficiencies of micronutrients are highly prevalent in</w:t>
      </w:r>
      <w:r>
        <w:rPr>
          <w:spacing w:val="1"/>
        </w:rPr>
        <w:t> </w:t>
      </w:r>
      <w:r>
        <w:rPr/>
        <w:t>low- and middle-income countries and are globally the most important risk factors for illness and</w:t>
      </w:r>
      <w:r>
        <w:rPr>
          <w:spacing w:val="-57"/>
        </w:rPr>
        <w:t> </w:t>
      </w:r>
      <w:r>
        <w:rPr/>
        <w:t>death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infectious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non-immune</w:t>
      </w:r>
      <w:r>
        <w:rPr>
          <w:spacing w:val="1"/>
        </w:rPr>
        <w:t> </w:t>
      </w:r>
      <w:r>
        <w:rPr/>
        <w:t>defences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compromising normal physiology or development (Muller and Brugnara 2001). The adverse</w:t>
      </w:r>
      <w:r>
        <w:rPr>
          <w:spacing w:val="1"/>
        </w:rPr>
        <w:t> </w:t>
      </w:r>
      <w:r>
        <w:rPr/>
        <w:t>squeal of micronutrient deficiencies are profound and include premature death, poor health,</w:t>
      </w:r>
      <w:r>
        <w:rPr>
          <w:spacing w:val="1"/>
        </w:rPr>
        <w:t> </w:t>
      </w:r>
      <w:r>
        <w:rPr/>
        <w:t>blindness,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stunting,</w:t>
      </w:r>
      <w:r>
        <w:rPr>
          <w:spacing w:val="1"/>
        </w:rPr>
        <w:t> </w:t>
      </w:r>
      <w:r>
        <w:rPr/>
        <w:t>mental retardation,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disabilities,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(Darnton-Hill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 2005).</w:t>
      </w:r>
    </w:p>
    <w:p>
      <w:pPr>
        <w:pStyle w:val="BodyText"/>
        <w:spacing w:line="360" w:lineRule="auto" w:before="197"/>
        <w:ind w:left="820" w:right="1435"/>
        <w:jc w:val="both"/>
      </w:pPr>
      <w:r>
        <w:rPr/>
        <w:t>People with SCA suffer from many nutrient deficiencies, but preliminary research on dietary</w:t>
      </w:r>
      <w:r>
        <w:rPr>
          <w:spacing w:val="1"/>
        </w:rPr>
        <w:t> </w:t>
      </w:r>
      <w:r>
        <w:rPr/>
        <w:t>habits shows that food and nutrient intake by sickle cell patients in general meets or exceeds</w:t>
      </w:r>
      <w:r>
        <w:rPr>
          <w:spacing w:val="1"/>
        </w:rPr>
        <w:t> </w:t>
      </w:r>
      <w:r>
        <w:rPr/>
        <w:t>recommendations and is not significantly different from healthy controls (Prasad, 1997). This</w:t>
      </w:r>
      <w:r>
        <w:rPr>
          <w:spacing w:val="1"/>
        </w:rPr>
        <w:t> </w:t>
      </w:r>
      <w:r>
        <w:rPr/>
        <w:t>suggests that the higher rate of nutrient deficiencies may be due to an increased need for many</w:t>
      </w:r>
      <w:r>
        <w:rPr>
          <w:spacing w:val="1"/>
        </w:rPr>
        <w:t> </w:t>
      </w:r>
      <w:r>
        <w:rPr/>
        <w:t>nutrients in sickle cell patients (Hsu and Muller 2001). The effectiveness of dietary interventions</w:t>
      </w:r>
      <w:r>
        <w:rPr>
          <w:spacing w:val="1"/>
        </w:rPr>
        <w:t> </w:t>
      </w:r>
      <w:r>
        <w:rPr/>
        <w:t>in</w:t>
      </w:r>
      <w:r>
        <w:rPr>
          <w:spacing w:val="7"/>
        </w:rPr>
        <w:t> </w:t>
      </w:r>
      <w:r>
        <w:rPr/>
        <w:t>supplying</w:t>
      </w:r>
      <w:r>
        <w:rPr>
          <w:spacing w:val="5"/>
        </w:rPr>
        <w:t> </w:t>
      </w:r>
      <w:r>
        <w:rPr/>
        <w:t>adequate</w:t>
      </w:r>
      <w:r>
        <w:rPr>
          <w:spacing w:val="3"/>
        </w:rPr>
        <w:t> </w:t>
      </w:r>
      <w:r>
        <w:rPr/>
        <w:t>nutrition</w:t>
      </w:r>
      <w:r>
        <w:rPr>
          <w:spacing w:val="4"/>
        </w:rPr>
        <w:t> </w:t>
      </w:r>
      <w:r>
        <w:rPr/>
        <w:t>to</w:t>
      </w:r>
      <w:r>
        <w:rPr>
          <w:spacing w:val="8"/>
        </w:rPr>
        <w:t> </w:t>
      </w:r>
      <w:r>
        <w:rPr/>
        <w:t>meet</w:t>
      </w:r>
      <w:r>
        <w:rPr>
          <w:spacing w:val="9"/>
        </w:rPr>
        <w:t> </w:t>
      </w:r>
      <w:r>
        <w:rPr/>
        <w:t>these</w:t>
      </w:r>
      <w:r>
        <w:rPr>
          <w:spacing w:val="11"/>
        </w:rPr>
        <w:t> </w:t>
      </w:r>
      <w:r>
        <w:rPr/>
        <w:t>higher</w:t>
      </w:r>
      <w:r>
        <w:rPr>
          <w:spacing w:val="5"/>
        </w:rPr>
        <w:t> </w:t>
      </w:r>
      <w:r>
        <w:rPr/>
        <w:t>demands</w:t>
      </w:r>
      <w:r>
        <w:rPr>
          <w:spacing w:val="6"/>
        </w:rPr>
        <w:t> </w:t>
      </w:r>
      <w:r>
        <w:rPr/>
        <w:t>needs</w:t>
      </w:r>
      <w:r>
        <w:rPr>
          <w:spacing w:val="6"/>
        </w:rPr>
        <w:t> </w:t>
      </w:r>
      <w:r>
        <w:rPr/>
        <w:t>to</w:t>
      </w:r>
      <w:r>
        <w:rPr>
          <w:spacing w:val="8"/>
        </w:rPr>
        <w:t> </w:t>
      </w:r>
      <w:r>
        <w:rPr/>
        <w:t>be</w:t>
      </w:r>
      <w:r>
        <w:rPr>
          <w:spacing w:val="3"/>
        </w:rPr>
        <w:t> </w:t>
      </w:r>
      <w:r>
        <w:rPr/>
        <w:t>continually examined.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60" w:lineRule="auto" w:before="72"/>
        <w:ind w:left="820" w:right="1436"/>
        <w:jc w:val="both"/>
      </w:pPr>
      <w:r>
        <w:rPr/>
        <w:t>So far, some researchers believe that the same antioxidants and anti-clotting foods that help</w:t>
      </w:r>
      <w:r>
        <w:rPr>
          <w:spacing w:val="1"/>
        </w:rPr>
        <w:t> </w:t>
      </w:r>
      <w:r>
        <w:rPr/>
        <w:t>prevent heart disease, stroke, and cancer also help reduce health problems caused by SCD (Hsu</w:t>
      </w:r>
      <w:r>
        <w:rPr>
          <w:spacing w:val="1"/>
        </w:rPr>
        <w:t> </w:t>
      </w:r>
      <w:r>
        <w:rPr/>
        <w:t>and Muller 2001). In SCDs, extra calories are needed. Recent research shows that children with</w:t>
      </w:r>
      <w:r>
        <w:rPr>
          <w:spacing w:val="1"/>
        </w:rPr>
        <w:t> </w:t>
      </w:r>
      <w:r>
        <w:rPr/>
        <w:t>sickle cell need about 20% more calories than other children to fuel their production of red blood</w:t>
      </w:r>
      <w:r>
        <w:rPr>
          <w:spacing w:val="-57"/>
        </w:rPr>
        <w:t> </w:t>
      </w:r>
      <w:r>
        <w:rPr/>
        <w:t>cells to replace the damaged, sickled ones (Muller and Brugnara 2001). Not getting enough</w:t>
      </w:r>
      <w:r>
        <w:rPr>
          <w:spacing w:val="1"/>
        </w:rPr>
        <w:t> </w:t>
      </w:r>
      <w:r>
        <w:rPr/>
        <w:t>calories may lead to delays in growth and maturation. The average energy intake of sickle cell</w:t>
      </w:r>
      <w:r>
        <w:rPr>
          <w:spacing w:val="1"/>
        </w:rPr>
        <w:t> </w:t>
      </w:r>
      <w:r>
        <w:rPr/>
        <w:t>patients is typically below the suggested allowance for calories during the quiescent phase of the</w:t>
      </w:r>
      <w:r>
        <w:rPr>
          <w:spacing w:val="1"/>
        </w:rPr>
        <w:t> </w:t>
      </w:r>
      <w:r>
        <w:rPr/>
        <w:t>disease, and it drops to roughly half the recommended levels during times of illness requiring</w:t>
      </w:r>
      <w:r>
        <w:rPr>
          <w:spacing w:val="1"/>
        </w:rPr>
        <w:t> </w:t>
      </w:r>
      <w:r>
        <w:rPr/>
        <w:t>hospitalization</w:t>
      </w:r>
      <w:r>
        <w:rPr>
          <w:spacing w:val="-4"/>
        </w:rPr>
        <w:t> </w:t>
      </w:r>
      <w:r>
        <w:rPr/>
        <w:t>(Prasad,</w:t>
      </w:r>
      <w:r>
        <w:rPr>
          <w:spacing w:val="4"/>
        </w:rPr>
        <w:t> </w:t>
      </w:r>
      <w:r>
        <w:rPr/>
        <w:t>1997).</w:t>
      </w:r>
    </w:p>
    <w:p>
      <w:pPr>
        <w:pStyle w:val="Heading1"/>
        <w:numPr>
          <w:ilvl w:val="2"/>
          <w:numId w:val="14"/>
        </w:numPr>
        <w:tabs>
          <w:tab w:pos="1540" w:val="left" w:leader="none"/>
        </w:tabs>
        <w:spacing w:line="240" w:lineRule="auto" w:before="200" w:after="0"/>
        <w:ind w:left="1539" w:right="0" w:hanging="720"/>
        <w:jc w:val="both"/>
      </w:pPr>
      <w:bookmarkStart w:name="_TOC_250033" w:id="21"/>
      <w:r>
        <w:rPr/>
        <w:t>Micronutrient</w:t>
      </w:r>
      <w:r>
        <w:rPr>
          <w:spacing w:val="-4"/>
        </w:rPr>
        <w:t> </w:t>
      </w:r>
      <w:bookmarkEnd w:id="21"/>
      <w:r>
        <w:rPr/>
        <w:t>Deficiencies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40"/>
        <w:jc w:val="both"/>
      </w:pPr>
      <w:r>
        <w:rPr/>
        <w:t>Micronutrient deficiencies which are a constituent of malnutrition continue to be a major health</w:t>
      </w:r>
      <w:r>
        <w:rPr>
          <w:spacing w:val="1"/>
        </w:rPr>
        <w:t> </w:t>
      </w:r>
      <w:r>
        <w:rPr/>
        <w:t>burden in developing countries (Young </w:t>
      </w:r>
      <w:r>
        <w:rPr>
          <w:i/>
        </w:rPr>
        <w:t>et al</w:t>
      </w:r>
      <w:r>
        <w:rPr/>
        <w:t>., 2004). They are now recognised to be an important</w:t>
      </w:r>
      <w:r>
        <w:rPr>
          <w:spacing w:val="-57"/>
        </w:rPr>
        <w:t> </w:t>
      </w:r>
      <w:r>
        <w:rPr/>
        <w:t>contributor to</w:t>
      </w:r>
      <w:r>
        <w:rPr>
          <w:spacing w:val="1"/>
        </w:rPr>
        <w:t> </w:t>
      </w:r>
      <w:r>
        <w:rPr/>
        <w:t>the global burden of diseases (UNICEF,</w:t>
      </w:r>
      <w:r>
        <w:rPr>
          <w:spacing w:val="1"/>
        </w:rPr>
        <w:t> </w:t>
      </w:r>
      <w:r>
        <w:rPr/>
        <w:t>1999).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decade</w:t>
      </w:r>
      <w:r>
        <w:rPr>
          <w:spacing w:val="1"/>
        </w:rPr>
        <w:t> </w:t>
      </w:r>
      <w:r>
        <w:rPr/>
        <w:t>ago,</w:t>
      </w:r>
      <w:r>
        <w:rPr>
          <w:spacing w:val="60"/>
        </w:rPr>
        <w:t> </w:t>
      </w:r>
      <w:r>
        <w:rPr/>
        <w:t>the World</w:t>
      </w:r>
      <w:r>
        <w:rPr>
          <w:spacing w:val="1"/>
        </w:rPr>
        <w:t> </w:t>
      </w:r>
      <w:r>
        <w:rPr/>
        <w:t>Bank publicly announced that vitamin deficiencies deprive one billion people worldwide of their</w:t>
      </w:r>
      <w:r>
        <w:rPr>
          <w:spacing w:val="1"/>
        </w:rPr>
        <w:t> </w:t>
      </w:r>
      <w:r>
        <w:rPr/>
        <w:t>intellect, strength, and vitality. Of this population, pregnant women and children are often and</w:t>
      </w:r>
      <w:r>
        <w:rPr>
          <w:spacing w:val="1"/>
        </w:rPr>
        <w:t> </w:t>
      </w:r>
      <w:r>
        <w:rPr/>
        <w:t>unfortunately the most affected (Hale, 2008). Micronutrient deficiencies also occur in other</w:t>
      </w:r>
      <w:r>
        <w:rPr>
          <w:spacing w:val="1"/>
        </w:rPr>
        <w:t> </w:t>
      </w:r>
      <w:r>
        <w:rPr/>
        <w:t>special groups like those with Human Immuno Deficiency Virus/Acquired Immune Deficiency</w:t>
      </w:r>
      <w:r>
        <w:rPr>
          <w:spacing w:val="1"/>
        </w:rPr>
        <w:t> </w:t>
      </w:r>
      <w:r>
        <w:rPr/>
        <w:t>Syndrome (HIV/AIDS) patients as well as SCD</w:t>
      </w:r>
      <w:r>
        <w:rPr>
          <w:spacing w:val="1"/>
        </w:rPr>
        <w:t> </w:t>
      </w:r>
      <w:r>
        <w:rPr/>
        <w:t>patients primarily due to</w:t>
      </w:r>
      <w:r>
        <w:rPr>
          <w:spacing w:val="1"/>
        </w:rPr>
        <w:t> </w:t>
      </w:r>
      <w:r>
        <w:rPr/>
        <w:t>altered</w:t>
      </w:r>
      <w:r>
        <w:rPr>
          <w:spacing w:val="60"/>
        </w:rPr>
        <w:t> </w:t>
      </w:r>
      <w:r>
        <w:rPr/>
        <w:t>metabolisms</w:t>
      </w:r>
      <w:r>
        <w:rPr>
          <w:spacing w:val="1"/>
        </w:rPr>
        <w:t> </w:t>
      </w:r>
      <w:r>
        <w:rPr/>
        <w:t>and</w:t>
      </w:r>
      <w:r>
        <w:rPr>
          <w:spacing w:val="6"/>
        </w:rPr>
        <w:t> </w:t>
      </w:r>
      <w:r>
        <w:rPr/>
        <w:t>increased</w:t>
      </w:r>
      <w:r>
        <w:rPr>
          <w:spacing w:val="2"/>
        </w:rPr>
        <w:t> </w:t>
      </w:r>
      <w:r>
        <w:rPr/>
        <w:t>requirements (Patrick,</w:t>
      </w:r>
      <w:r>
        <w:rPr>
          <w:spacing w:val="3"/>
        </w:rPr>
        <w:t> </w:t>
      </w:r>
      <w:r>
        <w:rPr/>
        <w:t>1999).</w:t>
      </w:r>
    </w:p>
    <w:p>
      <w:pPr>
        <w:pStyle w:val="Heading1"/>
        <w:numPr>
          <w:ilvl w:val="2"/>
          <w:numId w:val="14"/>
        </w:numPr>
        <w:tabs>
          <w:tab w:pos="1482" w:val="left" w:leader="none"/>
        </w:tabs>
        <w:spacing w:line="240" w:lineRule="auto" w:before="201" w:after="0"/>
        <w:ind w:left="1481" w:right="0" w:hanging="662"/>
        <w:jc w:val="both"/>
      </w:pPr>
      <w:bookmarkStart w:name="_TOC_250032" w:id="22"/>
      <w:bookmarkEnd w:id="22"/>
      <w:r>
        <w:rPr/>
        <w:t>Epidemiology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37"/>
        <w:jc w:val="both"/>
      </w:pPr>
      <w:r>
        <w:rPr/>
        <w:t>Micronutrient</w:t>
      </w:r>
      <w:r>
        <w:rPr>
          <w:spacing w:val="1"/>
        </w:rPr>
        <w:t> </w:t>
      </w:r>
      <w:r>
        <w:rPr/>
        <w:t>deficiencies affect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billion people worldwide (Muller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Brugnara</w:t>
      </w:r>
      <w:r>
        <w:rPr>
          <w:spacing w:val="1"/>
        </w:rPr>
        <w:t> </w:t>
      </w:r>
      <w:r>
        <w:rPr/>
        <w:t>2001). Globally, 740 million people are deficient in iodine (Underwood, 2003), including up to</w:t>
      </w:r>
      <w:r>
        <w:rPr>
          <w:spacing w:val="1"/>
        </w:rPr>
        <w:t> </w:t>
      </w:r>
      <w:r>
        <w:rPr/>
        <w:t>300 million with goitre and 20 million with brain damage from maternal iodine deficiency during</w:t>
      </w:r>
      <w:r>
        <w:rPr>
          <w:spacing w:val="-57"/>
        </w:rPr>
        <w:t> </w:t>
      </w:r>
      <w:r>
        <w:rPr/>
        <w:t>their foetal development. About 1 billion people are deficient in zinc (Prasad, 1998); 3.5 billion</w:t>
      </w:r>
      <w:r>
        <w:rPr>
          <w:spacing w:val="1"/>
        </w:rPr>
        <w:t> </w:t>
      </w:r>
      <w:r>
        <w:rPr/>
        <w:t>have iron-deficiency anaemia and Vitamin A deficiency affects 140- 250 million (Underwood,</w:t>
      </w:r>
      <w:r>
        <w:rPr>
          <w:spacing w:val="1"/>
        </w:rPr>
        <w:t> </w:t>
      </w:r>
      <w:r>
        <w:rPr/>
        <w:t>2003) mainly young children and pregnant women in developing countries (Darnton-Hill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2005).</w:t>
      </w:r>
    </w:p>
    <w:p>
      <w:pPr>
        <w:pStyle w:val="BodyText"/>
        <w:spacing w:line="360" w:lineRule="auto" w:before="198"/>
        <w:ind w:left="820" w:right="1449"/>
        <w:jc w:val="both"/>
      </w:pPr>
      <w:r>
        <w:rPr/>
        <w:t>Malnutrition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consequently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burden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51"/>
        </w:rPr>
        <w:t> </w:t>
      </w:r>
      <w:r>
        <w:rPr/>
        <w:t>countries.</w:t>
      </w:r>
      <w:r>
        <w:rPr>
          <w:spacing w:val="38"/>
        </w:rPr>
        <w:t> </w:t>
      </w:r>
      <w:r>
        <w:rPr/>
        <w:t>It</w:t>
      </w:r>
      <w:r>
        <w:rPr>
          <w:spacing w:val="57"/>
        </w:rPr>
        <w:t> </w:t>
      </w:r>
      <w:r>
        <w:rPr/>
        <w:t>is</w:t>
      </w:r>
      <w:r>
        <w:rPr>
          <w:spacing w:val="46"/>
        </w:rPr>
        <w:t> </w:t>
      </w:r>
      <w:r>
        <w:rPr/>
        <w:t>the</w:t>
      </w:r>
      <w:r>
        <w:rPr>
          <w:spacing w:val="51"/>
        </w:rPr>
        <w:t> </w:t>
      </w:r>
      <w:r>
        <w:rPr/>
        <w:t>direct</w:t>
      </w:r>
      <w:r>
        <w:rPr>
          <w:spacing w:val="53"/>
        </w:rPr>
        <w:t> </w:t>
      </w:r>
      <w:r>
        <w:rPr/>
        <w:t>cause</w:t>
      </w:r>
      <w:r>
        <w:rPr>
          <w:spacing w:val="46"/>
        </w:rPr>
        <w:t> </w:t>
      </w:r>
      <w:r>
        <w:rPr/>
        <w:t>of</w:t>
      </w:r>
      <w:r>
        <w:rPr>
          <w:spacing w:val="45"/>
        </w:rPr>
        <w:t> </w:t>
      </w:r>
      <w:r>
        <w:rPr/>
        <w:t>about</w:t>
      </w:r>
      <w:r>
        <w:rPr>
          <w:spacing w:val="52"/>
        </w:rPr>
        <w:t> </w:t>
      </w:r>
      <w:r>
        <w:rPr/>
        <w:t>300</w:t>
      </w:r>
      <w:r>
        <w:rPr>
          <w:spacing w:val="48"/>
        </w:rPr>
        <w:t> </w:t>
      </w:r>
      <w:r>
        <w:rPr/>
        <w:t>000</w:t>
      </w:r>
      <w:r>
        <w:rPr>
          <w:spacing w:val="48"/>
        </w:rPr>
        <w:t> </w:t>
      </w:r>
      <w:r>
        <w:rPr/>
        <w:t>child</w:t>
      </w:r>
      <w:r>
        <w:rPr>
          <w:spacing w:val="47"/>
        </w:rPr>
        <w:t> </w:t>
      </w:r>
      <w:r>
        <w:rPr/>
        <w:t>deaths</w:t>
      </w:r>
      <w:r>
        <w:rPr>
          <w:spacing w:val="46"/>
        </w:rPr>
        <w:t> </w:t>
      </w:r>
      <w:r>
        <w:rPr/>
        <w:t>per</w:t>
      </w:r>
      <w:r>
        <w:rPr>
          <w:spacing w:val="53"/>
        </w:rPr>
        <w:t> </w:t>
      </w:r>
      <w:r>
        <w:rPr/>
        <w:t>year</w:t>
      </w:r>
      <w:r>
        <w:rPr>
          <w:spacing w:val="49"/>
        </w:rPr>
        <w:t> </w:t>
      </w:r>
      <w:r>
        <w:rPr/>
        <w:t>and</w:t>
      </w:r>
      <w:r>
        <w:rPr>
          <w:spacing w:val="51"/>
        </w:rPr>
        <w:t> </w:t>
      </w:r>
      <w:r>
        <w:rPr/>
        <w:t>is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57" w:lineRule="auto" w:before="72"/>
        <w:ind w:left="820" w:right="1441"/>
        <w:jc w:val="both"/>
      </w:pPr>
      <w:r>
        <w:rPr/>
        <w:t>indirectly responsible for about half of all deaths in young children (Muller and Brugnara 2001).</w:t>
      </w:r>
      <w:r>
        <w:rPr>
          <w:spacing w:val="1"/>
        </w:rPr>
        <w:t> </w:t>
      </w:r>
      <w:r>
        <w:rPr/>
        <w:t>Micronutrient</w:t>
      </w:r>
      <w:r>
        <w:rPr>
          <w:spacing w:val="1"/>
        </w:rPr>
        <w:t> </w:t>
      </w:r>
      <w:r>
        <w:rPr/>
        <w:t>deficiencies</w:t>
      </w:r>
      <w:r>
        <w:rPr>
          <w:spacing w:val="1"/>
        </w:rPr>
        <w:t> </w:t>
      </w:r>
      <w:r>
        <w:rPr/>
        <w:t>among pregnant</w:t>
      </w:r>
      <w:r>
        <w:rPr>
          <w:spacing w:val="1"/>
        </w:rPr>
        <w:t> </w:t>
      </w:r>
      <w:r>
        <w:rPr/>
        <w:t>women are widespread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low-income countries</w:t>
      </w:r>
      <w:r>
        <w:rPr>
          <w:spacing w:val="1"/>
        </w:rPr>
        <w:t> </w:t>
      </w:r>
      <w:r>
        <w:rPr/>
        <w:t>(Kapil,</w:t>
      </w:r>
      <w:r>
        <w:rPr>
          <w:spacing w:val="3"/>
        </w:rPr>
        <w:t> </w:t>
      </w:r>
      <w:r>
        <w:rPr/>
        <w:t>2009).</w:t>
      </w:r>
    </w:p>
    <w:p>
      <w:pPr>
        <w:pStyle w:val="Heading1"/>
        <w:numPr>
          <w:ilvl w:val="2"/>
          <w:numId w:val="14"/>
        </w:numPr>
        <w:tabs>
          <w:tab w:pos="1602" w:val="left" w:leader="none"/>
        </w:tabs>
        <w:spacing w:line="240" w:lineRule="auto" w:before="206" w:after="0"/>
        <w:ind w:left="1601" w:right="0" w:hanging="782"/>
        <w:jc w:val="both"/>
      </w:pPr>
      <w:r>
        <w:rPr/>
        <w:t>Micronutrient</w:t>
      </w:r>
      <w:r>
        <w:rPr>
          <w:spacing w:val="-2"/>
        </w:rPr>
        <w:t> </w:t>
      </w:r>
      <w:r>
        <w:rPr/>
        <w:t>Deficiencies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Sickle</w:t>
      </w:r>
      <w:r>
        <w:rPr>
          <w:spacing w:val="-4"/>
        </w:rPr>
        <w:t> </w:t>
      </w:r>
      <w:r>
        <w:rPr/>
        <w:t>Cell</w:t>
      </w:r>
      <w:r>
        <w:rPr>
          <w:spacing w:val="-6"/>
        </w:rPr>
        <w:t> </w:t>
      </w:r>
      <w:r>
        <w:rPr/>
        <w:t>Disease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41"/>
        <w:jc w:val="both"/>
      </w:pPr>
      <w:r>
        <w:rPr/>
        <w:t>Finding a widely available cure for SCD still remains a challenge one hundred years after its</w:t>
      </w:r>
      <w:r>
        <w:rPr>
          <w:spacing w:val="1"/>
        </w:rPr>
        <w:t> </w:t>
      </w:r>
      <w:r>
        <w:rPr/>
        <w:t>discovery as a genetically inherited disease, creating growing interest in seeking nutritional</w:t>
      </w:r>
      <w:r>
        <w:rPr>
          <w:spacing w:val="1"/>
        </w:rPr>
        <w:t> </w:t>
      </w:r>
      <w:r>
        <w:rPr/>
        <w:t>alternatives (Hyacinth </w:t>
      </w:r>
      <w:r>
        <w:rPr>
          <w:i/>
        </w:rPr>
        <w:t>et al</w:t>
      </w:r>
      <w:r>
        <w:rPr/>
        <w:t>., 2010). Not only do protein–energy malnutrition and micronutrient</w:t>
      </w:r>
      <w:r>
        <w:rPr>
          <w:spacing w:val="1"/>
        </w:rPr>
        <w:t> </w:t>
      </w:r>
      <w:r>
        <w:rPr/>
        <w:t>deficiencies overlap, but a lack of one micronutrient is typically associated with deficiencies of</w:t>
      </w:r>
      <w:r>
        <w:rPr>
          <w:spacing w:val="1"/>
        </w:rPr>
        <w:t> </w:t>
      </w:r>
      <w:r>
        <w:rPr/>
        <w:t>other micronutrients (e.g. anaemia due to iron deficiency often coexists with zinc deficiency)</w:t>
      </w:r>
      <w:r>
        <w:rPr>
          <w:spacing w:val="1"/>
        </w:rPr>
        <w:t> </w:t>
      </w:r>
      <w:r>
        <w:rPr/>
        <w:t>(Muller and Brugnara 2001). Deficiencies</w:t>
      </w:r>
      <w:r>
        <w:rPr>
          <w:spacing w:val="60"/>
        </w:rPr>
        <w:t> </w:t>
      </w:r>
      <w:r>
        <w:rPr/>
        <w:t>in micronutrients are associated with increased risks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morbidity</w:t>
      </w:r>
      <w:r>
        <w:rPr>
          <w:spacing w:val="-8"/>
        </w:rPr>
        <w:t> </w:t>
      </w:r>
      <w:r>
        <w:rPr/>
        <w:t>and</w:t>
      </w:r>
      <w:r>
        <w:rPr>
          <w:spacing w:val="7"/>
        </w:rPr>
        <w:t> </w:t>
      </w:r>
      <w:r>
        <w:rPr/>
        <w:t>mortality</w:t>
      </w:r>
      <w:r>
        <w:rPr>
          <w:spacing w:val="-9"/>
        </w:rPr>
        <w:t> </w:t>
      </w:r>
      <w:r>
        <w:rPr/>
        <w:t>(Muller</w:t>
      </w:r>
      <w:r>
        <w:rPr>
          <w:spacing w:val="6"/>
        </w:rPr>
        <w:t> </w:t>
      </w:r>
      <w:r>
        <w:rPr/>
        <w:t>and</w:t>
      </w:r>
      <w:r>
        <w:rPr>
          <w:spacing w:val="2"/>
        </w:rPr>
        <w:t> </w:t>
      </w:r>
      <w:r>
        <w:rPr/>
        <w:t>Brugnara</w:t>
      </w:r>
      <w:r>
        <w:rPr>
          <w:spacing w:val="1"/>
        </w:rPr>
        <w:t> </w:t>
      </w:r>
      <w:r>
        <w:rPr/>
        <w:t>2001).</w:t>
      </w:r>
    </w:p>
    <w:p>
      <w:pPr>
        <w:pStyle w:val="BodyText"/>
        <w:spacing w:line="360" w:lineRule="auto" w:before="203"/>
        <w:ind w:left="820" w:right="1439"/>
        <w:jc w:val="both"/>
      </w:pPr>
      <w:r>
        <w:rPr/>
        <w:t>Micronutrient status in people with SCD may need correction. Blood levels of several vitamins</w:t>
      </w:r>
      <w:r>
        <w:rPr>
          <w:spacing w:val="1"/>
        </w:rPr>
        <w:t> </w:t>
      </w:r>
      <w:r>
        <w:rPr/>
        <w:t>and minerals are often low in individuals with SCD, including vitamin A, carotenoids (Gray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1992), vitamin B6, vitamin C, magnesium, and zinc (Prasad, 1997). These deficiencies cause</w:t>
      </w:r>
      <w:r>
        <w:rPr>
          <w:spacing w:val="1"/>
        </w:rPr>
        <w:t> </w:t>
      </w:r>
      <w:r>
        <w:rPr/>
        <w:t>a significant depreciation in blood-antioxidant status in these patients, and the resulting oxidative</w:t>
      </w:r>
      <w:r>
        <w:rPr>
          <w:spacing w:val="-57"/>
        </w:rPr>
        <w:t> </w:t>
      </w:r>
      <w:r>
        <w:rPr/>
        <w:t>stress may precipitate vaso-occlusion-related-crises (Romero </w:t>
      </w:r>
      <w:r>
        <w:rPr>
          <w:i/>
        </w:rPr>
        <w:t>et al</w:t>
      </w:r>
      <w:r>
        <w:rPr/>
        <w:t>., 2000). Studies indicate that</w:t>
      </w:r>
      <w:r>
        <w:rPr>
          <w:spacing w:val="1"/>
        </w:rPr>
        <w:t> </w:t>
      </w:r>
      <w:r>
        <w:rPr/>
        <w:t>vitamin-mineral</w:t>
      </w:r>
      <w:r>
        <w:rPr>
          <w:spacing w:val="1"/>
        </w:rPr>
        <w:t> </w:t>
      </w:r>
      <w:r>
        <w:rPr/>
        <w:t>supplements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nutrients</w:t>
      </w:r>
      <w:r>
        <w:rPr>
          <w:spacing w:val="1"/>
        </w:rPr>
        <w:t> </w:t>
      </w:r>
      <w:r>
        <w:rPr/>
        <w:t>(vitamins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zinc,</w:t>
      </w:r>
      <w:r>
        <w:rPr>
          <w:spacing w:val="1"/>
        </w:rPr>
        <w:t> </w:t>
      </w:r>
      <w:r>
        <w:rPr/>
        <w:t>magnesium)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treatment with a combination of high-dose antioxidants can reduce the percentage of irreversibly</w:t>
      </w:r>
      <w:r>
        <w:rPr>
          <w:spacing w:val="1"/>
        </w:rPr>
        <w:t> </w:t>
      </w:r>
      <w:r>
        <w:rPr/>
        <w:t>sickled</w:t>
      </w:r>
      <w:r>
        <w:rPr>
          <w:spacing w:val="1"/>
        </w:rPr>
        <w:t> </w:t>
      </w:r>
      <w:r>
        <w:rPr/>
        <w:t>cells</w:t>
      </w:r>
      <w:r>
        <w:rPr>
          <w:spacing w:val="-1"/>
        </w:rPr>
        <w:t> </w:t>
      </w:r>
      <w:r>
        <w:rPr/>
        <w:t>and</w:t>
      </w:r>
      <w:r>
        <w:rPr>
          <w:spacing w:val="6"/>
        </w:rPr>
        <w:t> </w:t>
      </w:r>
      <w:r>
        <w:rPr/>
        <w:t>hence the</w:t>
      </w:r>
      <w:r>
        <w:rPr>
          <w:spacing w:val="5"/>
        </w:rPr>
        <w:t> </w:t>
      </w:r>
      <w:r>
        <w:rPr/>
        <w:t>incidence of</w:t>
      </w:r>
      <w:r>
        <w:rPr>
          <w:spacing w:val="-7"/>
        </w:rPr>
        <w:t> </w:t>
      </w:r>
      <w:r>
        <w:rPr/>
        <w:t>crises</w:t>
      </w:r>
      <w:r>
        <w:rPr>
          <w:spacing w:val="-1"/>
        </w:rPr>
        <w:t> </w:t>
      </w:r>
      <w:r>
        <w:rPr/>
        <w:t>(De</w:t>
      </w:r>
      <w:r>
        <w:rPr>
          <w:spacing w:val="-5"/>
        </w:rPr>
        <w:t> </w:t>
      </w:r>
      <w:r>
        <w:rPr/>
        <w:t>Franceschi,</w:t>
      </w:r>
      <w:r>
        <w:rPr>
          <w:spacing w:val="3"/>
        </w:rPr>
        <w:t> </w:t>
      </w:r>
      <w:r>
        <w:rPr/>
        <w:t>1997).</w:t>
      </w:r>
    </w:p>
    <w:p>
      <w:pPr>
        <w:pStyle w:val="Heading1"/>
        <w:numPr>
          <w:ilvl w:val="1"/>
          <w:numId w:val="14"/>
        </w:numPr>
        <w:tabs>
          <w:tab w:pos="1300" w:val="left" w:leader="none"/>
        </w:tabs>
        <w:spacing w:line="240" w:lineRule="auto" w:before="197" w:after="0"/>
        <w:ind w:left="1299" w:right="0" w:hanging="480"/>
        <w:jc w:val="both"/>
      </w:pPr>
      <w:bookmarkStart w:name="_TOC_250031" w:id="23"/>
      <w:bookmarkEnd w:id="23"/>
      <w:r>
        <w:rPr/>
        <w:t>Magnesium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40"/>
        <w:jc w:val="both"/>
      </w:pPr>
      <w:r>
        <w:rPr/>
        <w:t>Magnesium (Mg) is a mineral that is essential for proper functioning of the body. Magnesium is</w:t>
      </w:r>
      <w:r>
        <w:rPr>
          <w:spacing w:val="1"/>
        </w:rPr>
        <w:t> </w:t>
      </w:r>
      <w:r>
        <w:rPr/>
        <w:t>found inside every living cell in the body. It is alkaline and binds acids in the body, regulating</w:t>
      </w:r>
      <w:r>
        <w:rPr>
          <w:spacing w:val="1"/>
        </w:rPr>
        <w:t> </w:t>
      </w:r>
      <w:r>
        <w:rPr/>
        <w:t>acid-alkaline balance. Some of the major functions of magnesium in the body are: calcium,</w:t>
      </w:r>
      <w:r>
        <w:rPr>
          <w:spacing w:val="1"/>
        </w:rPr>
        <w:t> </w:t>
      </w:r>
      <w:r>
        <w:rPr/>
        <w:t>potassium,</w:t>
      </w:r>
      <w:r>
        <w:rPr>
          <w:spacing w:val="18"/>
        </w:rPr>
        <w:t> </w:t>
      </w:r>
      <w:r>
        <w:rPr/>
        <w:t>sodium</w:t>
      </w:r>
      <w:r>
        <w:rPr>
          <w:spacing w:val="9"/>
        </w:rPr>
        <w:t> </w:t>
      </w:r>
      <w:r>
        <w:rPr/>
        <w:t>and</w:t>
      </w:r>
      <w:r>
        <w:rPr>
          <w:spacing w:val="21"/>
        </w:rPr>
        <w:t> </w:t>
      </w:r>
      <w:r>
        <w:rPr/>
        <w:t>vitamin</w:t>
      </w:r>
      <w:r>
        <w:rPr>
          <w:spacing w:val="17"/>
        </w:rPr>
        <w:t> </w:t>
      </w:r>
      <w:r>
        <w:rPr/>
        <w:t>C</w:t>
      </w:r>
      <w:r>
        <w:rPr>
          <w:spacing w:val="11"/>
        </w:rPr>
        <w:t> </w:t>
      </w:r>
      <w:r>
        <w:rPr/>
        <w:t>utilization,</w:t>
      </w:r>
      <w:r>
        <w:rPr>
          <w:spacing w:val="19"/>
        </w:rPr>
        <w:t> </w:t>
      </w:r>
      <w:r>
        <w:rPr/>
        <w:t>bone,</w:t>
      </w:r>
      <w:r>
        <w:rPr>
          <w:spacing w:val="15"/>
        </w:rPr>
        <w:t> </w:t>
      </w:r>
      <w:r>
        <w:rPr/>
        <w:t>protein,</w:t>
      </w:r>
      <w:r>
        <w:rPr>
          <w:spacing w:val="15"/>
        </w:rPr>
        <w:t> </w:t>
      </w:r>
      <w:r>
        <w:rPr/>
        <w:t>and</w:t>
      </w:r>
      <w:r>
        <w:rPr>
          <w:spacing w:val="17"/>
        </w:rPr>
        <w:t> </w:t>
      </w:r>
      <w:r>
        <w:rPr/>
        <w:t>fatty</w:t>
      </w:r>
      <w:r>
        <w:rPr>
          <w:spacing w:val="3"/>
        </w:rPr>
        <w:t> </w:t>
      </w:r>
      <w:r>
        <w:rPr/>
        <w:t>acid</w:t>
      </w:r>
      <w:r>
        <w:rPr>
          <w:spacing w:val="22"/>
        </w:rPr>
        <w:t> </w:t>
      </w:r>
      <w:r>
        <w:rPr/>
        <w:t>formation,</w:t>
      </w:r>
      <w:r>
        <w:rPr>
          <w:spacing w:val="15"/>
        </w:rPr>
        <w:t> </w:t>
      </w:r>
      <w:r>
        <w:rPr/>
        <w:t>activation</w:t>
      </w:r>
      <w:r>
        <w:rPr>
          <w:spacing w:val="-58"/>
        </w:rPr>
        <w:t> </w:t>
      </w:r>
      <w:r>
        <w:rPr/>
        <w:t>of B vitamins (Okochi and Okpuzor 2005). In addition, magnesium plays a role in efficient</w:t>
      </w:r>
      <w:r>
        <w:rPr>
          <w:spacing w:val="1"/>
        </w:rPr>
        <w:t> </w:t>
      </w:r>
      <w:r>
        <w:rPr/>
        <w:t>production of enzymes, cardiac function, relaxation of muscles (including the heart muscle-thus</w:t>
      </w:r>
      <w:r>
        <w:rPr>
          <w:spacing w:val="1"/>
        </w:rPr>
        <w:t> </w:t>
      </w:r>
      <w:r>
        <w:rPr/>
        <w:t>has some blood pressure lowering effects), making new cells and prevention of aging in the cells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organs (Rude,</w:t>
      </w:r>
      <w:r>
        <w:rPr>
          <w:spacing w:val="4"/>
        </w:rPr>
        <w:t> </w:t>
      </w:r>
      <w:r>
        <w:rPr/>
        <w:t>1993).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numPr>
          <w:ilvl w:val="2"/>
          <w:numId w:val="14"/>
        </w:numPr>
        <w:tabs>
          <w:tab w:pos="1362" w:val="left" w:leader="none"/>
        </w:tabs>
        <w:spacing w:line="240" w:lineRule="auto" w:before="72" w:after="0"/>
        <w:ind w:left="1361" w:right="0" w:hanging="542"/>
        <w:jc w:val="both"/>
      </w:pPr>
      <w:bookmarkStart w:name="_TOC_250030" w:id="24"/>
      <w:r>
        <w:rPr/>
        <w:t>Magnesium</w:t>
      </w:r>
      <w:r>
        <w:rPr>
          <w:spacing w:val="-5"/>
        </w:rPr>
        <w:t> </w:t>
      </w:r>
      <w:r>
        <w:rPr/>
        <w:t>and sickle</w:t>
      </w:r>
      <w:r>
        <w:rPr>
          <w:spacing w:val="-3"/>
        </w:rPr>
        <w:t> </w:t>
      </w:r>
      <w:r>
        <w:rPr/>
        <w:t>cell</w:t>
      </w:r>
      <w:r>
        <w:rPr>
          <w:spacing w:val="-5"/>
        </w:rPr>
        <w:t> </w:t>
      </w:r>
      <w:bookmarkEnd w:id="24"/>
      <w:r>
        <w:rPr/>
        <w:t>diseases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 w:before="1"/>
        <w:ind w:left="820" w:right="1439"/>
        <w:jc w:val="both"/>
      </w:pPr>
      <w:r>
        <w:rPr/>
        <w:t>One of the distinguishing characteristics of SCD</w:t>
      </w:r>
      <w:r>
        <w:rPr>
          <w:spacing w:val="1"/>
        </w:rPr>
        <w:t> </w:t>
      </w:r>
      <w:r>
        <w:rPr/>
        <w:t>is the presence of dense erythrocytes (De</w:t>
      </w:r>
      <w:r>
        <w:rPr>
          <w:spacing w:val="1"/>
        </w:rPr>
        <w:t> </w:t>
      </w:r>
      <w:r>
        <w:rPr/>
        <w:t>Franchesci, 2009). These can be formed as a result of a reduction in erythrocyte magnesium</w:t>
      </w:r>
      <w:r>
        <w:rPr>
          <w:spacing w:val="1"/>
        </w:rPr>
        <w:t> </w:t>
      </w:r>
      <w:r>
        <w:rPr/>
        <w:t>which activates the K-Cl co-transporter, causing dehydration of erythrocytes characterised by 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concentration of HbS</w:t>
      </w:r>
      <w:r>
        <w:rPr>
          <w:spacing w:val="1"/>
        </w:rPr>
        <w:t> </w:t>
      </w:r>
      <w:r>
        <w:rPr/>
        <w:t>(Joiner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1998),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HbF content,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percentage of irreversible sickle cells (ISCs) (De Franchesci, 2009). The dense dehydrated RBCs</w:t>
      </w:r>
      <w:r>
        <w:rPr>
          <w:spacing w:val="-57"/>
        </w:rPr>
        <w:t> </w:t>
      </w:r>
      <w:r>
        <w:rPr/>
        <w:t>so formed are easily trapped in post capillary venules, promoting micro-vascular obstruction</w:t>
      </w:r>
      <w:r>
        <w:rPr>
          <w:spacing w:val="1"/>
        </w:rPr>
        <w:t> </w:t>
      </w:r>
      <w:r>
        <w:rPr/>
        <w:t>(Joiner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 1998).</w:t>
      </w:r>
    </w:p>
    <w:p>
      <w:pPr>
        <w:pStyle w:val="BodyText"/>
        <w:spacing w:line="360" w:lineRule="auto" w:before="198"/>
        <w:ind w:left="820" w:right="1437"/>
        <w:jc w:val="both"/>
      </w:pPr>
      <w:r>
        <w:rPr/>
        <w:t>Studies on K-Cl co-transport function have identified reduced cell magnesium (Mg</w:t>
      </w:r>
      <w:r>
        <w:rPr>
          <w:vertAlign w:val="superscript"/>
        </w:rPr>
        <w:t>2+</w:t>
      </w:r>
      <w:r>
        <w:rPr>
          <w:vertAlign w:val="baseline"/>
        </w:rPr>
        <w:t>) content as</w:t>
      </w:r>
      <w:r>
        <w:rPr>
          <w:spacing w:val="1"/>
          <w:vertAlign w:val="baseline"/>
        </w:rPr>
        <w:t> </w:t>
      </w:r>
      <w:r>
        <w:rPr>
          <w:vertAlign w:val="baseline"/>
        </w:rPr>
        <w:t>one of the triggers of activation (Brugnara </w:t>
      </w:r>
      <w:r>
        <w:rPr>
          <w:i/>
          <w:vertAlign w:val="baseline"/>
        </w:rPr>
        <w:t>et al</w:t>
      </w:r>
      <w:r>
        <w:rPr>
          <w:vertAlign w:val="baseline"/>
        </w:rPr>
        <w:t>., 1993). Thus, prevention of red cell dehydration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via magnesium supplementation represents an exciting possible new therapeutic strategy. In a</w:t>
      </w:r>
      <w:r>
        <w:rPr>
          <w:spacing w:val="1"/>
          <w:vertAlign w:val="baseline"/>
        </w:rPr>
        <w:t> </w:t>
      </w:r>
      <w:r>
        <w:rPr>
          <w:vertAlign w:val="baseline"/>
        </w:rPr>
        <w:t>study by De Franceschi </w:t>
      </w:r>
      <w:r>
        <w:rPr>
          <w:i/>
          <w:vertAlign w:val="baseline"/>
        </w:rPr>
        <w:t>et al</w:t>
      </w:r>
      <w:r>
        <w:rPr>
          <w:vertAlign w:val="baseline"/>
        </w:rPr>
        <w:t>., (1997), administration of oral magnesium (0.6mEq/kg/day of</w:t>
      </w:r>
      <w:r>
        <w:rPr>
          <w:spacing w:val="1"/>
          <w:vertAlign w:val="baseline"/>
        </w:rPr>
        <w:t> </w:t>
      </w:r>
      <w:r>
        <w:rPr>
          <w:vertAlign w:val="baseline"/>
        </w:rPr>
        <w:t>Magnesium Pidolate) caused a significant increase in sickle erythrocyte magnesium. This change</w:t>
      </w:r>
      <w:r>
        <w:rPr>
          <w:spacing w:val="-57"/>
          <w:vertAlign w:val="baseline"/>
        </w:rPr>
        <w:t> </w:t>
      </w:r>
      <w:r>
        <w:rPr>
          <w:vertAlign w:val="baseline"/>
        </w:rPr>
        <w:t>was associated with a significant increase in potassium, a reduction in erythrocyte K-Cl co-</w:t>
      </w:r>
      <w:r>
        <w:rPr>
          <w:spacing w:val="1"/>
          <w:vertAlign w:val="baseline"/>
        </w:rPr>
        <w:t> </w:t>
      </w:r>
      <w:r>
        <w:rPr>
          <w:vertAlign w:val="baseline"/>
        </w:rPr>
        <w:t>transport activation, and a significant reduction in absolute reticulocyte count. A reduction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K-Cl co-transport activation will reduce RBC dehydration (Brugnara </w:t>
      </w:r>
      <w:r>
        <w:rPr>
          <w:i/>
          <w:vertAlign w:val="baseline"/>
        </w:rPr>
        <w:t>et al</w:t>
      </w:r>
      <w:r>
        <w:rPr>
          <w:vertAlign w:val="baseline"/>
        </w:rPr>
        <w:t>., 1993). Reticulocyte</w:t>
      </w:r>
      <w:r>
        <w:rPr>
          <w:spacing w:val="1"/>
          <w:vertAlign w:val="baseline"/>
        </w:rPr>
        <w:t> </w:t>
      </w:r>
      <w:r>
        <w:rPr>
          <w:vertAlign w:val="baseline"/>
        </w:rPr>
        <w:t>count is usually high in SCA (Konotey-Ahulu, 1991), thus the significant reduction in absolute</w:t>
      </w:r>
      <w:r>
        <w:rPr>
          <w:spacing w:val="1"/>
          <w:vertAlign w:val="baseline"/>
        </w:rPr>
        <w:t> </w:t>
      </w:r>
      <w:r>
        <w:rPr>
          <w:vertAlign w:val="baseline"/>
        </w:rPr>
        <w:t>reticulocyte count caused by Mg supplementation in the study by De Franceschi </w:t>
      </w:r>
      <w:r>
        <w:rPr>
          <w:i/>
          <w:vertAlign w:val="baseline"/>
        </w:rPr>
        <w:t>et al</w:t>
      </w:r>
      <w:r>
        <w:rPr>
          <w:vertAlign w:val="baseline"/>
        </w:rPr>
        <w:t>., (1997)</w:t>
      </w:r>
      <w:r>
        <w:rPr>
          <w:spacing w:val="1"/>
          <w:vertAlign w:val="baseline"/>
        </w:rPr>
        <w:t> </w:t>
      </w:r>
      <w:r>
        <w:rPr>
          <w:vertAlign w:val="baseline"/>
        </w:rPr>
        <w:t>reversed the high reticulocyte count. Oladipo </w:t>
      </w:r>
      <w:r>
        <w:rPr>
          <w:i/>
          <w:vertAlign w:val="baseline"/>
        </w:rPr>
        <w:t>et al</w:t>
      </w:r>
      <w:r>
        <w:rPr>
          <w:vertAlign w:val="baseline"/>
        </w:rPr>
        <w:t>., (2005) also reported use of magnesium in</w:t>
      </w:r>
      <w:r>
        <w:rPr>
          <w:spacing w:val="1"/>
          <w:vertAlign w:val="baseline"/>
        </w:rPr>
        <w:t> </w:t>
      </w:r>
      <w:r>
        <w:rPr>
          <w:vertAlign w:val="baseline"/>
        </w:rPr>
        <w:t>clinical</w:t>
      </w:r>
      <w:r>
        <w:rPr>
          <w:spacing w:val="-3"/>
          <w:vertAlign w:val="baseline"/>
        </w:rPr>
        <w:t> </w:t>
      </w:r>
      <w:r>
        <w:rPr>
          <w:vertAlign w:val="baseline"/>
        </w:rPr>
        <w:t>practice to</w:t>
      </w:r>
      <w:r>
        <w:rPr>
          <w:spacing w:val="2"/>
          <w:vertAlign w:val="baseline"/>
        </w:rPr>
        <w:t> </w:t>
      </w:r>
      <w:r>
        <w:rPr>
          <w:vertAlign w:val="baseline"/>
        </w:rPr>
        <w:t>reduce erythrocyte</w:t>
      </w:r>
      <w:r>
        <w:rPr>
          <w:spacing w:val="1"/>
          <w:vertAlign w:val="baseline"/>
        </w:rPr>
        <w:t> </w:t>
      </w:r>
      <w:r>
        <w:rPr>
          <w:vertAlign w:val="baseline"/>
        </w:rPr>
        <w:t>dehydration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3"/>
          <w:vertAlign w:val="baseline"/>
        </w:rPr>
        <w:t> </w:t>
      </w:r>
      <w:r>
        <w:rPr>
          <w:vertAlign w:val="baseline"/>
        </w:rPr>
        <w:t>SCD.</w:t>
      </w:r>
    </w:p>
    <w:p>
      <w:pPr>
        <w:pStyle w:val="Heading1"/>
        <w:numPr>
          <w:ilvl w:val="2"/>
          <w:numId w:val="14"/>
        </w:numPr>
        <w:tabs>
          <w:tab w:pos="1482" w:val="left" w:leader="none"/>
        </w:tabs>
        <w:spacing w:line="240" w:lineRule="auto" w:before="202" w:after="0"/>
        <w:ind w:left="1481" w:right="0" w:hanging="662"/>
        <w:jc w:val="both"/>
      </w:pPr>
      <w:bookmarkStart w:name="_TOC_250029" w:id="25"/>
      <w:r>
        <w:rPr/>
        <w:t>Other</w:t>
      </w:r>
      <w:r>
        <w:rPr>
          <w:spacing w:val="-7"/>
        </w:rPr>
        <w:t> </w:t>
      </w:r>
      <w:r>
        <w:rPr/>
        <w:t>important uses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bookmarkEnd w:id="25"/>
      <w:r>
        <w:rPr/>
        <w:t>magnesium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39"/>
        <w:jc w:val="both"/>
      </w:pPr>
      <w:r>
        <w:rPr/>
        <w:t>Magnesium has been used primarily in the management of the following conditions: cardiac</w:t>
      </w:r>
      <w:r>
        <w:rPr>
          <w:spacing w:val="1"/>
        </w:rPr>
        <w:t> </w:t>
      </w:r>
      <w:r>
        <w:rPr/>
        <w:t>arrhythmias</w:t>
      </w:r>
      <w:r>
        <w:rPr>
          <w:spacing w:val="1"/>
        </w:rPr>
        <w:t> </w:t>
      </w:r>
      <w:r>
        <w:rPr/>
        <w:t>(Ford,</w:t>
      </w:r>
      <w:r>
        <w:rPr>
          <w:spacing w:val="1"/>
        </w:rPr>
        <w:t> </w:t>
      </w:r>
      <w:r>
        <w:rPr/>
        <w:t>1999),</w:t>
      </w:r>
      <w:r>
        <w:rPr>
          <w:spacing w:val="1"/>
        </w:rPr>
        <w:t> </w:t>
      </w:r>
      <w:r>
        <w:rPr/>
        <w:t>congestive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failure,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(there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magnesium in urine due to hyperglycaemia) (American Diabetes Association, 1999), as adjunct</w:t>
      </w:r>
      <w:r>
        <w:rPr>
          <w:spacing w:val="1"/>
        </w:rPr>
        <w:t> </w:t>
      </w:r>
      <w:r>
        <w:rPr/>
        <w:t>in therapy of Attention Deficit Hyperactivity Disorder (ADHD), anaemia, angina, high blood</w:t>
      </w:r>
      <w:r>
        <w:rPr>
          <w:spacing w:val="1"/>
        </w:rPr>
        <w:t> </w:t>
      </w:r>
      <w:r>
        <w:rPr/>
        <w:t>pressure</w:t>
      </w:r>
      <w:r>
        <w:rPr>
          <w:spacing w:val="-2"/>
        </w:rPr>
        <w:t> </w:t>
      </w:r>
      <w:r>
        <w:rPr/>
        <w:t>(Simopoulos,</w:t>
      </w:r>
      <w:r>
        <w:rPr>
          <w:spacing w:val="2"/>
        </w:rPr>
        <w:t> </w:t>
      </w:r>
      <w:r>
        <w:rPr/>
        <w:t>1999)</w:t>
      </w:r>
      <w:r>
        <w:rPr>
          <w:spacing w:val="-3"/>
        </w:rPr>
        <w:t> </w:t>
      </w:r>
      <w:r>
        <w:rPr/>
        <w:t>(especially for people</w:t>
      </w:r>
      <w:r>
        <w:rPr>
          <w:spacing w:val="-1"/>
        </w:rPr>
        <w:t> </w:t>
      </w:r>
      <w:r>
        <w:rPr/>
        <w:t>taking potassium</w:t>
      </w:r>
      <w:r>
        <w:rPr>
          <w:spacing w:val="-9"/>
        </w:rPr>
        <w:t> </w:t>
      </w:r>
      <w:r>
        <w:rPr/>
        <w:t>depleting</w:t>
      </w:r>
      <w:r>
        <w:rPr>
          <w:spacing w:val="-1"/>
        </w:rPr>
        <w:t> </w:t>
      </w:r>
      <w:r>
        <w:rPr/>
        <w:t>diuretics).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numPr>
          <w:ilvl w:val="2"/>
          <w:numId w:val="14"/>
        </w:numPr>
        <w:tabs>
          <w:tab w:pos="1482" w:val="left" w:leader="none"/>
        </w:tabs>
        <w:spacing w:line="240" w:lineRule="auto" w:before="72" w:after="0"/>
        <w:ind w:left="1481" w:right="0" w:hanging="662"/>
        <w:jc w:val="both"/>
      </w:pPr>
      <w:bookmarkStart w:name="_TOC_250028" w:id="26"/>
      <w:r>
        <w:rPr/>
        <w:t>Magnesium</w:t>
      </w:r>
      <w:r>
        <w:rPr>
          <w:spacing w:val="-6"/>
        </w:rPr>
        <w:t> </w:t>
      </w:r>
      <w:bookmarkEnd w:id="26"/>
      <w:r>
        <w:rPr/>
        <w:t>deficiency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 w:before="1"/>
        <w:ind w:left="820" w:right="1437"/>
        <w:jc w:val="both"/>
      </w:pPr>
      <w:r>
        <w:rPr/>
        <w:t>Magnesium deficiency may be caused by diminished intake, reduced gastrointestinal absorption</w:t>
      </w:r>
      <w:r>
        <w:rPr>
          <w:spacing w:val="1"/>
        </w:rPr>
        <w:t> </w:t>
      </w:r>
      <w:r>
        <w:rPr/>
        <w:t>and increased losses (laxative abuse, chronic diarrhoea (Rude and Olerich 1996), small bowel</w:t>
      </w:r>
      <w:r>
        <w:rPr>
          <w:spacing w:val="1"/>
        </w:rPr>
        <w:t> </w:t>
      </w:r>
      <w:r>
        <w:rPr/>
        <w:t>resection or bypass, malabsorption syndromes-as seen in pancreatitis, and renal wasting (Rude,</w:t>
      </w:r>
      <w:r>
        <w:rPr>
          <w:spacing w:val="1"/>
        </w:rPr>
        <w:t> </w:t>
      </w:r>
      <w:r>
        <w:rPr/>
        <w:t>1993). It is also seen in alcoholics (30-60%), diabetes mellitus, and in people with major burns</w:t>
      </w:r>
      <w:r>
        <w:rPr>
          <w:spacing w:val="1"/>
        </w:rPr>
        <w:t> </w:t>
      </w:r>
      <w:r>
        <w:rPr/>
        <w:t>(Elisaf </w:t>
      </w:r>
      <w:r>
        <w:rPr>
          <w:i/>
        </w:rPr>
        <w:t>et al</w:t>
      </w:r>
      <w:r>
        <w:rPr/>
        <w:t>., 1998). 80-90% of the United States population is magnesium deficient (Evers,</w:t>
      </w:r>
      <w:r>
        <w:rPr>
          <w:spacing w:val="1"/>
        </w:rPr>
        <w:t> </w:t>
      </w:r>
      <w:r>
        <w:rPr/>
        <w:t>2002).</w:t>
      </w:r>
    </w:p>
    <w:p>
      <w:pPr>
        <w:pStyle w:val="BodyText"/>
        <w:spacing w:line="360" w:lineRule="auto" w:before="199"/>
        <w:ind w:left="820" w:right="1436"/>
        <w:jc w:val="both"/>
      </w:pPr>
      <w:r>
        <w:rPr/>
        <w:t>Deficiencies of magnesium that are serious enough to cause symptoms should be treated with</w:t>
      </w:r>
      <w:r>
        <w:rPr>
          <w:spacing w:val="1"/>
        </w:rPr>
        <w:t> </w:t>
      </w:r>
      <w:r>
        <w:rPr/>
        <w:t>supplements  </w:t>
      </w:r>
      <w:r>
        <w:rPr>
          <w:spacing w:val="1"/>
        </w:rPr>
        <w:t> </w:t>
      </w:r>
      <w:r>
        <w:rPr/>
        <w:t>(Weisinger  </w:t>
      </w:r>
      <w:r>
        <w:rPr>
          <w:spacing w:val="1"/>
        </w:rPr>
        <w:t> </w:t>
      </w:r>
      <w:r>
        <w:rPr/>
        <w:t>Bellorin-font  </w:t>
      </w:r>
      <w:r>
        <w:rPr>
          <w:spacing w:val="1"/>
        </w:rPr>
        <w:t> </w:t>
      </w:r>
      <w:r>
        <w:rPr/>
        <w:t>1998).  </w:t>
      </w:r>
      <w:r>
        <w:rPr>
          <w:spacing w:val="1"/>
        </w:rPr>
        <w:t> </w:t>
      </w:r>
      <w:r>
        <w:rPr/>
        <w:t>Some  </w:t>
      </w:r>
      <w:r>
        <w:rPr>
          <w:spacing w:val="1"/>
        </w:rPr>
        <w:t> </w:t>
      </w:r>
      <w:r>
        <w:rPr/>
        <w:t>of  </w:t>
      </w:r>
      <w:r>
        <w:rPr>
          <w:spacing w:val="1"/>
        </w:rPr>
        <w:t> </w:t>
      </w:r>
      <w:r>
        <w:rPr/>
        <w:t>these    symptoms    include,</w:t>
      </w:r>
      <w:r>
        <w:rPr>
          <w:spacing w:val="1"/>
        </w:rPr>
        <w:t> </w:t>
      </w:r>
      <w:r>
        <w:rPr/>
        <w:t>fatigue, abnormal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rhythms,</w:t>
      </w:r>
      <w:r>
        <w:rPr>
          <w:spacing w:val="1"/>
        </w:rPr>
        <w:t> </w:t>
      </w:r>
      <w:r>
        <w:rPr/>
        <w:t>muscle</w:t>
      </w:r>
      <w:r>
        <w:rPr>
          <w:spacing w:val="1"/>
        </w:rPr>
        <w:t> </w:t>
      </w:r>
      <w:r>
        <w:rPr/>
        <w:t>weakness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spasm, depression,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appetite,</w:t>
      </w:r>
      <w:r>
        <w:rPr>
          <w:spacing w:val="1"/>
        </w:rPr>
        <w:t> </w:t>
      </w:r>
      <w:r>
        <w:rPr/>
        <w:t>nausea,   vomiting,   listlessness,</w:t>
      </w:r>
      <w:r>
        <w:rPr>
          <w:spacing w:val="60"/>
        </w:rPr>
        <w:t> </w:t>
      </w:r>
      <w:r>
        <w:rPr/>
        <w:t>(Saris</w:t>
      </w:r>
      <w:r>
        <w:rPr>
          <w:spacing w:val="60"/>
        </w:rPr>
        <w:t> </w:t>
      </w:r>
      <w:r>
        <w:rPr>
          <w:i/>
        </w:rPr>
        <w:t>et</w:t>
      </w:r>
      <w:r>
        <w:rPr>
          <w:i/>
          <w:spacing w:val="60"/>
        </w:rPr>
        <w:t> </w:t>
      </w:r>
      <w:r>
        <w:rPr>
          <w:i/>
        </w:rPr>
        <w:t>al</w:t>
      </w:r>
      <w:r>
        <w:rPr/>
        <w:t>.,</w:t>
      </w:r>
      <w:r>
        <w:rPr>
          <w:spacing w:val="60"/>
        </w:rPr>
        <w:t> </w:t>
      </w:r>
      <w:r>
        <w:rPr/>
        <w:t>2000),</w:t>
      </w:r>
      <w:r>
        <w:rPr>
          <w:spacing w:val="60"/>
        </w:rPr>
        <w:t> </w:t>
      </w:r>
      <w:r>
        <w:rPr/>
        <w:t>muscle</w:t>
      </w:r>
      <w:r>
        <w:rPr>
          <w:spacing w:val="60"/>
        </w:rPr>
        <w:t> </w:t>
      </w:r>
      <w:r>
        <w:rPr/>
        <w:t>contractions,</w:t>
      </w:r>
      <w:r>
        <w:rPr>
          <w:spacing w:val="60"/>
        </w:rPr>
        <w:t> </w:t>
      </w:r>
      <w:r>
        <w:rPr/>
        <w:t>hypocalcaemia,</w:t>
      </w:r>
      <w:r>
        <w:rPr>
          <w:spacing w:val="1"/>
        </w:rPr>
        <w:t> </w:t>
      </w:r>
      <w:r>
        <w:rPr/>
        <w:t>and</w:t>
      </w:r>
      <w:r>
        <w:rPr>
          <w:spacing w:val="6"/>
        </w:rPr>
        <w:t> </w:t>
      </w:r>
      <w:r>
        <w:rPr/>
        <w:t>hypokalaemia</w:t>
      </w:r>
      <w:r>
        <w:rPr>
          <w:spacing w:val="1"/>
        </w:rPr>
        <w:t> </w:t>
      </w:r>
      <w:r>
        <w:rPr/>
        <w:t>(Shils,</w:t>
      </w:r>
      <w:r>
        <w:rPr>
          <w:spacing w:val="4"/>
        </w:rPr>
        <w:t> </w:t>
      </w:r>
      <w:r>
        <w:rPr/>
        <w:t>1999).</w:t>
      </w:r>
    </w:p>
    <w:p>
      <w:pPr>
        <w:pStyle w:val="Heading1"/>
        <w:numPr>
          <w:ilvl w:val="2"/>
          <w:numId w:val="14"/>
        </w:numPr>
        <w:tabs>
          <w:tab w:pos="1482" w:val="left" w:leader="none"/>
        </w:tabs>
        <w:spacing w:line="240" w:lineRule="auto" w:before="201" w:after="0"/>
        <w:ind w:left="1481" w:right="0" w:hanging="662"/>
        <w:jc w:val="both"/>
      </w:pPr>
      <w:bookmarkStart w:name="_TOC_250027" w:id="27"/>
      <w:r>
        <w:rPr/>
        <w:t>Magnesium</w:t>
      </w:r>
      <w:r>
        <w:rPr>
          <w:spacing w:val="-6"/>
        </w:rPr>
        <w:t> </w:t>
      </w:r>
      <w:bookmarkEnd w:id="27"/>
      <w:r>
        <w:rPr/>
        <w:t>toxicity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 w:before="1"/>
        <w:ind w:left="820" w:right="1438"/>
        <w:jc w:val="both"/>
      </w:pPr>
      <w:r>
        <w:rPr/>
        <w:t>Magnesium taken in from dietary sources is unlikely to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with any signs of toxicity.</w:t>
      </w:r>
      <w:r>
        <w:rPr>
          <w:spacing w:val="1"/>
        </w:rPr>
        <w:t> </w:t>
      </w:r>
      <w:r>
        <w:rPr/>
        <w:t>However, oral magnesium supplements when taken excessively can cause diarrhoea, abdominal</w:t>
      </w:r>
      <w:r>
        <w:rPr>
          <w:spacing w:val="1"/>
        </w:rPr>
        <w:t> </w:t>
      </w:r>
      <w:r>
        <w:rPr/>
        <w:t>cramping, changes in mental status, difficulty breathing (Jaing </w:t>
      </w:r>
      <w:r>
        <w:rPr>
          <w:i/>
        </w:rPr>
        <w:t>et al</w:t>
      </w:r>
      <w:r>
        <w:rPr/>
        <w:t>., 2002), and may compete</w:t>
      </w:r>
      <w:r>
        <w:rPr>
          <w:spacing w:val="1"/>
        </w:rPr>
        <w:t> </w:t>
      </w:r>
      <w:r>
        <w:rPr/>
        <w:t>with other minerals like calcium for absorption. Vitamin B6 increases the amount of magnesium</w:t>
      </w:r>
      <w:r>
        <w:rPr>
          <w:spacing w:val="1"/>
        </w:rPr>
        <w:t> </w:t>
      </w:r>
      <w:r>
        <w:rPr/>
        <w:t>absorbed by the cells and so can be taken together. Risk of magnesium toxicity increases with</w:t>
      </w:r>
      <w:r>
        <w:rPr>
          <w:spacing w:val="1"/>
        </w:rPr>
        <w:t> </w:t>
      </w:r>
      <w:r>
        <w:rPr/>
        <w:t>kidney</w:t>
      </w:r>
      <w:r>
        <w:rPr>
          <w:spacing w:val="-1"/>
        </w:rPr>
        <w:t> </w:t>
      </w:r>
      <w:r>
        <w:rPr/>
        <w:t>failure,</w:t>
      </w:r>
      <w:r>
        <w:rPr>
          <w:spacing w:val="1"/>
        </w:rPr>
        <w:t> </w:t>
      </w:r>
      <w:r>
        <w:rPr/>
        <w:t>because</w:t>
      </w:r>
      <w:r>
        <w:rPr>
          <w:spacing w:val="3"/>
        </w:rPr>
        <w:t> </w:t>
      </w:r>
      <w:r>
        <w:rPr/>
        <w:t>magnesium</w:t>
      </w:r>
      <w:r>
        <w:rPr>
          <w:spacing w:val="1"/>
        </w:rPr>
        <w:t> </w:t>
      </w:r>
      <w:r>
        <w:rPr/>
        <w:t>is</w:t>
      </w:r>
      <w:r>
        <w:rPr>
          <w:spacing w:val="-3"/>
        </w:rPr>
        <w:t> </w:t>
      </w:r>
      <w:r>
        <w:rPr/>
        <w:t>solely</w:t>
      </w:r>
      <w:r>
        <w:rPr>
          <w:spacing w:val="-5"/>
        </w:rPr>
        <w:t> </w:t>
      </w:r>
      <w:r>
        <w:rPr/>
        <w:t>excreted</w:t>
      </w:r>
      <w:r>
        <w:rPr>
          <w:spacing w:val="-1"/>
        </w:rPr>
        <w:t> </w:t>
      </w:r>
      <w:r>
        <w:rPr/>
        <w:t>by</w:t>
      </w:r>
      <w:r>
        <w:rPr>
          <w:spacing w:val="-10"/>
        </w:rPr>
        <w:t> </w:t>
      </w:r>
      <w:r>
        <w:rPr/>
        <w:t>the</w:t>
      </w:r>
      <w:r>
        <w:rPr>
          <w:spacing w:val="-1"/>
        </w:rPr>
        <w:t> </w:t>
      </w:r>
      <w:r>
        <w:rPr/>
        <w:t>kidneys</w:t>
      </w:r>
      <w:r>
        <w:rPr>
          <w:spacing w:val="-3"/>
        </w:rPr>
        <w:t> </w:t>
      </w:r>
      <w:r>
        <w:rPr/>
        <w:t>(Xing</w:t>
      </w:r>
      <w:r>
        <w:rPr>
          <w:spacing w:val="1"/>
        </w:rPr>
        <w:t> </w:t>
      </w:r>
      <w:r>
        <w:rPr/>
        <w:t>and Soffer</w:t>
      </w:r>
      <w:r>
        <w:rPr>
          <w:spacing w:val="1"/>
        </w:rPr>
        <w:t> </w:t>
      </w:r>
      <w:r>
        <w:rPr/>
        <w:t>2001).</w:t>
      </w:r>
    </w:p>
    <w:p>
      <w:pPr>
        <w:pStyle w:val="Heading1"/>
        <w:numPr>
          <w:ilvl w:val="2"/>
          <w:numId w:val="14"/>
        </w:numPr>
        <w:tabs>
          <w:tab w:pos="1482" w:val="left" w:leader="none"/>
        </w:tabs>
        <w:spacing w:line="240" w:lineRule="auto" w:before="199" w:after="0"/>
        <w:ind w:left="1481" w:right="0" w:hanging="662"/>
        <w:jc w:val="both"/>
      </w:pPr>
      <w:bookmarkStart w:name="_TOC_250026" w:id="28"/>
      <w:r>
        <w:rPr/>
        <w:t>Natural</w:t>
      </w:r>
      <w:r>
        <w:rPr>
          <w:spacing w:val="-5"/>
        </w:rPr>
        <w:t> </w:t>
      </w:r>
      <w:r>
        <w:rPr/>
        <w:t>sources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bookmarkEnd w:id="28"/>
      <w:r>
        <w:rPr/>
        <w:t>magnesium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57" w:lineRule="auto"/>
        <w:ind w:left="820" w:right="1437"/>
        <w:jc w:val="both"/>
      </w:pPr>
      <w:r>
        <w:rPr/>
        <w:t>Many</w:t>
      </w:r>
      <w:r>
        <w:rPr>
          <w:spacing w:val="1"/>
        </w:rPr>
        <w:t> </w:t>
      </w:r>
      <w:r>
        <w:rPr/>
        <w:t>nutritionally</w:t>
      </w:r>
      <w:r>
        <w:rPr>
          <w:spacing w:val="1"/>
        </w:rPr>
        <w:t> </w:t>
      </w:r>
      <w:r>
        <w:rPr/>
        <w:t>oriented</w:t>
      </w:r>
      <w:r>
        <w:rPr>
          <w:spacing w:val="1"/>
        </w:rPr>
        <w:t> </w:t>
      </w:r>
      <w:r>
        <w:rPr/>
        <w:t>doctors</w:t>
      </w:r>
      <w:r>
        <w:rPr>
          <w:spacing w:val="1"/>
        </w:rPr>
        <w:t> </w:t>
      </w:r>
      <w:r>
        <w:rPr/>
        <w:t>recommend</w:t>
      </w:r>
      <w:r>
        <w:rPr>
          <w:spacing w:val="1"/>
        </w:rPr>
        <w:t> </w:t>
      </w:r>
      <w:r>
        <w:rPr/>
        <w:t>250–350</w:t>
      </w:r>
      <w:r>
        <w:rPr>
          <w:spacing w:val="1"/>
        </w:rPr>
        <w:t> </w:t>
      </w:r>
      <w:r>
        <w:rPr/>
        <w:t>mg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supplemental</w:t>
      </w:r>
      <w:r>
        <w:rPr>
          <w:spacing w:val="1"/>
        </w:rPr>
        <w:t> </w:t>
      </w:r>
      <w:r>
        <w:rPr/>
        <w:t>magnesium for adults. Some sources include: nuts, grains, beans, dark green vegetables, fish,</w:t>
      </w:r>
      <w:r>
        <w:rPr>
          <w:spacing w:val="1"/>
        </w:rPr>
        <w:t> </w:t>
      </w:r>
      <w:r>
        <w:rPr/>
        <w:t>meat, avocados,</w:t>
      </w:r>
      <w:r>
        <w:rPr>
          <w:spacing w:val="-4"/>
        </w:rPr>
        <w:t> </w:t>
      </w:r>
      <w:r>
        <w:rPr/>
        <w:t>banana, cashews, enriched</w:t>
      </w:r>
      <w:r>
        <w:rPr>
          <w:spacing w:val="-1"/>
        </w:rPr>
        <w:t> </w:t>
      </w:r>
      <w:r>
        <w:rPr/>
        <w:t>cereals, and</w:t>
      </w:r>
      <w:r>
        <w:rPr>
          <w:spacing w:val="-2"/>
        </w:rPr>
        <w:t> </w:t>
      </w:r>
      <w:r>
        <w:rPr/>
        <w:t>spinach, (Okochi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Okpuzor</w:t>
      </w:r>
      <w:r>
        <w:rPr>
          <w:spacing w:val="1"/>
        </w:rPr>
        <w:t> </w:t>
      </w:r>
      <w:r>
        <w:rPr/>
        <w:t>2005).</w:t>
      </w:r>
    </w:p>
    <w:p>
      <w:pPr>
        <w:pStyle w:val="Heading1"/>
        <w:numPr>
          <w:ilvl w:val="2"/>
          <w:numId w:val="14"/>
        </w:numPr>
        <w:tabs>
          <w:tab w:pos="1482" w:val="left" w:leader="none"/>
        </w:tabs>
        <w:spacing w:line="240" w:lineRule="auto" w:before="206" w:after="0"/>
        <w:ind w:left="1481" w:right="0" w:hanging="662"/>
        <w:jc w:val="both"/>
      </w:pPr>
      <w:bookmarkStart w:name="_TOC_250025" w:id="29"/>
      <w:r>
        <w:rPr/>
        <w:t>Available</w:t>
      </w:r>
      <w:r>
        <w:rPr>
          <w:spacing w:val="-3"/>
        </w:rPr>
        <w:t> </w:t>
      </w:r>
      <w:r>
        <w:rPr/>
        <w:t>forms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bookmarkEnd w:id="29"/>
      <w:r>
        <w:rPr/>
        <w:t>magnesium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39"/>
        <w:jc w:val="both"/>
      </w:pP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elemental</w:t>
      </w:r>
      <w:r>
        <w:rPr>
          <w:spacing w:val="1"/>
        </w:rPr>
        <w:t> </w:t>
      </w:r>
      <w:r>
        <w:rPr/>
        <w:t>magnesium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compound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bioavailability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 of the magnesium supplement. In a study that compared the bioavailability of</w:t>
      </w:r>
      <w:r>
        <w:rPr>
          <w:spacing w:val="1"/>
        </w:rPr>
        <w:t> </w:t>
      </w:r>
      <w:r>
        <w:rPr/>
        <w:t>different</w:t>
      </w:r>
      <w:r>
        <w:rPr>
          <w:spacing w:val="43"/>
        </w:rPr>
        <w:t> </w:t>
      </w:r>
      <w:r>
        <w:rPr/>
        <w:t>forms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magnesium</w:t>
      </w:r>
      <w:r>
        <w:rPr>
          <w:spacing w:val="26"/>
        </w:rPr>
        <w:t> </w:t>
      </w:r>
      <w:r>
        <w:rPr/>
        <w:t>preparations,</w:t>
      </w:r>
      <w:r>
        <w:rPr>
          <w:spacing w:val="41"/>
        </w:rPr>
        <w:t> </w:t>
      </w:r>
      <w:r>
        <w:rPr/>
        <w:t>magnesium</w:t>
      </w:r>
      <w:r>
        <w:rPr>
          <w:spacing w:val="27"/>
        </w:rPr>
        <w:t> </w:t>
      </w:r>
      <w:r>
        <w:rPr/>
        <w:t>oxide</w:t>
      </w:r>
      <w:r>
        <w:rPr>
          <w:spacing w:val="38"/>
        </w:rPr>
        <w:t> </w:t>
      </w:r>
      <w:r>
        <w:rPr/>
        <w:t>had</w:t>
      </w:r>
      <w:r>
        <w:rPr>
          <w:spacing w:val="34"/>
        </w:rPr>
        <w:t> </w:t>
      </w:r>
      <w:r>
        <w:rPr/>
        <w:t>the</w:t>
      </w:r>
      <w:r>
        <w:rPr>
          <w:spacing w:val="38"/>
        </w:rPr>
        <w:t> </w:t>
      </w:r>
      <w:r>
        <w:rPr/>
        <w:t>highest</w:t>
      </w:r>
      <w:r>
        <w:rPr>
          <w:spacing w:val="39"/>
        </w:rPr>
        <w:t> </w:t>
      </w:r>
      <w:r>
        <w:rPr/>
        <w:t>bioavailability.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60" w:lineRule="auto" w:before="72"/>
        <w:ind w:left="820" w:right="1442"/>
        <w:jc w:val="both"/>
      </w:pPr>
      <w:r>
        <w:rPr/>
        <w:t>This was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 magnesium carbonate,</w:t>
      </w:r>
      <w:r>
        <w:rPr>
          <w:spacing w:val="1"/>
        </w:rPr>
        <w:t> </w:t>
      </w:r>
      <w:r>
        <w:rPr/>
        <w:t>magnesium hydroxide and</w:t>
      </w:r>
      <w:r>
        <w:rPr>
          <w:spacing w:val="1"/>
        </w:rPr>
        <w:t> </w:t>
      </w:r>
      <w:r>
        <w:rPr/>
        <w:t>magnesium citrate.</w:t>
      </w:r>
      <w:r>
        <w:rPr>
          <w:spacing w:val="1"/>
        </w:rPr>
        <w:t> </w:t>
      </w:r>
      <w:r>
        <w:rPr/>
        <w:t>Magnesium</w:t>
      </w:r>
      <w:r>
        <w:rPr>
          <w:spacing w:val="1"/>
        </w:rPr>
        <w:t> </w:t>
      </w:r>
      <w:r>
        <w:rPr/>
        <w:t>lactate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magnesium</w:t>
      </w:r>
      <w:r>
        <w:rPr>
          <w:spacing w:val="1"/>
        </w:rPr>
        <w:t> </w:t>
      </w:r>
      <w:r>
        <w:rPr/>
        <w:t>chloride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bioavailability,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magnesium sulphate had the lowest bioavailability (Firoz and Graber 2001). In the same study,</w:t>
      </w:r>
      <w:r>
        <w:rPr>
          <w:spacing w:val="1"/>
        </w:rPr>
        <w:t> </w:t>
      </w:r>
      <w:r>
        <w:rPr/>
        <w:t>magnesium</w:t>
      </w:r>
      <w:r>
        <w:rPr>
          <w:spacing w:val="19"/>
        </w:rPr>
        <w:t> </w:t>
      </w:r>
      <w:r>
        <w:rPr/>
        <w:t>chloride</w:t>
      </w:r>
      <w:r>
        <w:rPr>
          <w:spacing w:val="27"/>
        </w:rPr>
        <w:t> </w:t>
      </w:r>
      <w:r>
        <w:rPr/>
        <w:t>was</w:t>
      </w:r>
      <w:r>
        <w:rPr>
          <w:spacing w:val="29"/>
        </w:rPr>
        <w:t> </w:t>
      </w:r>
      <w:r>
        <w:rPr/>
        <w:t>found</w:t>
      </w:r>
      <w:r>
        <w:rPr>
          <w:spacing w:val="23"/>
        </w:rPr>
        <w:t> </w:t>
      </w:r>
      <w:r>
        <w:rPr/>
        <w:t>to</w:t>
      </w:r>
      <w:r>
        <w:rPr>
          <w:spacing w:val="28"/>
        </w:rPr>
        <w:t> </w:t>
      </w:r>
      <w:r>
        <w:rPr/>
        <w:t>be</w:t>
      </w:r>
      <w:r>
        <w:rPr>
          <w:spacing w:val="22"/>
        </w:rPr>
        <w:t> </w:t>
      </w:r>
      <w:r>
        <w:rPr/>
        <w:t>the</w:t>
      </w:r>
      <w:r>
        <w:rPr>
          <w:spacing w:val="27"/>
        </w:rPr>
        <w:t> </w:t>
      </w:r>
      <w:r>
        <w:rPr/>
        <w:t>most</w:t>
      </w:r>
      <w:r>
        <w:rPr>
          <w:spacing w:val="28"/>
        </w:rPr>
        <w:t> </w:t>
      </w:r>
      <w:r>
        <w:rPr/>
        <w:t>readily</w:t>
      </w:r>
      <w:r>
        <w:rPr>
          <w:spacing w:val="18"/>
        </w:rPr>
        <w:t> </w:t>
      </w:r>
      <w:r>
        <w:rPr/>
        <w:t>absorbed</w:t>
      </w:r>
      <w:r>
        <w:rPr>
          <w:spacing w:val="28"/>
        </w:rPr>
        <w:t> </w:t>
      </w:r>
      <w:r>
        <w:rPr/>
        <w:t>form.</w:t>
      </w:r>
      <w:r>
        <w:rPr>
          <w:spacing w:val="25"/>
        </w:rPr>
        <w:t> </w:t>
      </w:r>
      <w:r>
        <w:rPr/>
        <w:t>This</w:t>
      </w:r>
      <w:r>
        <w:rPr>
          <w:spacing w:val="25"/>
        </w:rPr>
        <w:t> </w:t>
      </w:r>
      <w:r>
        <w:rPr/>
        <w:t>supports</w:t>
      </w:r>
      <w:r>
        <w:rPr>
          <w:spacing w:val="16"/>
        </w:rPr>
        <w:t> </w:t>
      </w:r>
      <w:r>
        <w:rPr/>
        <w:t>the</w:t>
      </w:r>
      <w:r>
        <w:rPr>
          <w:spacing w:val="27"/>
        </w:rPr>
        <w:t> </w:t>
      </w:r>
      <w:r>
        <w:rPr/>
        <w:t>belief</w:t>
      </w:r>
      <w:r>
        <w:rPr>
          <w:spacing w:val="-57"/>
        </w:rPr>
        <w:t> </w:t>
      </w:r>
      <w:r>
        <w:rPr/>
        <w:t>that both the magnesium content of a dietary supplement and its bioavailability contribute to its</w:t>
      </w:r>
      <w:r>
        <w:rPr>
          <w:spacing w:val="1"/>
        </w:rPr>
        <w:t> </w:t>
      </w:r>
      <w:r>
        <w:rPr/>
        <w:t>ability</w:t>
      </w:r>
      <w:r>
        <w:rPr>
          <w:spacing w:val="-9"/>
        </w:rPr>
        <w:t> </w:t>
      </w:r>
      <w:r>
        <w:rPr/>
        <w:t>to</w:t>
      </w:r>
      <w:r>
        <w:rPr>
          <w:spacing w:val="2"/>
        </w:rPr>
        <w:t> </w:t>
      </w:r>
      <w:r>
        <w:rPr/>
        <w:t>restore deficient</w:t>
      </w:r>
      <w:r>
        <w:rPr>
          <w:spacing w:val="7"/>
        </w:rPr>
        <w:t> </w:t>
      </w:r>
      <w:r>
        <w:rPr/>
        <w:t>levels of</w:t>
      </w:r>
      <w:r>
        <w:rPr>
          <w:spacing w:val="-2"/>
        </w:rPr>
        <w:t> </w:t>
      </w:r>
      <w:r>
        <w:rPr/>
        <w:t>magnesium.</w:t>
      </w:r>
    </w:p>
    <w:p>
      <w:pPr>
        <w:pStyle w:val="Heading1"/>
        <w:numPr>
          <w:ilvl w:val="1"/>
          <w:numId w:val="14"/>
        </w:numPr>
        <w:tabs>
          <w:tab w:pos="1185" w:val="left" w:leader="none"/>
        </w:tabs>
        <w:spacing w:line="240" w:lineRule="auto" w:before="199" w:after="0"/>
        <w:ind w:left="1184" w:right="0" w:hanging="365"/>
        <w:jc w:val="both"/>
      </w:pPr>
      <w:bookmarkStart w:name="_TOC_250024" w:id="30"/>
      <w:bookmarkEnd w:id="30"/>
      <w:r>
        <w:rPr/>
        <w:t>Zinc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55" w:lineRule="auto"/>
        <w:ind w:left="820" w:right="1450"/>
        <w:jc w:val="both"/>
      </w:pPr>
      <w:r>
        <w:rPr/>
        <w:t>Zinc is an essential trace mineral that can be derived from food. Next to iron, zinc is the most</w:t>
      </w:r>
      <w:r>
        <w:rPr>
          <w:spacing w:val="1"/>
        </w:rPr>
        <w:t> </w:t>
      </w:r>
      <w:r>
        <w:rPr/>
        <w:t>common</w:t>
      </w:r>
      <w:r>
        <w:rPr>
          <w:spacing w:val="-4"/>
        </w:rPr>
        <w:t> </w:t>
      </w:r>
      <w:r>
        <w:rPr/>
        <w:t>trace mineral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-9"/>
        </w:rPr>
        <w:t> </w:t>
      </w:r>
      <w:r>
        <w:rPr/>
        <w:t>and</w:t>
      </w:r>
      <w:r>
        <w:rPr>
          <w:spacing w:val="6"/>
        </w:rPr>
        <w:t> </w:t>
      </w:r>
      <w:r>
        <w:rPr/>
        <w:t>is</w:t>
      </w:r>
      <w:r>
        <w:rPr>
          <w:spacing w:val="4"/>
        </w:rPr>
        <w:t> </w:t>
      </w:r>
      <w:r>
        <w:rPr/>
        <w:t>found</w:t>
      </w:r>
      <w:r>
        <w:rPr>
          <w:spacing w:val="6"/>
        </w:rPr>
        <w:t> </w:t>
      </w:r>
      <w:r>
        <w:rPr/>
        <w:t>in</w:t>
      </w:r>
      <w:r>
        <w:rPr>
          <w:spacing w:val="1"/>
        </w:rPr>
        <w:t> </w:t>
      </w:r>
      <w:r>
        <w:rPr/>
        <w:t>every</w:t>
      </w:r>
      <w:r>
        <w:rPr>
          <w:spacing w:val="-3"/>
        </w:rPr>
        <w:t> </w:t>
      </w:r>
      <w:r>
        <w:rPr/>
        <w:t>cell</w:t>
      </w:r>
      <w:r>
        <w:rPr>
          <w:spacing w:val="-8"/>
        </w:rPr>
        <w:t> </w:t>
      </w:r>
      <w:r>
        <w:rPr/>
        <w:t>(Prasad,</w:t>
      </w:r>
      <w:r>
        <w:rPr>
          <w:spacing w:val="3"/>
        </w:rPr>
        <w:t> </w:t>
      </w:r>
      <w:r>
        <w:rPr/>
        <w:t>1998).</w:t>
      </w:r>
    </w:p>
    <w:p>
      <w:pPr>
        <w:pStyle w:val="Heading1"/>
        <w:numPr>
          <w:ilvl w:val="2"/>
          <w:numId w:val="14"/>
        </w:numPr>
        <w:tabs>
          <w:tab w:pos="1482" w:val="left" w:leader="none"/>
        </w:tabs>
        <w:spacing w:line="240" w:lineRule="auto" w:before="210" w:after="0"/>
        <w:ind w:left="1481" w:right="0" w:hanging="662"/>
        <w:jc w:val="both"/>
      </w:pPr>
      <w:bookmarkStart w:name="_TOC_250023" w:id="31"/>
      <w:r>
        <w:rPr/>
        <w:t>Zinc</w:t>
      </w:r>
      <w:r>
        <w:rPr>
          <w:spacing w:val="-3"/>
        </w:rPr>
        <w:t> </w:t>
      </w:r>
      <w:r>
        <w:rPr/>
        <w:t>and sickle</w:t>
      </w:r>
      <w:r>
        <w:rPr>
          <w:spacing w:val="-3"/>
        </w:rPr>
        <w:t> </w:t>
      </w:r>
      <w:r>
        <w:rPr/>
        <w:t>cell</w:t>
      </w:r>
      <w:r>
        <w:rPr>
          <w:spacing w:val="-5"/>
        </w:rPr>
        <w:t> </w:t>
      </w:r>
      <w:bookmarkEnd w:id="31"/>
      <w:r>
        <w:rPr/>
        <w:t>disease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35"/>
        <w:jc w:val="both"/>
      </w:pPr>
      <w:r>
        <w:rPr/>
        <w:t>People who have SCD are often deficient in zinc. Prasad </w:t>
      </w:r>
      <w:r>
        <w:rPr>
          <w:i/>
        </w:rPr>
        <w:t>et al</w:t>
      </w:r>
      <w:r>
        <w:rPr/>
        <w:t>., in 1975, first reported that HbSS</w:t>
      </w:r>
      <w:r>
        <w:rPr>
          <w:spacing w:val="1"/>
        </w:rPr>
        <w:t> </w:t>
      </w:r>
      <w:r>
        <w:rPr/>
        <w:t>patients had decreased zinc levels in plasma, erythrocytes and hair associated with increased</w:t>
      </w:r>
      <w:r>
        <w:rPr>
          <w:spacing w:val="1"/>
        </w:rPr>
        <w:t> </w:t>
      </w:r>
      <w:r>
        <w:rPr/>
        <w:t>urinary excretion (hyperzincuria) compared with controls. He noted clinical similarities between</w:t>
      </w:r>
      <w:r>
        <w:rPr>
          <w:spacing w:val="1"/>
        </w:rPr>
        <w:t> </w:t>
      </w:r>
      <w:r>
        <w:rPr/>
        <w:t>patients with zinc deficiency and those with SCD. Subsequent findings indicated a combination</w:t>
      </w:r>
      <w:r>
        <w:rPr>
          <w:spacing w:val="1"/>
        </w:rPr>
        <w:t> </w:t>
      </w:r>
      <w:r>
        <w:rPr/>
        <w:t>of hyperzincuria, high protein turnover (due to increased haemolysis) and inadequate dietary</w:t>
      </w:r>
      <w:r>
        <w:rPr>
          <w:spacing w:val="1"/>
        </w:rPr>
        <w:t> </w:t>
      </w:r>
      <w:r>
        <w:rPr/>
        <w:t>intake as contributing to the significantly increased zinc requirement demonstrated in the HbSS</w:t>
      </w:r>
      <w:r>
        <w:rPr>
          <w:spacing w:val="1"/>
        </w:rPr>
        <w:t> </w:t>
      </w:r>
      <w:r>
        <w:rPr/>
        <w:t>patients (Prasad </w:t>
      </w:r>
      <w:r>
        <w:rPr>
          <w:i/>
        </w:rPr>
        <w:t>et al</w:t>
      </w:r>
      <w:r>
        <w:rPr/>
        <w:t>., 1999). 44% of children with SCD (Leonard </w:t>
      </w:r>
      <w:r>
        <w:rPr>
          <w:i/>
        </w:rPr>
        <w:t>et al</w:t>
      </w:r>
      <w:r>
        <w:rPr/>
        <w:t>., 1998), and 60-70% of</w:t>
      </w:r>
      <w:r>
        <w:rPr>
          <w:spacing w:val="1"/>
        </w:rPr>
        <w:t> </w:t>
      </w:r>
      <w:r>
        <w:rPr/>
        <w:t>adults with SCD (Prasad, 2002) suffer from zinc deficiency. In children with SCD, low plasma</w:t>
      </w:r>
      <w:r>
        <w:rPr>
          <w:spacing w:val="1"/>
        </w:rPr>
        <w:t> </w:t>
      </w:r>
      <w:r>
        <w:rPr/>
        <w:t>zinc may be due to poor nutritional status (Zemel </w:t>
      </w:r>
      <w:r>
        <w:rPr>
          <w:i/>
        </w:rPr>
        <w:t>et al</w:t>
      </w:r>
      <w:r>
        <w:rPr/>
        <w:t>., 2002). Studies suggest that taking zinc</w:t>
      </w:r>
      <w:r>
        <w:rPr>
          <w:spacing w:val="1"/>
        </w:rPr>
        <w:t> </w:t>
      </w:r>
      <w:r>
        <w:rPr/>
        <w:t>supplements may help reduce symptoms of the disease and children who took zinc showed</w:t>
      </w:r>
      <w:r>
        <w:rPr>
          <w:spacing w:val="1"/>
        </w:rPr>
        <w:t> </w:t>
      </w:r>
      <w:r>
        <w:rPr/>
        <w:t>improvements in height and weight, and had fewer sickle cell crises (Zemel </w:t>
      </w:r>
      <w:r>
        <w:rPr>
          <w:i/>
        </w:rPr>
        <w:t>et al</w:t>
      </w:r>
      <w:r>
        <w:rPr/>
        <w:t>., 2002). Trials</w:t>
      </w:r>
      <w:r>
        <w:rPr>
          <w:spacing w:val="1"/>
        </w:rPr>
        <w:t> </w:t>
      </w:r>
      <w:r>
        <w:rPr/>
        <w:t>have shown that zinc supplementation results in improved growth in children, lower rates of</w:t>
      </w:r>
      <w:r>
        <w:rPr>
          <w:spacing w:val="1"/>
        </w:rPr>
        <w:t> </w:t>
      </w:r>
      <w:r>
        <w:rPr/>
        <w:t>diarrhoea,</w:t>
      </w:r>
      <w:r>
        <w:rPr>
          <w:spacing w:val="6"/>
        </w:rPr>
        <w:t> </w:t>
      </w:r>
      <w:r>
        <w:rPr/>
        <w:t>malaria,</w:t>
      </w:r>
      <w:r>
        <w:rPr>
          <w:spacing w:val="2"/>
        </w:rPr>
        <w:t> </w:t>
      </w:r>
      <w:r>
        <w:rPr/>
        <w:t>and pneumonia,</w:t>
      </w:r>
      <w:r>
        <w:rPr>
          <w:spacing w:val="1"/>
        </w:rPr>
        <w:t> </w:t>
      </w:r>
      <w:r>
        <w:rPr/>
        <w:t>and reduced</w:t>
      </w:r>
      <w:r>
        <w:rPr>
          <w:spacing w:val="3"/>
        </w:rPr>
        <w:t> </w:t>
      </w:r>
      <w:r>
        <w:rPr/>
        <w:t>child</w:t>
      </w:r>
      <w:r>
        <w:rPr>
          <w:spacing w:val="4"/>
        </w:rPr>
        <w:t> </w:t>
      </w:r>
      <w:r>
        <w:rPr/>
        <w:t>mortality</w:t>
      </w:r>
      <w:r>
        <w:rPr>
          <w:spacing w:val="-9"/>
        </w:rPr>
        <w:t> </w:t>
      </w:r>
      <w:r>
        <w:rPr/>
        <w:t>(Sazawal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2"/>
        </w:rPr>
        <w:t> </w:t>
      </w:r>
      <w:r>
        <w:rPr/>
        <w:t>2001).</w:t>
      </w:r>
    </w:p>
    <w:p>
      <w:pPr>
        <w:pStyle w:val="BodyText"/>
        <w:spacing w:line="360" w:lineRule="auto" w:before="201"/>
        <w:ind w:left="820" w:right="1438"/>
        <w:jc w:val="both"/>
      </w:pPr>
      <w:r>
        <w:rPr/>
        <w:t>Serjeant </w:t>
      </w:r>
      <w:r>
        <w:rPr>
          <w:i/>
        </w:rPr>
        <w:t>et al</w:t>
      </w:r>
      <w:r>
        <w:rPr/>
        <w:t>., (1970) successfully demonstrated that oral zinc supplements improved epithelial</w:t>
      </w:r>
      <w:r>
        <w:rPr>
          <w:spacing w:val="1"/>
        </w:rPr>
        <w:t> </w:t>
      </w:r>
      <w:r>
        <w:rPr/>
        <w:t>wound healing in SCD patients in the West Indies three times faster than in controls. In 1981,</w:t>
      </w:r>
      <w:r>
        <w:rPr>
          <w:spacing w:val="1"/>
        </w:rPr>
        <w:t> </w:t>
      </w:r>
      <w:r>
        <w:rPr/>
        <w:t>Prasad </w:t>
      </w:r>
      <w:r>
        <w:rPr>
          <w:i/>
        </w:rPr>
        <w:t>et al</w:t>
      </w:r>
      <w:r>
        <w:rPr/>
        <w:t>. showed that zinc supplementation in patients with SCA seemed to prolong red cell</w:t>
      </w:r>
      <w:r>
        <w:rPr>
          <w:spacing w:val="1"/>
        </w:rPr>
        <w:t> </w:t>
      </w:r>
      <w:r>
        <w:rPr/>
        <w:t>life span and reduced vascular obstruction and also caused maturation of gonads. In a study by</w:t>
      </w:r>
      <w:r>
        <w:rPr>
          <w:spacing w:val="1"/>
        </w:rPr>
        <w:t> </w:t>
      </w:r>
      <w:r>
        <w:rPr/>
        <w:t>Konote-Ahulu (1991) in Ghana, correction of zinc deficiency was seen to produce weight gain</w:t>
      </w:r>
      <w:r>
        <w:rPr>
          <w:spacing w:val="1"/>
        </w:rPr>
        <w:t> </w:t>
      </w:r>
      <w:r>
        <w:rPr/>
        <w:t>and</w:t>
      </w:r>
      <w:r>
        <w:rPr>
          <w:spacing w:val="6"/>
        </w:rPr>
        <w:t> </w:t>
      </w:r>
      <w:r>
        <w:rPr/>
        <w:t>improvement</w:t>
      </w:r>
      <w:r>
        <w:rPr>
          <w:spacing w:val="6"/>
        </w:rPr>
        <w:t> </w:t>
      </w:r>
      <w:r>
        <w:rPr/>
        <w:t>of</w:t>
      </w:r>
      <w:r>
        <w:rPr>
          <w:spacing w:val="-6"/>
        </w:rPr>
        <w:t> </w:t>
      </w:r>
      <w:r>
        <w:rPr/>
        <w:t>general</w:t>
      </w:r>
      <w:r>
        <w:rPr>
          <w:spacing w:val="-3"/>
        </w:rPr>
        <w:t> </w:t>
      </w:r>
      <w:r>
        <w:rPr/>
        <w:t>well</w:t>
      </w:r>
      <w:r>
        <w:rPr>
          <w:spacing w:val="-2"/>
        </w:rPr>
        <w:t> </w:t>
      </w:r>
      <w:r>
        <w:rPr/>
        <w:t>being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with</w:t>
      </w:r>
      <w:r>
        <w:rPr>
          <w:spacing w:val="-4"/>
        </w:rPr>
        <w:t> </w:t>
      </w:r>
      <w:r>
        <w:rPr/>
        <w:t>SCD.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60" w:lineRule="auto" w:before="72"/>
        <w:ind w:left="820" w:right="1433"/>
        <w:jc w:val="both"/>
      </w:pPr>
      <w:r>
        <w:rPr/>
        <w:t>Prolonged zinc supplementation decreases the incidence of infections, number of hospitalizations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vaso-occlusive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crises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SCD</w:t>
      </w:r>
      <w:r>
        <w:rPr>
          <w:spacing w:val="1"/>
        </w:rPr>
        <w:t> </w:t>
      </w:r>
      <w:r>
        <w:rPr/>
        <w:t>(Prasad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1999).</w:t>
      </w:r>
      <w:r>
        <w:rPr>
          <w:spacing w:val="1"/>
        </w:rPr>
        <w:t> </w:t>
      </w:r>
      <w:r>
        <w:rPr/>
        <w:t>Infections are usually characterised by the presence of bacteria, increased white blood cells and</w:t>
      </w:r>
      <w:r>
        <w:rPr>
          <w:spacing w:val="1"/>
        </w:rPr>
        <w:t> </w:t>
      </w:r>
      <w:r>
        <w:rPr/>
        <w:t>fever-all</w:t>
      </w:r>
      <w:r>
        <w:rPr>
          <w:spacing w:val="1"/>
        </w:rPr>
        <w:t> </w:t>
      </w:r>
      <w:r>
        <w:rPr/>
        <w:t>of 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factors that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sickling.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immunity against</w:t>
      </w:r>
      <w:r>
        <w:rPr>
          <w:spacing w:val="1"/>
        </w:rPr>
        <w:t> </w:t>
      </w:r>
      <w:r>
        <w:rPr/>
        <w:t>infection, zinc reduces sickling and frequency of crises (Saper and Rash 2008). In 2008, Bao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demonstrated that zinc supplementation to adult SCD patients decreased the incidences of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admissions.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cell,</w:t>
      </w:r>
      <w:r>
        <w:rPr>
          <w:spacing w:val="1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(Hb),</w:t>
      </w:r>
      <w:r>
        <w:rPr>
          <w:spacing w:val="1"/>
        </w:rPr>
        <w:t> </w:t>
      </w:r>
      <w:r>
        <w:rPr/>
        <w:t>hematocrit, plasma zinc, and antioxidant activity increased. Zinc has been shown to reduce the</w:t>
      </w:r>
      <w:r>
        <w:rPr>
          <w:spacing w:val="1"/>
        </w:rPr>
        <w:t> </w:t>
      </w:r>
      <w:r>
        <w:rPr/>
        <w:t>number of irreversibly sickled cells (ISCs) in the blood and to increase the survival of RBCs. It</w:t>
      </w:r>
      <w:r>
        <w:rPr>
          <w:spacing w:val="1"/>
        </w:rPr>
        <w:t> </w:t>
      </w:r>
      <w:r>
        <w:rPr/>
        <w:t>does this by antagonizing calcium binding to the red cell membrane (an important step in the</w:t>
      </w:r>
      <w:r>
        <w:rPr>
          <w:spacing w:val="1"/>
        </w:rPr>
        <w:t> </w:t>
      </w:r>
      <w:r>
        <w:rPr/>
        <w:t>formation of irreversibly sickled cells) (Brewer and Oelshlegel 1974). In SCA, there is increased</w:t>
      </w:r>
      <w:r>
        <w:rPr>
          <w:spacing w:val="1"/>
        </w:rPr>
        <w:t> </w:t>
      </w:r>
      <w:r>
        <w:rPr/>
        <w:t>oxidative stress and peroxidation as well as low antioxidant potential which predisposes the</w:t>
      </w:r>
      <w:r>
        <w:rPr>
          <w:spacing w:val="1"/>
        </w:rPr>
        <w:t> </w:t>
      </w:r>
      <w:r>
        <w:rPr/>
        <w:t>patients to vaso-occlusive crisis (Adelekan </w:t>
      </w:r>
      <w:r>
        <w:rPr>
          <w:i/>
        </w:rPr>
        <w:t>et al</w:t>
      </w:r>
      <w:r>
        <w:rPr/>
        <w:t>., 1989). Zinc exerts its antioxidant action by</w:t>
      </w:r>
      <w:r>
        <w:rPr>
          <w:spacing w:val="1"/>
        </w:rPr>
        <w:t> </w:t>
      </w:r>
      <w:r>
        <w:rPr/>
        <w:t>inhibition of lipid peroxidation which occurs in red blood cells and liver thereby stabilizing</w:t>
      </w:r>
      <w:r>
        <w:rPr>
          <w:spacing w:val="1"/>
        </w:rPr>
        <w:t> </w:t>
      </w:r>
      <w:r>
        <w:rPr/>
        <w:t>biomembranes and biostructures thus protecting the body against oxidative stress (Hasanato,</w:t>
      </w:r>
      <w:r>
        <w:rPr>
          <w:spacing w:val="1"/>
        </w:rPr>
        <w:t> </w:t>
      </w:r>
      <w:r>
        <w:rPr/>
        <w:t>2006). These effects of zinc are believed to give zinc its ability to reduce vaso-occlusive crisis in</w:t>
      </w:r>
      <w:r>
        <w:rPr>
          <w:spacing w:val="1"/>
        </w:rPr>
        <w:t> </w:t>
      </w:r>
      <w:r>
        <w:rPr/>
        <w:t>SCA.</w:t>
      </w:r>
    </w:p>
    <w:p>
      <w:pPr>
        <w:pStyle w:val="ListParagraph"/>
        <w:numPr>
          <w:ilvl w:val="2"/>
          <w:numId w:val="14"/>
        </w:numPr>
        <w:tabs>
          <w:tab w:pos="1400" w:val="left" w:leader="none"/>
        </w:tabs>
        <w:spacing w:line="360" w:lineRule="auto" w:before="201" w:after="0"/>
        <w:ind w:left="820" w:right="1440" w:firstLine="0"/>
        <w:jc w:val="both"/>
        <w:rPr>
          <w:sz w:val="24"/>
        </w:rPr>
      </w:pPr>
      <w:r>
        <w:rPr>
          <w:b/>
          <w:sz w:val="24"/>
        </w:rPr>
        <w:t>Other important uses of zinc: </w:t>
      </w:r>
      <w:r>
        <w:rPr>
          <w:sz w:val="24"/>
        </w:rPr>
        <w:t>Zinc can prevent and palliate diarrhoea and pneumonia</w:t>
      </w:r>
      <w:r>
        <w:rPr>
          <w:spacing w:val="1"/>
          <w:sz w:val="24"/>
        </w:rPr>
        <w:t> </w:t>
      </w:r>
      <w:r>
        <w:rPr>
          <w:sz w:val="24"/>
        </w:rPr>
        <w:t>(Zinc Investigators' Collaborative Group, 1999) and also may reduce malaria morbidity in young</w:t>
      </w:r>
      <w:r>
        <w:rPr>
          <w:spacing w:val="-57"/>
          <w:sz w:val="24"/>
        </w:rPr>
        <w:t> </w:t>
      </w:r>
      <w:r>
        <w:rPr>
          <w:sz w:val="24"/>
        </w:rPr>
        <w:t>children (Caulfield </w:t>
      </w:r>
      <w:r>
        <w:rPr>
          <w:i/>
          <w:sz w:val="24"/>
        </w:rPr>
        <w:t>et al</w:t>
      </w:r>
      <w:r>
        <w:rPr>
          <w:sz w:val="24"/>
        </w:rPr>
        <w:t>., 2004). Improvements in growth have been demonstrated (Brown </w:t>
      </w:r>
      <w:r>
        <w:rPr>
          <w:i/>
          <w:sz w:val="24"/>
        </w:rPr>
        <w:t>et al</w:t>
      </w:r>
      <w:r>
        <w:rPr>
          <w:sz w:val="24"/>
        </w:rPr>
        <w:t>.,</w:t>
      </w:r>
      <w:r>
        <w:rPr>
          <w:spacing w:val="-57"/>
          <w:sz w:val="24"/>
        </w:rPr>
        <w:t> </w:t>
      </w:r>
      <w:r>
        <w:rPr>
          <w:sz w:val="24"/>
        </w:rPr>
        <w:t>2002),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operate</w:t>
      </w:r>
      <w:r>
        <w:rPr>
          <w:spacing w:val="1"/>
          <w:sz w:val="24"/>
        </w:rPr>
        <w:t> </w:t>
      </w:r>
      <w:r>
        <w:rPr>
          <w:sz w:val="24"/>
        </w:rPr>
        <w:t>directly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indirectly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increased</w:t>
      </w:r>
      <w:r>
        <w:rPr>
          <w:spacing w:val="1"/>
          <w:sz w:val="24"/>
        </w:rPr>
        <w:t> </w:t>
      </w:r>
      <w:r>
        <w:rPr>
          <w:sz w:val="24"/>
        </w:rPr>
        <w:t>immune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decreased infectious diseases. It has been used since ancient times to help heal wounds. It has</w:t>
      </w:r>
      <w:r>
        <w:rPr>
          <w:spacing w:val="1"/>
          <w:sz w:val="24"/>
        </w:rPr>
        <w:t> </w:t>
      </w:r>
      <w:r>
        <w:rPr>
          <w:sz w:val="24"/>
        </w:rPr>
        <w:t>antioxidant properties; therefore it helps protect cells in the body from damage caused by free</w:t>
      </w:r>
      <w:r>
        <w:rPr>
          <w:spacing w:val="1"/>
          <w:sz w:val="24"/>
        </w:rPr>
        <w:t> </w:t>
      </w:r>
      <w:r>
        <w:rPr>
          <w:sz w:val="24"/>
        </w:rPr>
        <w:t>radicals (Shankar and Prasad, 1998). It plays a central role in reproduction, growth, taste, vision,</w:t>
      </w:r>
      <w:r>
        <w:rPr>
          <w:spacing w:val="1"/>
          <w:sz w:val="24"/>
        </w:rPr>
        <w:t> </w:t>
      </w:r>
      <w:r>
        <w:rPr>
          <w:sz w:val="24"/>
        </w:rPr>
        <w:t>smell, blood clotting, proper insulin and thyroid function, and in the function of cells mediating</w:t>
      </w:r>
      <w:r>
        <w:rPr>
          <w:spacing w:val="1"/>
          <w:sz w:val="24"/>
        </w:rPr>
        <w:t> </w:t>
      </w:r>
      <w:r>
        <w:rPr>
          <w:sz w:val="24"/>
        </w:rPr>
        <w:t>unspecific immunity, including neutrophils and natural killer cells, and is needed for specific</w:t>
      </w:r>
      <w:r>
        <w:rPr>
          <w:spacing w:val="1"/>
          <w:sz w:val="24"/>
        </w:rPr>
        <w:t> </w:t>
      </w:r>
      <w:r>
        <w:rPr>
          <w:sz w:val="24"/>
        </w:rPr>
        <w:t>immune processes,</w:t>
      </w:r>
      <w:r>
        <w:rPr>
          <w:spacing w:val="3"/>
          <w:sz w:val="24"/>
        </w:rPr>
        <w:t> </w:t>
      </w:r>
      <w:r>
        <w:rPr>
          <w:sz w:val="24"/>
        </w:rPr>
        <w:t>such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balancing</w:t>
      </w:r>
      <w:r>
        <w:rPr>
          <w:spacing w:val="1"/>
          <w:sz w:val="24"/>
        </w:rPr>
        <w:t> </w:t>
      </w:r>
      <w:r>
        <w:rPr>
          <w:sz w:val="24"/>
        </w:rPr>
        <w:t>T</w:t>
      </w:r>
      <w:r>
        <w:rPr>
          <w:spacing w:val="3"/>
          <w:sz w:val="24"/>
        </w:rPr>
        <w:t> </w:t>
      </w:r>
      <w:r>
        <w:rPr>
          <w:sz w:val="24"/>
        </w:rPr>
        <w:t>helper</w:t>
      </w:r>
      <w:r>
        <w:rPr>
          <w:spacing w:val="2"/>
          <w:sz w:val="24"/>
        </w:rPr>
        <w:t> </w:t>
      </w:r>
      <w:r>
        <w:rPr>
          <w:sz w:val="24"/>
        </w:rPr>
        <w:t>cell</w:t>
      </w:r>
      <w:r>
        <w:rPr>
          <w:spacing w:val="-3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(Prasad,</w:t>
      </w:r>
      <w:r>
        <w:rPr>
          <w:spacing w:val="3"/>
          <w:sz w:val="24"/>
        </w:rPr>
        <w:t> </w:t>
      </w:r>
      <w:r>
        <w:rPr>
          <w:sz w:val="24"/>
        </w:rPr>
        <w:t>1998).</w:t>
      </w:r>
    </w:p>
    <w:p>
      <w:pPr>
        <w:pStyle w:val="Heading1"/>
        <w:numPr>
          <w:ilvl w:val="2"/>
          <w:numId w:val="14"/>
        </w:numPr>
        <w:tabs>
          <w:tab w:pos="1482" w:val="left" w:leader="none"/>
        </w:tabs>
        <w:spacing w:line="240" w:lineRule="auto" w:before="199" w:after="0"/>
        <w:ind w:left="1481" w:right="0" w:hanging="662"/>
        <w:jc w:val="both"/>
      </w:pPr>
      <w:bookmarkStart w:name="_TOC_250022" w:id="32"/>
      <w:r>
        <w:rPr/>
        <w:t>Zinc</w:t>
      </w:r>
      <w:r>
        <w:rPr>
          <w:spacing w:val="-5"/>
        </w:rPr>
        <w:t> </w:t>
      </w:r>
      <w:bookmarkEnd w:id="32"/>
      <w:r>
        <w:rPr/>
        <w:t>deficiency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50"/>
        <w:jc w:val="both"/>
      </w:pPr>
      <w:r>
        <w:rPr/>
        <w:t>The importance of zinc deficiency is being increasingly recognized. In total about 800,000 child</w:t>
      </w:r>
      <w:r>
        <w:rPr>
          <w:spacing w:val="1"/>
        </w:rPr>
        <w:t> </w:t>
      </w:r>
      <w:r>
        <w:rPr/>
        <w:t>deaths</w:t>
      </w:r>
      <w:r>
        <w:rPr>
          <w:spacing w:val="-1"/>
        </w:rPr>
        <w:t> </w:t>
      </w:r>
      <w:r>
        <w:rPr/>
        <w:t>per</w:t>
      </w:r>
      <w:r>
        <w:rPr>
          <w:spacing w:val="8"/>
        </w:rPr>
        <w:t> </w:t>
      </w:r>
      <w:r>
        <w:rPr/>
        <w:t>year</w:t>
      </w:r>
      <w:r>
        <w:rPr>
          <w:spacing w:val="3"/>
        </w:rPr>
        <w:t> </w:t>
      </w:r>
      <w:r>
        <w:rPr/>
        <w:t>are attributable</w:t>
      </w:r>
      <w:r>
        <w:rPr>
          <w:spacing w:val="1"/>
        </w:rPr>
        <w:t> </w:t>
      </w:r>
      <w:r>
        <w:rPr/>
        <w:t>to</w:t>
      </w:r>
      <w:r>
        <w:rPr>
          <w:spacing w:val="6"/>
        </w:rPr>
        <w:t> </w:t>
      </w:r>
      <w:r>
        <w:rPr/>
        <w:t>zinc</w:t>
      </w:r>
      <w:r>
        <w:rPr>
          <w:spacing w:val="1"/>
        </w:rPr>
        <w:t> </w:t>
      </w:r>
      <w:r>
        <w:rPr/>
        <w:t>deficiency</w:t>
      </w:r>
      <w:r>
        <w:rPr>
          <w:spacing w:val="-3"/>
        </w:rPr>
        <w:t> </w:t>
      </w:r>
      <w:r>
        <w:rPr/>
        <w:t>(Black,</w:t>
      </w:r>
      <w:r>
        <w:rPr>
          <w:spacing w:val="4"/>
        </w:rPr>
        <w:t> </w:t>
      </w:r>
      <w:r>
        <w:rPr/>
        <w:t>2003).</w:t>
      </w:r>
      <w:r>
        <w:rPr>
          <w:spacing w:val="3"/>
        </w:rPr>
        <w:t> </w:t>
      </w:r>
      <w:r>
        <w:rPr/>
        <w:t>Globally,</w:t>
      </w:r>
      <w:r>
        <w:rPr>
          <w:spacing w:val="4"/>
        </w:rPr>
        <w:t> </w:t>
      </w:r>
      <w:r>
        <w:rPr/>
        <w:t>about</w:t>
      </w:r>
      <w:r>
        <w:rPr>
          <w:spacing w:val="2"/>
        </w:rPr>
        <w:t> </w:t>
      </w:r>
      <w:r>
        <w:rPr/>
        <w:t>2</w:t>
      </w:r>
      <w:r>
        <w:rPr>
          <w:spacing w:val="2"/>
        </w:rPr>
        <w:t> </w:t>
      </w:r>
      <w:r>
        <w:rPr/>
        <w:t>billion</w:t>
      </w:r>
      <w:r>
        <w:rPr>
          <w:spacing w:val="-3"/>
        </w:rPr>
        <w:t> </w:t>
      </w:r>
      <w:r>
        <w:rPr/>
        <w:t>people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55" w:lineRule="auto" w:before="72"/>
        <w:ind w:left="820" w:right="1438"/>
        <w:jc w:val="both"/>
      </w:pPr>
      <w:r>
        <w:rPr/>
        <w:t>are deficient in zinc and zinc deficiency is the attributable cause of 1.9% of global burden of</w:t>
      </w:r>
      <w:r>
        <w:rPr>
          <w:spacing w:val="1"/>
        </w:rPr>
        <w:t> </w:t>
      </w:r>
      <w:r>
        <w:rPr/>
        <w:t>diseases</w:t>
      </w:r>
      <w:r>
        <w:rPr>
          <w:spacing w:val="-1"/>
        </w:rPr>
        <w:t> </w:t>
      </w:r>
      <w:r>
        <w:rPr/>
        <w:t>(Muller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Brugnara</w:t>
      </w:r>
      <w:r>
        <w:rPr>
          <w:spacing w:val="1"/>
        </w:rPr>
        <w:t> </w:t>
      </w:r>
      <w:r>
        <w:rPr/>
        <w:t>2001).</w:t>
      </w:r>
    </w:p>
    <w:p>
      <w:pPr>
        <w:pStyle w:val="BodyText"/>
        <w:spacing w:line="360" w:lineRule="auto" w:before="210"/>
        <w:ind w:left="820" w:right="1435"/>
        <w:jc w:val="both"/>
      </w:pPr>
      <w:r>
        <w:rPr/>
        <w:t>Zinc deficiency results from inadequate intakes (e.g., in populations whose primary diet is plant</w:t>
      </w:r>
      <w:r>
        <w:rPr>
          <w:spacing w:val="1"/>
        </w:rPr>
        <w:t> </w:t>
      </w:r>
      <w:r>
        <w:rPr/>
        <w:t>based, as plants are a poor source of dietary zinc) and to some extent, due to increased losses</w:t>
      </w:r>
      <w:r>
        <w:rPr>
          <w:spacing w:val="1"/>
        </w:rPr>
        <w:t> </w:t>
      </w:r>
      <w:r>
        <w:rPr/>
        <w:t>either through urine (in SCDs and during systemic infections) (Hambridge, 2000) or through</w:t>
      </w:r>
      <w:r>
        <w:rPr>
          <w:spacing w:val="1"/>
        </w:rPr>
        <w:t> </w:t>
      </w:r>
      <w:r>
        <w:rPr/>
        <w:t>faeces (in diarrhoea). In SCD, zinc deficiency has been attributed to reduced appetite (hence</w:t>
      </w:r>
      <w:r>
        <w:rPr>
          <w:spacing w:val="1"/>
        </w:rPr>
        <w:t> </w:t>
      </w:r>
      <w:r>
        <w:rPr/>
        <w:t>reduced intake) and haemolysis. During sickle cell crises, there is an increased demand and</w:t>
      </w:r>
      <w:r>
        <w:rPr>
          <w:spacing w:val="1"/>
        </w:rPr>
        <w:t> </w:t>
      </w:r>
      <w:r>
        <w:rPr/>
        <w:t>utilisation of zinc (Temiye </w:t>
      </w:r>
      <w:r>
        <w:rPr>
          <w:i/>
        </w:rPr>
        <w:t>et al</w:t>
      </w:r>
      <w:r>
        <w:rPr/>
        <w:t>., 2011). In addition, there is loss of zinc in the urine due to</w:t>
      </w:r>
      <w:r>
        <w:rPr>
          <w:spacing w:val="1"/>
        </w:rPr>
        <w:t> </w:t>
      </w:r>
      <w:r>
        <w:rPr/>
        <w:t>impaired</w:t>
      </w:r>
      <w:r>
        <w:rPr>
          <w:spacing w:val="1"/>
        </w:rPr>
        <w:t> </w:t>
      </w:r>
      <w:r>
        <w:rPr/>
        <w:t>renal</w:t>
      </w:r>
      <w:r>
        <w:rPr>
          <w:spacing w:val="-3"/>
        </w:rPr>
        <w:t> </w:t>
      </w:r>
      <w:r>
        <w:rPr/>
        <w:t>concentration</w:t>
      </w:r>
      <w:r>
        <w:rPr>
          <w:spacing w:val="-4"/>
        </w:rPr>
        <w:t> </w:t>
      </w:r>
      <w:r>
        <w:rPr/>
        <w:t>and</w:t>
      </w:r>
      <w:r>
        <w:rPr>
          <w:spacing w:val="7"/>
        </w:rPr>
        <w:t> </w:t>
      </w:r>
      <w:r>
        <w:rPr/>
        <w:t>hypoxanthinuria</w:t>
      </w:r>
      <w:r>
        <w:rPr>
          <w:spacing w:val="5"/>
        </w:rPr>
        <w:t> </w:t>
      </w:r>
      <w:r>
        <w:rPr/>
        <w:t>(Essien,</w:t>
      </w:r>
      <w:r>
        <w:rPr>
          <w:spacing w:val="3"/>
        </w:rPr>
        <w:t> </w:t>
      </w:r>
      <w:r>
        <w:rPr/>
        <w:t>1995).</w:t>
      </w:r>
    </w:p>
    <w:p>
      <w:pPr>
        <w:pStyle w:val="BodyText"/>
        <w:spacing w:line="357" w:lineRule="auto" w:before="203"/>
        <w:ind w:left="820" w:right="1439"/>
        <w:jc w:val="both"/>
      </w:pPr>
      <w:r>
        <w:rPr/>
        <w:t>Consequences of zinc deficiency include loss of appetite, poor growth, weight loss, lack of taste</w:t>
      </w:r>
      <w:r>
        <w:rPr>
          <w:spacing w:val="1"/>
        </w:rPr>
        <w:t> </w:t>
      </w:r>
      <w:r>
        <w:rPr/>
        <w:t>or smell, poor wound healing, skin problems (such as acne, atopic dermatitis and psoriasis), hair</w:t>
      </w:r>
      <w:r>
        <w:rPr>
          <w:spacing w:val="1"/>
        </w:rPr>
        <w:t> </w:t>
      </w:r>
      <w:r>
        <w:rPr/>
        <w:t>loss,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menstrual</w:t>
      </w:r>
      <w:r>
        <w:rPr>
          <w:spacing w:val="1"/>
        </w:rPr>
        <w:t> </w:t>
      </w:r>
      <w:r>
        <w:rPr/>
        <w:t>period,</w:t>
      </w:r>
      <w:r>
        <w:rPr>
          <w:spacing w:val="1"/>
        </w:rPr>
        <w:t> </w:t>
      </w:r>
      <w:r>
        <w:rPr/>
        <w:t>night</w:t>
      </w:r>
      <w:r>
        <w:rPr>
          <w:spacing w:val="1"/>
        </w:rPr>
        <w:t> </w:t>
      </w:r>
      <w:r>
        <w:rPr/>
        <w:t>blindness,</w:t>
      </w:r>
      <w:r>
        <w:rPr>
          <w:spacing w:val="1"/>
        </w:rPr>
        <w:t> </w:t>
      </w:r>
      <w:r>
        <w:rPr/>
        <w:t>white</w:t>
      </w:r>
      <w:r>
        <w:rPr>
          <w:spacing w:val="1"/>
        </w:rPr>
        <w:t> </w:t>
      </w:r>
      <w:r>
        <w:rPr/>
        <w:t>spots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fingernails,</w:t>
      </w:r>
      <w:r>
        <w:rPr>
          <w:spacing w:val="60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(Miyata,</w:t>
      </w:r>
      <w:r>
        <w:rPr>
          <w:spacing w:val="1"/>
        </w:rPr>
        <w:t> </w:t>
      </w:r>
      <w:r>
        <w:rPr/>
        <w:t>2007),</w:t>
      </w:r>
      <w:r>
        <w:rPr>
          <w:spacing w:val="1"/>
        </w:rPr>
        <w:t> </w:t>
      </w:r>
      <w:r>
        <w:rPr/>
        <w:t>impaired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function,</w:t>
      </w:r>
      <w:r>
        <w:rPr>
          <w:spacing w:val="1"/>
        </w:rPr>
        <w:t> </w:t>
      </w:r>
      <w:r>
        <w:rPr/>
        <w:t>hypogonadism,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dysfunction,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susceptibility</w:t>
      </w:r>
      <w:r>
        <w:rPr>
          <w:spacing w:val="-9"/>
        </w:rPr>
        <w:t> </w:t>
      </w:r>
      <w:r>
        <w:rPr/>
        <w:t>to</w:t>
      </w:r>
      <w:r>
        <w:rPr>
          <w:spacing w:val="2"/>
        </w:rPr>
        <w:t> </w:t>
      </w:r>
      <w:r>
        <w:rPr/>
        <w:t>infection</w:t>
      </w:r>
      <w:r>
        <w:rPr>
          <w:spacing w:val="-3"/>
        </w:rPr>
        <w:t> </w:t>
      </w:r>
      <w:r>
        <w:rPr/>
        <w:t>(Shankar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Prasad</w:t>
      </w:r>
      <w:r>
        <w:rPr>
          <w:spacing w:val="2"/>
        </w:rPr>
        <w:t> </w:t>
      </w:r>
      <w:r>
        <w:rPr/>
        <w:t>1998).</w:t>
      </w:r>
    </w:p>
    <w:p>
      <w:pPr>
        <w:pStyle w:val="Heading1"/>
        <w:numPr>
          <w:ilvl w:val="2"/>
          <w:numId w:val="14"/>
        </w:numPr>
        <w:tabs>
          <w:tab w:pos="1362" w:val="left" w:leader="none"/>
        </w:tabs>
        <w:spacing w:line="240" w:lineRule="auto" w:before="210" w:after="0"/>
        <w:ind w:left="1361" w:right="0" w:hanging="542"/>
        <w:jc w:val="both"/>
      </w:pPr>
      <w:bookmarkStart w:name="_TOC_250021" w:id="33"/>
      <w:r>
        <w:rPr/>
        <w:t>Zinc</w:t>
      </w:r>
      <w:r>
        <w:rPr>
          <w:spacing w:val="-4"/>
        </w:rPr>
        <w:t> </w:t>
      </w:r>
      <w:bookmarkEnd w:id="33"/>
      <w:r>
        <w:rPr/>
        <w:t>toxicity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 w:before="1"/>
        <w:ind w:left="820" w:right="1436"/>
        <w:jc w:val="both"/>
      </w:pPr>
      <w:r>
        <w:rPr/>
        <w:t>Acute toxicity is fairly rare and is usually caused by food poisoning of extremely high intakes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225-450mg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zinc.</w:t>
      </w:r>
      <w:r>
        <w:rPr>
          <w:spacing w:val="1"/>
        </w:rPr>
        <w:t> </w:t>
      </w:r>
      <w:r>
        <w:rPr/>
        <w:t>Dietary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copper</w:t>
      </w:r>
      <w:r>
        <w:rPr>
          <w:spacing w:val="1"/>
        </w:rPr>
        <w:t> </w:t>
      </w:r>
      <w:r>
        <w:rPr/>
        <w:t>deficiency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antagonizing</w:t>
      </w:r>
      <w:r>
        <w:rPr>
          <w:spacing w:val="9"/>
        </w:rPr>
        <w:t> </w:t>
      </w:r>
      <w:r>
        <w:rPr/>
        <w:t>copper</w:t>
      </w:r>
      <w:r>
        <w:rPr>
          <w:spacing w:val="12"/>
        </w:rPr>
        <w:t> </w:t>
      </w:r>
      <w:r>
        <w:rPr/>
        <w:t>absorption,</w:t>
      </w:r>
      <w:r>
        <w:rPr>
          <w:spacing w:val="13"/>
        </w:rPr>
        <w:t> </w:t>
      </w:r>
      <w:r>
        <w:rPr/>
        <w:t>resulting</w:t>
      </w:r>
      <w:r>
        <w:rPr>
          <w:spacing w:val="14"/>
        </w:rPr>
        <w:t> </w:t>
      </w:r>
      <w:r>
        <w:rPr/>
        <w:t>in</w:t>
      </w:r>
      <w:r>
        <w:rPr>
          <w:spacing w:val="10"/>
        </w:rPr>
        <w:t> </w:t>
      </w:r>
      <w:r>
        <w:rPr/>
        <w:t>hypocupraemia</w:t>
      </w:r>
      <w:r>
        <w:rPr>
          <w:spacing w:val="9"/>
        </w:rPr>
        <w:t> </w:t>
      </w:r>
      <w:r>
        <w:rPr/>
        <w:t>and</w:t>
      </w:r>
      <w:r>
        <w:rPr>
          <w:spacing w:val="15"/>
        </w:rPr>
        <w:t> </w:t>
      </w:r>
      <w:r>
        <w:rPr/>
        <w:t>iron</w:t>
      </w:r>
      <w:r>
        <w:rPr>
          <w:spacing w:val="6"/>
        </w:rPr>
        <w:t> </w:t>
      </w:r>
      <w:r>
        <w:rPr/>
        <w:t>deficiency</w:t>
      </w:r>
      <w:r>
        <w:rPr>
          <w:spacing w:val="6"/>
        </w:rPr>
        <w:t> </w:t>
      </w:r>
      <w:r>
        <w:rPr/>
        <w:t>anaemia.</w:t>
      </w:r>
      <w:r>
        <w:rPr>
          <w:spacing w:val="13"/>
        </w:rPr>
        <w:t> </w:t>
      </w:r>
      <w:r>
        <w:rPr/>
        <w:t>Thus,</w:t>
      </w:r>
      <w:r>
        <w:rPr>
          <w:spacing w:val="-58"/>
        </w:rPr>
        <w:t> </w:t>
      </w:r>
      <w:r>
        <w:rPr/>
        <w:t>it is recommended that 2 mg of copper should be taken along with a zinc supplement. This effect</w:t>
      </w:r>
      <w:r>
        <w:rPr>
          <w:spacing w:val="1"/>
        </w:rPr>
        <w:t> </w:t>
      </w:r>
      <w:r>
        <w:rPr/>
        <w:t>is however reversed on discontinuation of the zinc (Edwin </w:t>
      </w:r>
      <w:r>
        <w:rPr>
          <w:i/>
        </w:rPr>
        <w:t>et al</w:t>
      </w:r>
      <w:r>
        <w:rPr/>
        <w:t>., 1991). Copper deficiency, iron-</w:t>
      </w:r>
      <w:r>
        <w:rPr>
          <w:spacing w:val="1"/>
        </w:rPr>
        <w:t> </w:t>
      </w:r>
      <w:r>
        <w:rPr/>
        <w:t>deficiency anaemia, neutropenia, deficient immune function, and undesirable changes in the ratio</w:t>
      </w:r>
      <w:r>
        <w:rPr>
          <w:spacing w:val="-57"/>
        </w:rPr>
        <w:t> </w:t>
      </w:r>
      <w:r>
        <w:rPr/>
        <w:t>of low density lipoprotein (LDL) to high density lipoprotein (HDL) cholesterol have all occurred</w:t>
      </w:r>
      <w:r>
        <w:rPr>
          <w:spacing w:val="-57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increased</w:t>
      </w:r>
      <w:r>
        <w:rPr>
          <w:spacing w:val="2"/>
        </w:rPr>
        <w:t> </w:t>
      </w:r>
      <w:r>
        <w:rPr/>
        <w:t>zinc</w:t>
      </w:r>
      <w:r>
        <w:rPr>
          <w:spacing w:val="5"/>
        </w:rPr>
        <w:t> </w:t>
      </w:r>
      <w:r>
        <w:rPr/>
        <w:t>intake</w:t>
      </w:r>
      <w:r>
        <w:rPr>
          <w:spacing w:val="1"/>
        </w:rPr>
        <w:t> </w:t>
      </w:r>
      <w:r>
        <w:rPr/>
        <w:t>(Fosmaire,</w:t>
      </w:r>
      <w:r>
        <w:rPr>
          <w:spacing w:val="4"/>
        </w:rPr>
        <w:t> </w:t>
      </w:r>
      <w:r>
        <w:rPr/>
        <w:t>1990).</w:t>
      </w:r>
    </w:p>
    <w:p>
      <w:pPr>
        <w:pStyle w:val="Heading1"/>
        <w:numPr>
          <w:ilvl w:val="2"/>
          <w:numId w:val="14"/>
        </w:numPr>
        <w:tabs>
          <w:tab w:pos="1482" w:val="left" w:leader="none"/>
        </w:tabs>
        <w:spacing w:line="240" w:lineRule="auto" w:before="201" w:after="0"/>
        <w:ind w:left="1481" w:right="0" w:hanging="662"/>
        <w:jc w:val="both"/>
      </w:pPr>
      <w:bookmarkStart w:name="_TOC_250020" w:id="34"/>
      <w:r>
        <w:rPr/>
        <w:t>Natural</w:t>
      </w:r>
      <w:r>
        <w:rPr>
          <w:spacing w:val="-6"/>
        </w:rPr>
        <w:t> </w:t>
      </w:r>
      <w:r>
        <w:rPr/>
        <w:t>sources</w:t>
      </w:r>
      <w:r>
        <w:rPr>
          <w:spacing w:val="-4"/>
        </w:rPr>
        <w:t> </w:t>
      </w:r>
      <w:bookmarkEnd w:id="34"/>
      <w:r>
        <w:rPr/>
        <w:t>of zinc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39"/>
        <w:jc w:val="both"/>
      </w:pPr>
      <w:r>
        <w:rPr/>
        <w:t>The recommended daily allowance for adults is 8 - 11 mg (Hambridge, 2000), 20-40% of which</w:t>
      </w:r>
      <w:r>
        <w:rPr>
          <w:spacing w:val="1"/>
        </w:rPr>
        <w:t> </w:t>
      </w:r>
      <w:r>
        <w:rPr/>
        <w:t>the body absorbs from food. The best sources of zinc are oysters (richest source), red meats-</w:t>
      </w:r>
      <w:r>
        <w:rPr>
          <w:spacing w:val="1"/>
        </w:rPr>
        <w:t> </w:t>
      </w:r>
      <w:r>
        <w:rPr/>
        <w:t>especially beef, lamb and liver, poultry, cheese (ricotta, swiss, gouda), shrimp, crab, and other</w:t>
      </w:r>
      <w:r>
        <w:rPr>
          <w:spacing w:val="1"/>
        </w:rPr>
        <w:t> </w:t>
      </w:r>
      <w:r>
        <w:rPr/>
        <w:t>shellfish.</w:t>
      </w:r>
      <w:r>
        <w:rPr>
          <w:spacing w:val="17"/>
        </w:rPr>
        <w:t> </w:t>
      </w:r>
      <w:r>
        <w:rPr/>
        <w:t>Zinc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also</w:t>
      </w:r>
      <w:r>
        <w:rPr>
          <w:spacing w:val="25"/>
        </w:rPr>
        <w:t> </w:t>
      </w:r>
      <w:r>
        <w:rPr/>
        <w:t>found</w:t>
      </w:r>
      <w:r>
        <w:rPr>
          <w:spacing w:val="20"/>
        </w:rPr>
        <w:t> </w:t>
      </w:r>
      <w:r>
        <w:rPr/>
        <w:t>in</w:t>
      </w:r>
      <w:r>
        <w:rPr>
          <w:spacing w:val="15"/>
        </w:rPr>
        <w:t> </w:t>
      </w:r>
      <w:r>
        <w:rPr/>
        <w:t>legumes</w:t>
      </w:r>
      <w:r>
        <w:rPr>
          <w:spacing w:val="14"/>
        </w:rPr>
        <w:t> </w:t>
      </w:r>
      <w:r>
        <w:rPr/>
        <w:t>(especially</w:t>
      </w:r>
      <w:r>
        <w:rPr>
          <w:spacing w:val="16"/>
        </w:rPr>
        <w:t> </w:t>
      </w:r>
      <w:r>
        <w:rPr/>
        <w:t>lima</w:t>
      </w:r>
      <w:r>
        <w:rPr>
          <w:spacing w:val="19"/>
        </w:rPr>
        <w:t> </w:t>
      </w:r>
      <w:r>
        <w:rPr/>
        <w:t>beans,</w:t>
      </w:r>
      <w:r>
        <w:rPr>
          <w:spacing w:val="17"/>
        </w:rPr>
        <w:t> </w:t>
      </w:r>
      <w:r>
        <w:rPr/>
        <w:t>black-eyed</w:t>
      </w:r>
      <w:r>
        <w:rPr>
          <w:spacing w:val="16"/>
        </w:rPr>
        <w:t> </w:t>
      </w:r>
      <w:r>
        <w:rPr/>
        <w:t>peas,</w:t>
      </w:r>
      <w:r>
        <w:rPr>
          <w:spacing w:val="17"/>
        </w:rPr>
        <w:t> </w:t>
      </w:r>
      <w:r>
        <w:rPr/>
        <w:t>soybeans,</w:t>
      </w:r>
      <w:r>
        <w:rPr>
          <w:spacing w:val="18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57" w:lineRule="auto" w:before="72"/>
        <w:ind w:left="820" w:right="1448"/>
        <w:jc w:val="both"/>
      </w:pPr>
      <w:r>
        <w:rPr/>
        <w:t>peanuts), whole grains, tofu, brewer's yeast, cooked greens, mushrooms, green beans, tahini,</w:t>
      </w:r>
      <w:r>
        <w:rPr>
          <w:spacing w:val="1"/>
        </w:rPr>
        <w:t> </w:t>
      </w:r>
      <w:r>
        <w:rPr/>
        <w:t>pumpkin, almonds, blackcurrant, and sunflower seeds. Thus, as with iron deficiency, populations</w:t>
      </w:r>
      <w:r>
        <w:rPr>
          <w:spacing w:val="-57"/>
        </w:rPr>
        <w:t> </w:t>
      </w:r>
      <w:r>
        <w:rPr/>
        <w:t>consuming a</w:t>
      </w:r>
      <w:r>
        <w:rPr>
          <w:spacing w:val="-1"/>
        </w:rPr>
        <w:t> </w:t>
      </w:r>
      <w:r>
        <w:rPr/>
        <w:t>primarily</w:t>
      </w:r>
      <w:r>
        <w:rPr>
          <w:spacing w:val="-9"/>
        </w:rPr>
        <w:t> </w:t>
      </w:r>
      <w:r>
        <w:rPr/>
        <w:t>plant-based diet</w:t>
      </w:r>
      <w:r>
        <w:rPr>
          <w:spacing w:val="5"/>
        </w:rPr>
        <w:t> </w:t>
      </w:r>
      <w:r>
        <w:rPr/>
        <w:t>are</w:t>
      </w:r>
      <w:r>
        <w:rPr>
          <w:spacing w:val="-1"/>
        </w:rPr>
        <w:t> </w:t>
      </w:r>
      <w:r>
        <w:rPr/>
        <w:t>susceptible to</w:t>
      </w:r>
      <w:r>
        <w:rPr>
          <w:spacing w:val="5"/>
        </w:rPr>
        <w:t> </w:t>
      </w:r>
      <w:r>
        <w:rPr/>
        <w:t>having zinc</w:t>
      </w:r>
      <w:r>
        <w:rPr>
          <w:spacing w:val="-1"/>
        </w:rPr>
        <w:t> </w:t>
      </w:r>
      <w:r>
        <w:rPr/>
        <w:t>deficiency.</w:t>
      </w:r>
    </w:p>
    <w:p>
      <w:pPr>
        <w:pStyle w:val="Heading1"/>
        <w:numPr>
          <w:ilvl w:val="2"/>
          <w:numId w:val="14"/>
        </w:numPr>
        <w:tabs>
          <w:tab w:pos="1482" w:val="left" w:leader="none"/>
        </w:tabs>
        <w:spacing w:line="240" w:lineRule="auto" w:before="206" w:after="0"/>
        <w:ind w:left="1481" w:right="0" w:hanging="662"/>
        <w:jc w:val="both"/>
      </w:pPr>
      <w:bookmarkStart w:name="_TOC_250019" w:id="35"/>
      <w:r>
        <w:rPr/>
        <w:t>Available</w:t>
      </w:r>
      <w:r>
        <w:rPr>
          <w:spacing w:val="-4"/>
        </w:rPr>
        <w:t> </w:t>
      </w:r>
      <w:r>
        <w:rPr/>
        <w:t>Forms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bookmarkEnd w:id="35"/>
      <w:r>
        <w:rPr/>
        <w:t>zinc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49"/>
        <w:jc w:val="both"/>
      </w:pPr>
      <w:r>
        <w:rPr/>
        <w:t>Zinc is available in several forms. Zinc sulphate is the least expensive form, but it is the least</w:t>
      </w:r>
      <w:r>
        <w:rPr>
          <w:spacing w:val="1"/>
        </w:rPr>
        <w:t> </w:t>
      </w:r>
      <w:r>
        <w:rPr/>
        <w:t>easily absorbed and may cause stomach upset. More easily absorbed forms of zinc are zinc</w:t>
      </w:r>
      <w:r>
        <w:rPr>
          <w:spacing w:val="1"/>
        </w:rPr>
        <w:t> </w:t>
      </w:r>
      <w:r>
        <w:rPr/>
        <w:t>picolinate,</w:t>
      </w:r>
      <w:r>
        <w:rPr>
          <w:spacing w:val="2"/>
        </w:rPr>
        <w:t> </w:t>
      </w:r>
      <w:r>
        <w:rPr/>
        <w:t>zinc</w:t>
      </w:r>
      <w:r>
        <w:rPr>
          <w:spacing w:val="-1"/>
        </w:rPr>
        <w:t> </w:t>
      </w:r>
      <w:r>
        <w:rPr/>
        <w:t>citrate,</w:t>
      </w:r>
      <w:r>
        <w:rPr>
          <w:spacing w:val="3"/>
        </w:rPr>
        <w:t> </w:t>
      </w:r>
      <w:r>
        <w:rPr/>
        <w:t>zinc</w:t>
      </w:r>
      <w:r>
        <w:rPr>
          <w:spacing w:val="-1"/>
        </w:rPr>
        <w:t> </w:t>
      </w:r>
      <w:r>
        <w:rPr/>
        <w:t>acetate,</w:t>
      </w:r>
      <w:r>
        <w:rPr>
          <w:spacing w:val="-1"/>
        </w:rPr>
        <w:t> </w:t>
      </w:r>
      <w:r>
        <w:rPr/>
        <w:t>zinc</w:t>
      </w:r>
      <w:r>
        <w:rPr>
          <w:spacing w:val="-1"/>
        </w:rPr>
        <w:t> </w:t>
      </w:r>
      <w:r>
        <w:rPr/>
        <w:t>glycerate,</w:t>
      </w:r>
      <w:r>
        <w:rPr>
          <w:spacing w:val="3"/>
        </w:rPr>
        <w:t> </w:t>
      </w:r>
      <w:r>
        <w:rPr/>
        <w:t>and zinc</w:t>
      </w:r>
      <w:r>
        <w:rPr>
          <w:spacing w:val="5"/>
        </w:rPr>
        <w:t> </w:t>
      </w:r>
      <w:r>
        <w:rPr/>
        <w:t>monomethionine.</w:t>
      </w:r>
    </w:p>
    <w:p>
      <w:pPr>
        <w:pStyle w:val="Heading1"/>
        <w:numPr>
          <w:ilvl w:val="1"/>
          <w:numId w:val="14"/>
        </w:numPr>
        <w:tabs>
          <w:tab w:pos="1305" w:val="left" w:leader="none"/>
        </w:tabs>
        <w:spacing w:line="240" w:lineRule="auto" w:before="203" w:after="0"/>
        <w:ind w:left="1304" w:right="0" w:hanging="485"/>
        <w:jc w:val="both"/>
      </w:pPr>
      <w:bookmarkStart w:name="_TOC_250018" w:id="36"/>
      <w:bookmarkEnd w:id="36"/>
      <w:r>
        <w:rPr/>
        <w:t>Copper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40"/>
        <w:jc w:val="both"/>
      </w:pPr>
      <w:r>
        <w:rPr/>
        <w:t>Copper (Cu) was established as an essential nutrient in the 1920s and 1930s (Danks, 1988). It is</w:t>
      </w:r>
      <w:r>
        <w:rPr>
          <w:spacing w:val="1"/>
        </w:rPr>
        <w:t> </w:t>
      </w:r>
      <w:r>
        <w:rPr/>
        <w:t>the third most abundant trace mineral in the body. It is involved in numerous biochemical</w:t>
      </w:r>
      <w:r>
        <w:rPr>
          <w:spacing w:val="1"/>
        </w:rPr>
        <w:t> </w:t>
      </w:r>
      <w:r>
        <w:rPr/>
        <w:t>reactions in human cells, and is a component of multiple enzymes, which contributes to the</w:t>
      </w:r>
      <w:r>
        <w:rPr>
          <w:spacing w:val="1"/>
        </w:rPr>
        <w:t> </w:t>
      </w:r>
      <w:r>
        <w:rPr/>
        <w:t>functions of many antioxidants in the body (Okochi and Okpuzor 2005). Copper is involved in</w:t>
      </w:r>
      <w:r>
        <w:rPr>
          <w:spacing w:val="1"/>
        </w:rPr>
        <w:t> </w:t>
      </w:r>
      <w:r>
        <w:rPr/>
        <w:t>the</w:t>
      </w:r>
      <w:r>
        <w:rPr>
          <w:spacing w:val="16"/>
        </w:rPr>
        <w:t> </w:t>
      </w:r>
      <w:r>
        <w:rPr/>
        <w:t>absorption,</w:t>
      </w:r>
      <w:r>
        <w:rPr>
          <w:spacing w:val="19"/>
        </w:rPr>
        <w:t> </w:t>
      </w:r>
      <w:r>
        <w:rPr/>
        <w:t>storage,</w:t>
      </w:r>
      <w:r>
        <w:rPr>
          <w:spacing w:val="19"/>
        </w:rPr>
        <w:t> </w:t>
      </w:r>
      <w:r>
        <w:rPr/>
        <w:t>and</w:t>
      </w:r>
      <w:r>
        <w:rPr>
          <w:spacing w:val="21"/>
        </w:rPr>
        <w:t> </w:t>
      </w:r>
      <w:r>
        <w:rPr/>
        <w:t>metabolism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iron</w:t>
      </w:r>
      <w:r>
        <w:rPr>
          <w:spacing w:val="12"/>
        </w:rPr>
        <w:t> </w:t>
      </w:r>
      <w:r>
        <w:rPr/>
        <w:t>(Fe).</w:t>
      </w:r>
      <w:r>
        <w:rPr>
          <w:spacing w:val="19"/>
        </w:rPr>
        <w:t> </w:t>
      </w:r>
      <w:r>
        <w:rPr/>
        <w:t>Via</w:t>
      </w:r>
      <w:r>
        <w:rPr>
          <w:spacing w:val="16"/>
        </w:rPr>
        <w:t> </w:t>
      </w:r>
      <w:r>
        <w:rPr/>
        <w:t>cearuloplasmin,</w:t>
      </w:r>
      <w:r>
        <w:rPr>
          <w:spacing w:val="19"/>
        </w:rPr>
        <w:t> </w:t>
      </w:r>
      <w:r>
        <w:rPr/>
        <w:t>Cu</w:t>
      </w:r>
      <w:r>
        <w:rPr>
          <w:spacing w:val="22"/>
        </w:rPr>
        <w:t> </w:t>
      </w:r>
      <w:r>
        <w:rPr/>
        <w:t>is</w:t>
      </w:r>
      <w:r>
        <w:rPr>
          <w:spacing w:val="20"/>
        </w:rPr>
        <w:t> </w:t>
      </w:r>
      <w:r>
        <w:rPr/>
        <w:t>able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oxidise</w:t>
      </w:r>
      <w:r>
        <w:rPr>
          <w:spacing w:val="-57"/>
        </w:rPr>
        <w:t> </w:t>
      </w:r>
      <w:r>
        <w:rPr/>
        <w:t>Fe before being transported in the blood to all the tissues. Thus, deficiency of copper can lead to</w:t>
      </w:r>
      <w:r>
        <w:rPr>
          <w:spacing w:val="1"/>
        </w:rPr>
        <w:t> </w:t>
      </w:r>
      <w:r>
        <w:rPr/>
        <w:t>iron deficiency anaemia. Copper deficiency is unusual in people with an adequate diet but low</w:t>
      </w:r>
      <w:r>
        <w:rPr>
          <w:spacing w:val="1"/>
        </w:rPr>
        <w:t> </w:t>
      </w:r>
      <w:r>
        <w:rPr/>
        <w:t>levels in serum do occur (usually in association with Menke’s syndrome) and can lead to severe</w:t>
      </w:r>
      <w:r>
        <w:rPr>
          <w:spacing w:val="1"/>
        </w:rPr>
        <w:t> </w:t>
      </w:r>
      <w:r>
        <w:rPr/>
        <w:t>anaemia (Romero</w:t>
      </w:r>
      <w:r>
        <w:rPr>
          <w:spacing w:val="7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 2000).</w:t>
      </w:r>
    </w:p>
    <w:p>
      <w:pPr>
        <w:pStyle w:val="Heading1"/>
        <w:numPr>
          <w:ilvl w:val="2"/>
          <w:numId w:val="14"/>
        </w:numPr>
        <w:tabs>
          <w:tab w:pos="1482" w:val="left" w:leader="none"/>
        </w:tabs>
        <w:spacing w:line="240" w:lineRule="auto" w:before="196" w:after="0"/>
        <w:ind w:left="1481" w:right="0" w:hanging="662"/>
        <w:jc w:val="both"/>
      </w:pPr>
      <w:bookmarkStart w:name="_TOC_250017" w:id="37"/>
      <w:r>
        <w:rPr/>
        <w:t>Copper</w:t>
      </w:r>
      <w:r>
        <w:rPr>
          <w:spacing w:val="-7"/>
        </w:rPr>
        <w:t> </w:t>
      </w:r>
      <w:r>
        <w:rPr/>
        <w:t>and sickle</w:t>
      </w:r>
      <w:r>
        <w:rPr>
          <w:spacing w:val="-2"/>
        </w:rPr>
        <w:t> </w:t>
      </w:r>
      <w:r>
        <w:rPr/>
        <w:t>cell</w:t>
      </w:r>
      <w:r>
        <w:rPr>
          <w:spacing w:val="-5"/>
        </w:rPr>
        <w:t> </w:t>
      </w:r>
      <w:bookmarkEnd w:id="37"/>
      <w:r>
        <w:rPr/>
        <w:t>diseases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40"/>
        <w:jc w:val="both"/>
      </w:pPr>
      <w:r>
        <w:rPr/>
        <w:t>In SCA,</w:t>
      </w:r>
      <w:r>
        <w:rPr>
          <w:spacing w:val="1"/>
        </w:rPr>
        <w:t> </w:t>
      </w:r>
      <w:r>
        <w:rPr/>
        <w:t>zinc deficiency</w:t>
      </w:r>
      <w:r>
        <w:rPr>
          <w:spacing w:val="1"/>
        </w:rPr>
        <w:t> </w:t>
      </w:r>
      <w:r>
        <w:rPr/>
        <w:t>may be common,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since copper</w:t>
      </w:r>
      <w:r>
        <w:rPr>
          <w:spacing w:val="60"/>
        </w:rPr>
        <w:t> </w:t>
      </w:r>
      <w:r>
        <w:rPr/>
        <w:t>levels are commonly reciprocal to</w:t>
      </w:r>
      <w:r>
        <w:rPr>
          <w:spacing w:val="-57"/>
        </w:rPr>
        <w:t> </w:t>
      </w:r>
      <w:r>
        <w:rPr/>
        <w:t>the zinc level, it is assumed that SCA patients may suffer from an excessive amount of copper</w:t>
      </w:r>
      <w:r>
        <w:rPr>
          <w:spacing w:val="1"/>
        </w:rPr>
        <w:t> </w:t>
      </w:r>
      <w:r>
        <w:rPr/>
        <w:t>(Hasanato, 2006). Akenami </w:t>
      </w:r>
      <w:r>
        <w:rPr>
          <w:i/>
        </w:rPr>
        <w:t>et al</w:t>
      </w:r>
      <w:r>
        <w:rPr/>
        <w:t>., (1999) in a study in Ibadan found significantly lower serum</w:t>
      </w:r>
      <w:r>
        <w:rPr>
          <w:spacing w:val="1"/>
        </w:rPr>
        <w:t> </w:t>
      </w:r>
      <w:r>
        <w:rPr/>
        <w:t>zinc concentration and significantly higher serum copper in haemoglobin S patients compared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controls (HbA).</w:t>
      </w:r>
    </w:p>
    <w:p>
      <w:pPr>
        <w:pStyle w:val="BodyText"/>
        <w:spacing w:line="360" w:lineRule="auto" w:before="200"/>
        <w:ind w:left="820" w:right="1439"/>
        <w:jc w:val="both"/>
      </w:pPr>
      <w:r>
        <w:rPr/>
        <w:t>Anaemia and shortened survival rates are the major manifestations of copper deficiency in both</w:t>
      </w:r>
      <w:r>
        <w:rPr>
          <w:spacing w:val="1"/>
        </w:rPr>
        <w:t> </w:t>
      </w:r>
      <w:r>
        <w:rPr/>
        <w:t>animals and human beings. The biochemical mechanism that results in the reduced life span of</w:t>
      </w:r>
      <w:r>
        <w:rPr>
          <w:spacing w:val="1"/>
        </w:rPr>
        <w:t> </w:t>
      </w:r>
      <w:r>
        <w:rPr/>
        <w:t>RBCs in copper deficiency anaemia is very complex (Jaing </w:t>
      </w:r>
      <w:r>
        <w:rPr>
          <w:i/>
        </w:rPr>
        <w:t>et al</w:t>
      </w:r>
      <w:r>
        <w:rPr/>
        <w:t>., 2002). At least in part the</w:t>
      </w:r>
      <w:r>
        <w:rPr>
          <w:spacing w:val="1"/>
        </w:rPr>
        <w:t> </w:t>
      </w:r>
      <w:r>
        <w:rPr/>
        <w:t>anaemia appears to be due to defective iron utilization. The shortened RBC survival is due to the</w:t>
      </w:r>
      <w:r>
        <w:rPr>
          <w:spacing w:val="1"/>
        </w:rPr>
        <w:t> </w:t>
      </w:r>
      <w:r>
        <w:rPr/>
        <w:t>fact</w:t>
      </w:r>
      <w:r>
        <w:rPr>
          <w:spacing w:val="13"/>
        </w:rPr>
        <w:t> </w:t>
      </w:r>
      <w:r>
        <w:rPr/>
        <w:t>that</w:t>
      </w:r>
      <w:r>
        <w:rPr>
          <w:spacing w:val="9"/>
        </w:rPr>
        <w:t> </w:t>
      </w:r>
      <w:r>
        <w:rPr/>
        <w:t>copper</w:t>
      </w:r>
      <w:r>
        <w:rPr>
          <w:spacing w:val="10"/>
        </w:rPr>
        <w:t> </w:t>
      </w:r>
      <w:r>
        <w:rPr/>
        <w:t>deficiency</w:t>
      </w:r>
      <w:r>
        <w:rPr>
          <w:spacing w:val="5"/>
        </w:rPr>
        <w:t> </w:t>
      </w:r>
      <w:r>
        <w:rPr/>
        <w:t>results</w:t>
      </w:r>
      <w:r>
        <w:rPr>
          <w:spacing w:val="10"/>
        </w:rPr>
        <w:t> </w:t>
      </w:r>
      <w:r>
        <w:rPr/>
        <w:t>in</w:t>
      </w:r>
      <w:r>
        <w:rPr>
          <w:spacing w:val="5"/>
        </w:rPr>
        <w:t> </w:t>
      </w:r>
      <w:r>
        <w:rPr/>
        <w:t>reduction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enzyme</w:t>
      </w:r>
      <w:r>
        <w:rPr>
          <w:spacing w:val="8"/>
        </w:rPr>
        <w:t> </w:t>
      </w:r>
      <w:r>
        <w:rPr/>
        <w:t>superoxide</w:t>
      </w:r>
      <w:r>
        <w:rPr>
          <w:spacing w:val="8"/>
        </w:rPr>
        <w:t> </w:t>
      </w:r>
      <w:r>
        <w:rPr/>
        <w:t>dismutase</w:t>
      </w:r>
      <w:r>
        <w:rPr>
          <w:spacing w:val="12"/>
        </w:rPr>
        <w:t> </w:t>
      </w:r>
      <w:r>
        <w:rPr/>
        <w:t>in</w:t>
      </w:r>
      <w:r>
        <w:rPr>
          <w:spacing w:val="9"/>
        </w:rPr>
        <w:t> </w:t>
      </w:r>
      <w:r>
        <w:rPr/>
        <w:t>charge</w:t>
      </w:r>
      <w:r>
        <w:rPr>
          <w:spacing w:val="8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60" w:lineRule="auto" w:before="72"/>
        <w:ind w:left="820" w:right="1436"/>
        <w:jc w:val="both"/>
      </w:pPr>
      <w:r>
        <w:rPr/>
        <w:t>detoxifying free radicals, and lecithin-cholesterol acyl transferase which functions to esterify free</w:t>
      </w:r>
      <w:r>
        <w:rPr>
          <w:spacing w:val="-57"/>
        </w:rPr>
        <w:t> </w:t>
      </w:r>
      <w:r>
        <w:rPr/>
        <w:t>cholesterol (Bettger </w:t>
      </w:r>
      <w:r>
        <w:rPr>
          <w:i/>
        </w:rPr>
        <w:t>et al</w:t>
      </w:r>
      <w:r>
        <w:rPr/>
        <w:t>., 1978). Thus there will be a resultant accumulation of free radicals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peroxidation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RBC-membrane</w:t>
      </w:r>
      <w:r>
        <w:rPr>
          <w:spacing w:val="1"/>
        </w:rPr>
        <w:t> </w:t>
      </w:r>
      <w:r>
        <w:rPr/>
        <w:t>lipids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accumulation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cholesterol</w:t>
      </w:r>
      <w:r>
        <w:rPr>
          <w:spacing w:val="1"/>
        </w:rPr>
        <w:t> </w:t>
      </w:r>
      <w:r>
        <w:rPr/>
        <w:t>respectively. This resultant cumulative elevation in the amount of lipids leads to a decrease in</w:t>
      </w:r>
      <w:r>
        <w:rPr>
          <w:spacing w:val="1"/>
        </w:rPr>
        <w:t> </w:t>
      </w:r>
      <w:r>
        <w:rPr/>
        <w:t>membrane fluidity, and hence increased viscosity of the RBCs. This will impair passage of RBCs</w:t>
      </w:r>
      <w:r>
        <w:rPr>
          <w:spacing w:val="-57"/>
        </w:rPr>
        <w:t> </w:t>
      </w:r>
      <w:r>
        <w:rPr/>
        <w:t>through narrow splenic sinusoids, reduce RBC survival, and contribute to the anaemia of copper</w:t>
      </w:r>
      <w:r>
        <w:rPr>
          <w:spacing w:val="1"/>
        </w:rPr>
        <w:t> </w:t>
      </w:r>
      <w:r>
        <w:rPr/>
        <w:t>deficiency (Stern </w:t>
      </w:r>
      <w:r>
        <w:rPr>
          <w:i/>
        </w:rPr>
        <w:t>et al</w:t>
      </w:r>
      <w:r>
        <w:rPr/>
        <w:t>., 2007). Thus, copper is essential for antioxidant effects, regulation of</w:t>
      </w:r>
      <w:r>
        <w:rPr>
          <w:spacing w:val="1"/>
        </w:rPr>
        <w:t> </w:t>
      </w:r>
      <w:r>
        <w:rPr/>
        <w:t>cholesterol,</w:t>
      </w:r>
      <w:r>
        <w:rPr>
          <w:spacing w:val="2"/>
        </w:rPr>
        <w:t> </w:t>
      </w:r>
      <w:r>
        <w:rPr/>
        <w:t>boosting</w:t>
      </w:r>
      <w:r>
        <w:rPr>
          <w:spacing w:val="6"/>
        </w:rPr>
        <w:t> </w:t>
      </w:r>
      <w:r>
        <w:rPr/>
        <w:t>iron</w:t>
      </w:r>
      <w:r>
        <w:rPr>
          <w:spacing w:val="-4"/>
        </w:rPr>
        <w:t> </w:t>
      </w:r>
      <w:r>
        <w:rPr/>
        <w:t>absorption,</w:t>
      </w:r>
      <w:r>
        <w:rPr>
          <w:spacing w:val="3"/>
        </w:rPr>
        <w:t> </w:t>
      </w:r>
      <w:r>
        <w:rPr/>
        <w:t>and</w:t>
      </w:r>
      <w:r>
        <w:rPr>
          <w:spacing w:val="6"/>
        </w:rPr>
        <w:t> </w:t>
      </w:r>
      <w:r>
        <w:rPr/>
        <w:t>for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cell</w:t>
      </w:r>
      <w:r>
        <w:rPr>
          <w:spacing w:val="-8"/>
        </w:rPr>
        <w:t> </w:t>
      </w:r>
      <w:r>
        <w:rPr/>
        <w:t>production.</w:t>
      </w:r>
    </w:p>
    <w:p>
      <w:pPr>
        <w:pStyle w:val="Heading1"/>
        <w:numPr>
          <w:ilvl w:val="2"/>
          <w:numId w:val="14"/>
        </w:numPr>
        <w:tabs>
          <w:tab w:pos="1482" w:val="left" w:leader="none"/>
        </w:tabs>
        <w:spacing w:line="240" w:lineRule="auto" w:before="202" w:after="0"/>
        <w:ind w:left="1481" w:right="0" w:hanging="662"/>
        <w:jc w:val="both"/>
      </w:pPr>
      <w:bookmarkStart w:name="_TOC_250016" w:id="38"/>
      <w:r>
        <w:rPr/>
        <w:t>Other</w:t>
      </w:r>
      <w:r>
        <w:rPr>
          <w:spacing w:val="-6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uses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bookmarkEnd w:id="38"/>
      <w:r>
        <w:rPr/>
        <w:t>copper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/>
        <w:ind w:left="820" w:right="1441"/>
        <w:jc w:val="both"/>
      </w:pPr>
      <w:r>
        <w:rPr/>
        <w:t>Medicinal use of copper compounds dates to Hippocrates in 400 B.C. Hospitals historically</w:t>
      </w:r>
      <w:r>
        <w:rPr>
          <w:spacing w:val="1"/>
        </w:rPr>
        <w:t> </w:t>
      </w:r>
      <w:r>
        <w:rPr/>
        <w:t>installed   copper-alloy</w:t>
      </w:r>
      <w:r>
        <w:rPr>
          <w:spacing w:val="60"/>
        </w:rPr>
        <w:t> </w:t>
      </w:r>
      <w:r>
        <w:rPr/>
        <w:t>doorknobs</w:t>
      </w:r>
      <w:r>
        <w:rPr>
          <w:spacing w:val="60"/>
        </w:rPr>
        <w:t> </w:t>
      </w:r>
      <w:r>
        <w:rPr/>
        <w:t>and   push-panels</w:t>
      </w:r>
      <w:r>
        <w:rPr>
          <w:spacing w:val="60"/>
        </w:rPr>
        <w:t> </w:t>
      </w:r>
      <w:r>
        <w:rPr/>
        <w:t>as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measure</w:t>
      </w:r>
      <w:r>
        <w:rPr>
          <w:spacing w:val="60"/>
        </w:rPr>
        <w:t> </w:t>
      </w:r>
      <w:r>
        <w:rPr/>
        <w:t>to   prevent   transmission</w:t>
      </w:r>
      <w:r>
        <w:rPr>
          <w:spacing w:val="1"/>
        </w:rPr>
        <w:t> </w:t>
      </w:r>
      <w:r>
        <w:rPr/>
        <w:t>of infectious diseases, because, bacterial growth is inhibited on copper's surface. Other uses</w:t>
      </w:r>
      <w:r>
        <w:rPr>
          <w:spacing w:val="1"/>
        </w:rPr>
        <w:t> </w:t>
      </w:r>
      <w:r>
        <w:rPr/>
        <w:t>include, the use of copper bracelets in the treatment of arthritis, childhood growth promotion, as</w:t>
      </w:r>
      <w:r>
        <w:rPr>
          <w:spacing w:val="1"/>
        </w:rPr>
        <w:t> </w:t>
      </w:r>
      <w:r>
        <w:rPr/>
        <w:t>an immune booster, as a supplement to treat infants who develop marasmus (malnutrition). It 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Menkes’</w:t>
      </w:r>
      <w:r>
        <w:rPr>
          <w:spacing w:val="1"/>
        </w:rPr>
        <w:t> </w:t>
      </w:r>
      <w:r>
        <w:rPr/>
        <w:t>kinky-hair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(a</w:t>
      </w:r>
      <w:r>
        <w:rPr>
          <w:spacing w:val="1"/>
        </w:rPr>
        <w:t> </w:t>
      </w:r>
      <w:r>
        <w:rPr/>
        <w:t>rare</w:t>
      </w:r>
      <w:r>
        <w:rPr>
          <w:spacing w:val="1"/>
        </w:rPr>
        <w:t> </w:t>
      </w:r>
      <w:r>
        <w:rPr/>
        <w:t>disorder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copper</w:t>
      </w:r>
      <w:r>
        <w:rPr>
          <w:spacing w:val="1"/>
        </w:rPr>
        <w:t> </w:t>
      </w:r>
      <w:r>
        <w:rPr/>
        <w:t>transport/absorption),</w:t>
      </w:r>
      <w:r>
        <w:rPr>
          <w:spacing w:val="1"/>
        </w:rPr>
        <w:t> </w:t>
      </w:r>
      <w:r>
        <w:rPr/>
        <w:t>treatment or prevention of osteopenia and other abnormalities of bone development related to</w:t>
      </w:r>
      <w:r>
        <w:rPr>
          <w:spacing w:val="1"/>
        </w:rPr>
        <w:t> </w:t>
      </w:r>
      <w:r>
        <w:rPr/>
        <w:t>copper</w:t>
      </w:r>
      <w:r>
        <w:rPr>
          <w:spacing w:val="3"/>
        </w:rPr>
        <w:t> </w:t>
      </w:r>
      <w:r>
        <w:rPr/>
        <w:t>deficiency</w:t>
      </w:r>
      <w:r>
        <w:rPr>
          <w:spacing w:val="-8"/>
        </w:rPr>
        <w:t> </w:t>
      </w:r>
      <w:r>
        <w:rPr/>
        <w:t>(Stern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4"/>
        </w:rPr>
        <w:t> </w:t>
      </w:r>
      <w:r>
        <w:rPr/>
        <w:t>2007).</w:t>
      </w:r>
    </w:p>
    <w:p>
      <w:pPr>
        <w:pStyle w:val="Heading1"/>
        <w:numPr>
          <w:ilvl w:val="2"/>
          <w:numId w:val="14"/>
        </w:numPr>
        <w:tabs>
          <w:tab w:pos="1482" w:val="left" w:leader="none"/>
        </w:tabs>
        <w:spacing w:line="240" w:lineRule="auto" w:before="198" w:after="0"/>
        <w:ind w:left="1481" w:right="0" w:hanging="662"/>
        <w:jc w:val="both"/>
      </w:pPr>
      <w:bookmarkStart w:name="_TOC_250015" w:id="39"/>
      <w:r>
        <w:rPr/>
        <w:t>Copper</w:t>
      </w:r>
      <w:r>
        <w:rPr>
          <w:spacing w:val="-8"/>
        </w:rPr>
        <w:t> </w:t>
      </w:r>
      <w:bookmarkEnd w:id="39"/>
      <w:r>
        <w:rPr/>
        <w:t>deficiency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 w:before="1"/>
        <w:ind w:left="820" w:right="1441"/>
        <w:jc w:val="both"/>
      </w:pPr>
      <w:r>
        <w:rPr/>
        <w:t>Copper deficiency can occur in infants fed on only cow-milk formulas (which are relatively low</w:t>
      </w:r>
      <w:r>
        <w:rPr>
          <w:spacing w:val="1"/>
        </w:rPr>
        <w:t> </w:t>
      </w:r>
      <w:r>
        <w:rPr/>
        <w:t>in copper content) and in premature/low-birth weight</w:t>
      </w:r>
      <w:r>
        <w:rPr>
          <w:spacing w:val="60"/>
        </w:rPr>
        <w:t> </w:t>
      </w:r>
      <w:r>
        <w:rPr/>
        <w:t>infants. It commonly occurs in prolonged</w:t>
      </w:r>
      <w:r>
        <w:rPr>
          <w:spacing w:val="1"/>
        </w:rPr>
        <w:t> </w:t>
      </w:r>
      <w:r>
        <w:rPr/>
        <w:t>or</w:t>
      </w:r>
      <w:r>
        <w:rPr>
          <w:spacing w:val="60"/>
        </w:rPr>
        <w:t> </w:t>
      </w:r>
      <w:r>
        <w:rPr/>
        <w:t>chronic diarrhoea,</w:t>
      </w:r>
      <w:r>
        <w:rPr>
          <w:spacing w:val="60"/>
        </w:rPr>
        <w:t> </w:t>
      </w:r>
      <w:r>
        <w:rPr/>
        <w:t>malnutrition,</w:t>
      </w:r>
      <w:r>
        <w:rPr>
          <w:spacing w:val="60"/>
        </w:rPr>
        <w:t> </w:t>
      </w:r>
      <w:r>
        <w:rPr/>
        <w:t>malabsorption</w:t>
      </w:r>
      <w:r>
        <w:rPr>
          <w:spacing w:val="60"/>
        </w:rPr>
        <w:t> </w:t>
      </w:r>
      <w:r>
        <w:rPr/>
        <w:t>syndromes(including celiac disease,</w:t>
      </w:r>
      <w:r>
        <w:rPr>
          <w:spacing w:val="60"/>
        </w:rPr>
        <w:t> </w:t>
      </w:r>
      <w:r>
        <w:rPr/>
        <w:t>sprue,</w:t>
      </w:r>
      <w:r>
        <w:rPr>
          <w:spacing w:val="1"/>
        </w:rPr>
        <w:t> </w:t>
      </w:r>
      <w:r>
        <w:rPr/>
        <w:t>or short</w:t>
      </w:r>
      <w:r>
        <w:rPr>
          <w:spacing w:val="1"/>
        </w:rPr>
        <w:t> </w:t>
      </w:r>
      <w:r>
        <w:rPr/>
        <w:t>bowel syndrome), high dose zinc</w:t>
      </w:r>
      <w:r>
        <w:rPr>
          <w:spacing w:val="1"/>
        </w:rPr>
        <w:t> </w:t>
      </w:r>
      <w:r>
        <w:rPr/>
        <w:t>supplements, high vitamin</w:t>
      </w:r>
      <w:r>
        <w:rPr>
          <w:spacing w:val="1"/>
        </w:rPr>
        <w:t> </w:t>
      </w:r>
      <w:r>
        <w:rPr/>
        <w:t>C intake,</w:t>
      </w:r>
      <w:r>
        <w:rPr>
          <w:spacing w:val="1"/>
        </w:rPr>
        <w:t> </w:t>
      </w:r>
      <w:r>
        <w:rPr/>
        <w:t>high use of</w:t>
      </w:r>
      <w:r>
        <w:rPr>
          <w:spacing w:val="1"/>
        </w:rPr>
        <w:t> </w:t>
      </w:r>
      <w:r>
        <w:rPr/>
        <w:t>antacids, burns, and kidney disease (Stern </w:t>
      </w:r>
      <w:r>
        <w:rPr>
          <w:i/>
        </w:rPr>
        <w:t>et al</w:t>
      </w:r>
      <w:r>
        <w:rPr/>
        <w:t>., 2007). Symptoms of copper deficiency include:</w:t>
      </w:r>
      <w:r>
        <w:rPr>
          <w:spacing w:val="1"/>
        </w:rPr>
        <w:t> </w:t>
      </w:r>
      <w:r>
        <w:rPr/>
        <w:t>immune system dysfunction, brittle bones in children, vascular diseases, high cholesterol levels,</w:t>
      </w:r>
      <w:r>
        <w:rPr>
          <w:spacing w:val="1"/>
        </w:rPr>
        <w:t> </w:t>
      </w:r>
      <w:r>
        <w:rPr/>
        <w:t>poorly</w:t>
      </w:r>
      <w:r>
        <w:rPr>
          <w:spacing w:val="-9"/>
        </w:rPr>
        <w:t> </w:t>
      </w:r>
      <w:r>
        <w:rPr/>
        <w:t>pigmented</w:t>
      </w:r>
      <w:r>
        <w:rPr>
          <w:spacing w:val="2"/>
        </w:rPr>
        <w:t> </w:t>
      </w:r>
      <w:r>
        <w:rPr/>
        <w:t>skin,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anaemia (Valerie,</w:t>
      </w:r>
      <w:r>
        <w:rPr>
          <w:spacing w:val="4"/>
        </w:rPr>
        <w:t> </w:t>
      </w:r>
      <w:r>
        <w:rPr/>
        <w:t>2011).</w:t>
      </w:r>
    </w:p>
    <w:p>
      <w:pPr>
        <w:pStyle w:val="Heading1"/>
        <w:numPr>
          <w:ilvl w:val="2"/>
          <w:numId w:val="14"/>
        </w:numPr>
        <w:tabs>
          <w:tab w:pos="1482" w:val="left" w:leader="none"/>
        </w:tabs>
        <w:spacing w:line="240" w:lineRule="auto" w:before="198" w:after="0"/>
        <w:ind w:left="1481" w:right="0" w:hanging="662"/>
        <w:jc w:val="both"/>
      </w:pPr>
      <w:bookmarkStart w:name="_TOC_250014" w:id="40"/>
      <w:r>
        <w:rPr/>
        <w:t>Copper</w:t>
      </w:r>
      <w:r>
        <w:rPr>
          <w:spacing w:val="-8"/>
        </w:rPr>
        <w:t> </w:t>
      </w:r>
      <w:bookmarkEnd w:id="40"/>
      <w:r>
        <w:rPr/>
        <w:t>toxicity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2" w:lineRule="auto"/>
        <w:ind w:left="820" w:right="1438"/>
        <w:jc w:val="both"/>
      </w:pPr>
      <w:r>
        <w:rPr/>
        <w:t>Copper levels are tightly regulated in the body, thus, its toxicity is rare in the general population</w:t>
      </w:r>
      <w:r>
        <w:rPr>
          <w:spacing w:val="1"/>
        </w:rPr>
        <w:t> </w:t>
      </w:r>
      <w:r>
        <w:rPr/>
        <w:t>(Stern</w:t>
      </w:r>
      <w:r>
        <w:rPr>
          <w:spacing w:val="10"/>
        </w:rPr>
        <w:t> </w:t>
      </w:r>
      <w:r>
        <w:rPr>
          <w:i/>
        </w:rPr>
        <w:t>et</w:t>
      </w:r>
      <w:r>
        <w:rPr>
          <w:i/>
          <w:spacing w:val="15"/>
        </w:rPr>
        <w:t> </w:t>
      </w:r>
      <w:r>
        <w:rPr>
          <w:i/>
        </w:rPr>
        <w:t>al</w:t>
      </w:r>
      <w:r>
        <w:rPr/>
        <w:t>.,</w:t>
      </w:r>
      <w:r>
        <w:rPr>
          <w:spacing w:val="17"/>
        </w:rPr>
        <w:t> </w:t>
      </w:r>
      <w:r>
        <w:rPr/>
        <w:t>2007).</w:t>
      </w:r>
      <w:r>
        <w:rPr>
          <w:spacing w:val="19"/>
        </w:rPr>
        <w:t> </w:t>
      </w:r>
      <w:r>
        <w:rPr/>
        <w:t>Wilson's</w:t>
      </w:r>
      <w:r>
        <w:rPr>
          <w:spacing w:val="12"/>
        </w:rPr>
        <w:t> </w:t>
      </w:r>
      <w:r>
        <w:rPr/>
        <w:t>disease</w:t>
      </w:r>
      <w:r>
        <w:rPr>
          <w:spacing w:val="4"/>
        </w:rPr>
        <w:t> </w:t>
      </w:r>
      <w:r>
        <w:rPr/>
        <w:t>is</w:t>
      </w:r>
      <w:r>
        <w:rPr>
          <w:spacing w:val="13"/>
        </w:rPr>
        <w:t> </w:t>
      </w:r>
      <w:r>
        <w:rPr/>
        <w:t>a</w:t>
      </w:r>
      <w:r>
        <w:rPr>
          <w:spacing w:val="-1"/>
        </w:rPr>
        <w:t> </w:t>
      </w:r>
      <w:r>
        <w:rPr/>
        <w:t>genetic</w:t>
      </w:r>
      <w:r>
        <w:rPr>
          <w:spacing w:val="19"/>
        </w:rPr>
        <w:t> </w:t>
      </w:r>
      <w:r>
        <w:rPr/>
        <w:t>disorder</w:t>
      </w:r>
      <w:r>
        <w:rPr>
          <w:spacing w:val="3"/>
        </w:rPr>
        <w:t> </w:t>
      </w:r>
      <w:r>
        <w:rPr/>
        <w:t>in</w:t>
      </w:r>
      <w:r>
        <w:rPr>
          <w:spacing w:val="14"/>
        </w:rPr>
        <w:t> </w:t>
      </w:r>
      <w:r>
        <w:rPr/>
        <w:t>which</w:t>
      </w:r>
      <w:r>
        <w:rPr>
          <w:spacing w:val="11"/>
        </w:rPr>
        <w:t> </w:t>
      </w:r>
      <w:r>
        <w:rPr/>
        <w:t>the</w:t>
      </w:r>
      <w:r>
        <w:rPr>
          <w:spacing w:val="18"/>
        </w:rPr>
        <w:t> </w:t>
      </w:r>
      <w:r>
        <w:rPr/>
        <w:t>body</w:t>
      </w:r>
      <w:r>
        <w:rPr>
          <w:spacing w:val="10"/>
        </w:rPr>
        <w:t> </w:t>
      </w:r>
      <w:r>
        <w:rPr/>
        <w:t>cannot</w:t>
      </w:r>
      <w:r>
        <w:rPr>
          <w:spacing w:val="20"/>
        </w:rPr>
        <w:t> </w:t>
      </w:r>
      <w:r>
        <w:rPr/>
        <w:t>rid</w:t>
      </w:r>
      <w:r>
        <w:rPr>
          <w:spacing w:val="19"/>
        </w:rPr>
        <w:t> </w:t>
      </w:r>
      <w:r>
        <w:rPr/>
        <w:t>itself</w:t>
      </w:r>
      <w:r>
        <w:rPr>
          <w:spacing w:val="11"/>
        </w:rPr>
        <w:t> </w:t>
      </w:r>
      <w:r>
        <w:rPr/>
        <w:t>of</w:t>
      </w:r>
    </w:p>
    <w:p>
      <w:pPr>
        <w:spacing w:after="0" w:line="362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60" w:lineRule="auto" w:before="72"/>
        <w:ind w:left="820" w:right="1434"/>
        <w:jc w:val="both"/>
      </w:pPr>
      <w:r>
        <w:rPr/>
        <w:t>copper, resulting in deposition in organs and serious consequences such as liver failure and</w:t>
      </w:r>
      <w:r>
        <w:rPr>
          <w:spacing w:val="1"/>
        </w:rPr>
        <w:t> </w:t>
      </w:r>
      <w:r>
        <w:rPr/>
        <w:t>neurologic  </w:t>
      </w:r>
      <w:r>
        <w:rPr>
          <w:spacing w:val="1"/>
        </w:rPr>
        <w:t> </w:t>
      </w:r>
      <w:r>
        <w:rPr/>
        <w:t>damage  </w:t>
      </w:r>
      <w:r>
        <w:rPr>
          <w:spacing w:val="1"/>
        </w:rPr>
        <w:t> </w:t>
      </w:r>
      <w:r>
        <w:rPr/>
        <w:t>(Stern    </w:t>
      </w:r>
      <w:r>
        <w:rPr>
          <w:i/>
        </w:rPr>
        <w:t>et    al</w:t>
      </w:r>
      <w:r>
        <w:rPr/>
        <w:t>.,    2007).   Obstruction   of    bile    flow,    contamination</w:t>
      </w:r>
      <w:r>
        <w:rPr>
          <w:spacing w:val="1"/>
        </w:rPr>
        <w:t> </w:t>
      </w:r>
      <w:r>
        <w:rPr/>
        <w:t>of dialysis solution</w:t>
      </w:r>
      <w:r>
        <w:rPr>
          <w:spacing w:val="1"/>
        </w:rPr>
        <w:t> </w:t>
      </w:r>
      <w:r>
        <w:rPr/>
        <w:t>(in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receiving haemodialysis for kidney</w:t>
      </w:r>
      <w:r>
        <w:rPr>
          <w:spacing w:val="1"/>
        </w:rPr>
        <w:t> </w:t>
      </w:r>
      <w:r>
        <w:rPr/>
        <w:t>failure),</w:t>
      </w:r>
      <w:r>
        <w:rPr>
          <w:spacing w:val="1"/>
        </w:rPr>
        <w:t> </w:t>
      </w:r>
      <w:r>
        <w:rPr/>
        <w:t>Indian</w:t>
      </w:r>
      <w:r>
        <w:rPr>
          <w:spacing w:val="1"/>
        </w:rPr>
        <w:t> </w:t>
      </w:r>
      <w:r>
        <w:rPr/>
        <w:t>childhood</w:t>
      </w:r>
      <w:r>
        <w:rPr>
          <w:spacing w:val="1"/>
        </w:rPr>
        <w:t> </w:t>
      </w:r>
      <w:r>
        <w:rPr/>
        <w:t>cirrhosis</w:t>
      </w:r>
      <w:r>
        <w:rPr>
          <w:spacing w:val="1"/>
        </w:rPr>
        <w:t> </w:t>
      </w:r>
      <w:r>
        <w:rPr/>
        <w:t>(presence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excess</w:t>
      </w:r>
      <w:r>
        <w:rPr>
          <w:spacing w:val="1"/>
        </w:rPr>
        <w:t> </w:t>
      </w:r>
      <w:r>
        <w:rPr/>
        <w:t>copper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proteins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liver),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idiopathic</w:t>
      </w:r>
      <w:r>
        <w:rPr>
          <w:spacing w:val="60"/>
        </w:rPr>
        <w:t> </w:t>
      </w:r>
      <w:r>
        <w:rPr/>
        <w:t>copper</w:t>
      </w:r>
      <w:r>
        <w:rPr>
          <w:spacing w:val="1"/>
        </w:rPr>
        <w:t> </w:t>
      </w:r>
      <w:r>
        <w:rPr/>
        <w:t>toxicosis are other rare causes of potentially dangerous excess copper levels. Such individuals</w:t>
      </w:r>
      <w:r>
        <w:rPr>
          <w:spacing w:val="1"/>
        </w:rPr>
        <w:t> </w:t>
      </w:r>
      <w:r>
        <w:rPr/>
        <w:t>should be closely monitored by a physician and nutritionist (Okochi and Okpuzor 2005). Copper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haemolytic</w:t>
      </w:r>
      <w:r>
        <w:rPr>
          <w:spacing w:val="1"/>
        </w:rPr>
        <w:t> </w:t>
      </w:r>
      <w:r>
        <w:rPr/>
        <w:t>anaemia,</w:t>
      </w:r>
      <w:r>
        <w:rPr>
          <w:spacing w:val="1"/>
        </w:rPr>
        <w:t> </w:t>
      </w:r>
      <w:r>
        <w:rPr/>
        <w:t>abdominal</w:t>
      </w:r>
      <w:r>
        <w:rPr>
          <w:spacing w:val="1"/>
        </w:rPr>
        <w:t> </w:t>
      </w:r>
      <w:r>
        <w:rPr/>
        <w:t>pain,</w:t>
      </w:r>
      <w:r>
        <w:rPr>
          <w:spacing w:val="1"/>
        </w:rPr>
        <w:t> </w:t>
      </w:r>
      <w:r>
        <w:rPr/>
        <w:t>nausea,</w:t>
      </w:r>
      <w:r>
        <w:rPr>
          <w:spacing w:val="1"/>
        </w:rPr>
        <w:t> </w:t>
      </w:r>
      <w:r>
        <w:rPr/>
        <w:t>vomiting,</w:t>
      </w:r>
      <w:r>
        <w:rPr>
          <w:spacing w:val="1"/>
        </w:rPr>
        <w:t> </w:t>
      </w:r>
      <w:r>
        <w:rPr/>
        <w:t>diarrhoea,</w:t>
      </w:r>
      <w:r>
        <w:rPr>
          <w:spacing w:val="1"/>
        </w:rPr>
        <w:t> </w:t>
      </w:r>
      <w:r>
        <w:rPr/>
        <w:t>dementia, muscular pain; and in severe cases liver damage, kidney failure, coma and death.</w:t>
      </w:r>
      <w:r>
        <w:rPr>
          <w:spacing w:val="1"/>
        </w:rPr>
        <w:t> </w:t>
      </w:r>
      <w:r>
        <w:rPr/>
        <w:t>Copper toxicity can be treated with dimercaptosuccinic acid (DMSA), penicillamine, or Ethylene</w:t>
      </w:r>
      <w:r>
        <w:rPr>
          <w:spacing w:val="-57"/>
        </w:rPr>
        <w:t> </w:t>
      </w:r>
      <w:r>
        <w:rPr/>
        <w:t>Di-amine Tetra Acetic Acid (EDTA) (heavy metal detoxification), methionine (lowers serum</w:t>
      </w:r>
      <w:r>
        <w:rPr>
          <w:spacing w:val="1"/>
        </w:rPr>
        <w:t> </w:t>
      </w:r>
      <w:r>
        <w:rPr/>
        <w:t>copper), vitamin C, zinc and manganese (interfere with copper absorption), molybdenum (intake</w:t>
      </w:r>
      <w:r>
        <w:rPr>
          <w:spacing w:val="1"/>
        </w:rPr>
        <w:t> </w:t>
      </w:r>
      <w:r>
        <w:rPr/>
        <w:t>of molybdenum at doses as low as 0.54mg per day has been associated with an increased loss of</w:t>
      </w:r>
      <w:r>
        <w:rPr>
          <w:spacing w:val="1"/>
        </w:rPr>
        <w:t> </w:t>
      </w:r>
      <w:r>
        <w:rPr/>
        <w:t>copper in</w:t>
      </w:r>
      <w:r>
        <w:rPr>
          <w:spacing w:val="-6"/>
        </w:rPr>
        <w:t> </w:t>
      </w:r>
      <w:r>
        <w:rPr/>
        <w:t>urine),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pyridoxine</w:t>
      </w:r>
      <w:r>
        <w:rPr>
          <w:spacing w:val="-1"/>
        </w:rPr>
        <w:t> </w:t>
      </w:r>
      <w:r>
        <w:rPr/>
        <w:t>(50mg</w:t>
      </w:r>
      <w:r>
        <w:rPr>
          <w:spacing w:val="-1"/>
        </w:rPr>
        <w:t> </w:t>
      </w:r>
      <w:r>
        <w:rPr/>
        <w:t>daily</w:t>
      </w:r>
      <w:r>
        <w:rPr>
          <w:spacing w:val="-1"/>
        </w:rPr>
        <w:t> </w:t>
      </w:r>
      <w:r>
        <w:rPr/>
        <w:t>increases</w:t>
      </w:r>
      <w:r>
        <w:rPr>
          <w:spacing w:val="-3"/>
        </w:rPr>
        <w:t> </w:t>
      </w:r>
      <w:r>
        <w:rPr/>
        <w:t>copper excretion) (Stern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3"/>
        </w:rPr>
        <w:t> </w:t>
      </w:r>
      <w:r>
        <w:rPr/>
        <w:t>2007).</w:t>
      </w:r>
    </w:p>
    <w:p>
      <w:pPr>
        <w:pStyle w:val="Heading1"/>
        <w:numPr>
          <w:ilvl w:val="2"/>
          <w:numId w:val="14"/>
        </w:numPr>
        <w:tabs>
          <w:tab w:pos="1482" w:val="left" w:leader="none"/>
        </w:tabs>
        <w:spacing w:line="240" w:lineRule="auto" w:before="200" w:after="0"/>
        <w:ind w:left="1481" w:right="0" w:hanging="662"/>
        <w:jc w:val="both"/>
      </w:pPr>
      <w:r>
        <w:rPr/>
        <w:t>Natural</w:t>
      </w:r>
      <w:r>
        <w:rPr>
          <w:spacing w:val="-4"/>
        </w:rPr>
        <w:t> </w:t>
      </w:r>
      <w:r>
        <w:rPr/>
        <w:t>sources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copper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35" w:firstLine="62"/>
        <w:jc w:val="both"/>
      </w:pPr>
      <w:r>
        <w:rPr/>
        <w:t>Most diets contain enough copper (2-5mg daily) to prevent a deficiency and not enough to cause</w:t>
      </w:r>
      <w:r>
        <w:rPr>
          <w:spacing w:val="-57"/>
        </w:rPr>
        <w:t> </w:t>
      </w:r>
      <w:r>
        <w:rPr/>
        <w:t>toxicity.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World Health Organization (WHO) suggests that 10-12mg per day may be the</w:t>
      </w:r>
      <w:r>
        <w:rPr>
          <w:spacing w:val="1"/>
        </w:rPr>
        <w:t> </w:t>
      </w:r>
      <w:r>
        <w:rPr/>
        <w:t>upper safe limit for consumption (Stern </w:t>
      </w:r>
      <w:r>
        <w:rPr>
          <w:i/>
        </w:rPr>
        <w:t>et al</w:t>
      </w:r>
      <w:r>
        <w:rPr/>
        <w:t>., 2007).</w:t>
      </w:r>
      <w:r>
        <w:rPr>
          <w:spacing w:val="1"/>
        </w:rPr>
        <w:t> </w:t>
      </w:r>
      <w:r>
        <w:rPr/>
        <w:t>Copper is a mineral that occurs naturally in</w:t>
      </w:r>
      <w:r>
        <w:rPr>
          <w:spacing w:val="-57"/>
        </w:rPr>
        <w:t> </w:t>
      </w:r>
      <w:r>
        <w:rPr/>
        <w:t>many foods, including vegetables, legumes, nuts, grains, and fruits, as well as shellfish, </w:t>
      </w:r>
      <w:r>
        <w:rPr>
          <w:color w:val="0000FF"/>
          <w:u w:val="single" w:color="0000FF"/>
        </w:rPr>
        <w:t>avocado</w:t>
      </w:r>
      <w:r>
        <w:rPr/>
        <w:t>,</w:t>
      </w:r>
      <w:r>
        <w:rPr>
          <w:spacing w:val="-57"/>
        </w:rPr>
        <w:t> </w:t>
      </w:r>
      <w:r>
        <w:rPr/>
        <w:t>and beef (organs such as liver). Because copper is found in the earth's crust, most of the world's</w:t>
      </w:r>
      <w:r>
        <w:rPr>
          <w:spacing w:val="1"/>
        </w:rPr>
        <w:t> </w:t>
      </w:r>
      <w:r>
        <w:rPr/>
        <w:t>surface water and ground water used for drinking purposes contains small amounts of copper</w:t>
      </w:r>
      <w:r>
        <w:rPr>
          <w:spacing w:val="1"/>
        </w:rPr>
        <w:t> </w:t>
      </w:r>
      <w:r>
        <w:rPr/>
        <w:t>(Okochi</w:t>
      </w:r>
      <w:r>
        <w:rPr>
          <w:spacing w:val="-7"/>
        </w:rPr>
        <w:t> </w:t>
      </w:r>
      <w:r>
        <w:rPr/>
        <w:t>and</w:t>
      </w:r>
      <w:r>
        <w:rPr>
          <w:spacing w:val="2"/>
        </w:rPr>
        <w:t> </w:t>
      </w:r>
      <w:r>
        <w:rPr/>
        <w:t>Okpuzor 2005).</w:t>
      </w:r>
    </w:p>
    <w:p>
      <w:pPr>
        <w:pStyle w:val="Heading1"/>
        <w:numPr>
          <w:ilvl w:val="2"/>
          <w:numId w:val="14"/>
        </w:numPr>
        <w:tabs>
          <w:tab w:pos="1482" w:val="left" w:leader="none"/>
        </w:tabs>
        <w:spacing w:line="240" w:lineRule="auto" w:before="199" w:after="0"/>
        <w:ind w:left="1481" w:right="0" w:hanging="662"/>
        <w:jc w:val="both"/>
      </w:pPr>
      <w:bookmarkStart w:name="_TOC_250013" w:id="41"/>
      <w:r>
        <w:rPr/>
        <w:t>Available</w:t>
      </w:r>
      <w:r>
        <w:rPr>
          <w:spacing w:val="-3"/>
        </w:rPr>
        <w:t> </w:t>
      </w:r>
      <w:r>
        <w:rPr/>
        <w:t>forms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bookmarkEnd w:id="41"/>
      <w:r>
        <w:rPr/>
        <w:t>copper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55" w:lineRule="auto" w:before="1"/>
        <w:ind w:left="820" w:right="1444"/>
        <w:jc w:val="both"/>
      </w:pPr>
      <w:r>
        <w:rPr/>
        <w:t>Some available</w:t>
      </w:r>
      <w:r>
        <w:rPr>
          <w:spacing w:val="1"/>
        </w:rPr>
        <w:t> </w:t>
      </w:r>
      <w:r>
        <w:rPr/>
        <w:t>forms of copper</w:t>
      </w:r>
      <w:r>
        <w:rPr>
          <w:spacing w:val="1"/>
        </w:rPr>
        <w:t> </w:t>
      </w:r>
      <w:r>
        <w:rPr/>
        <w:t>include: Copper bands, copper sulphate, copper carbonate,</w:t>
      </w:r>
      <w:r>
        <w:rPr>
          <w:spacing w:val="1"/>
        </w:rPr>
        <w:t> </w:t>
      </w:r>
      <w:r>
        <w:rPr/>
        <w:t>copper</w:t>
      </w:r>
      <w:r>
        <w:rPr>
          <w:spacing w:val="2"/>
        </w:rPr>
        <w:t> </w:t>
      </w:r>
      <w:r>
        <w:rPr/>
        <w:t>gluconate,</w:t>
      </w:r>
      <w:r>
        <w:rPr>
          <w:spacing w:val="3"/>
        </w:rPr>
        <w:t> </w:t>
      </w:r>
      <w:r>
        <w:rPr/>
        <w:t>cupric oxide,</w:t>
      </w:r>
      <w:r>
        <w:rPr>
          <w:spacing w:val="3"/>
        </w:rPr>
        <w:t> </w:t>
      </w:r>
      <w:r>
        <w:rPr/>
        <w:t>copper</w:t>
      </w:r>
      <w:r>
        <w:rPr>
          <w:spacing w:val="2"/>
        </w:rPr>
        <w:t> </w:t>
      </w:r>
      <w:r>
        <w:rPr/>
        <w:t>amino</w:t>
      </w:r>
      <w:r>
        <w:rPr>
          <w:spacing w:val="6"/>
        </w:rPr>
        <w:t> </w:t>
      </w:r>
      <w:r>
        <w:rPr/>
        <w:t>acid</w:t>
      </w:r>
      <w:r>
        <w:rPr>
          <w:spacing w:val="2"/>
        </w:rPr>
        <w:t> </w:t>
      </w:r>
      <w:r>
        <w:rPr/>
        <w:t>chelates.</w:t>
      </w:r>
    </w:p>
    <w:p>
      <w:pPr>
        <w:pStyle w:val="Heading1"/>
        <w:numPr>
          <w:ilvl w:val="1"/>
          <w:numId w:val="14"/>
        </w:numPr>
        <w:tabs>
          <w:tab w:pos="1305" w:val="left" w:leader="none"/>
        </w:tabs>
        <w:spacing w:line="240" w:lineRule="auto" w:before="210" w:after="0"/>
        <w:ind w:left="1304" w:right="0" w:hanging="485"/>
        <w:jc w:val="both"/>
      </w:pPr>
      <w:bookmarkStart w:name="_TOC_250012" w:id="42"/>
      <w:bookmarkEnd w:id="42"/>
      <w:r>
        <w:rPr/>
        <w:t>Iron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55" w:lineRule="auto"/>
        <w:ind w:left="820" w:right="1440"/>
        <w:jc w:val="both"/>
      </w:pPr>
      <w:r>
        <w:rPr/>
        <w:t>Iron is the most common element on earth. Almost two-thirds of iron in the body is found in</w:t>
      </w:r>
      <w:r>
        <w:rPr>
          <w:spacing w:val="1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(Dallman,</w:t>
      </w:r>
      <w:r>
        <w:rPr>
          <w:spacing w:val="4"/>
        </w:rPr>
        <w:t> </w:t>
      </w:r>
      <w:r>
        <w:rPr/>
        <w:t>1986).</w:t>
      </w:r>
    </w:p>
    <w:p>
      <w:pPr>
        <w:spacing w:after="0" w:line="355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numPr>
          <w:ilvl w:val="2"/>
          <w:numId w:val="14"/>
        </w:numPr>
        <w:tabs>
          <w:tab w:pos="1482" w:val="left" w:leader="none"/>
        </w:tabs>
        <w:spacing w:line="240" w:lineRule="auto" w:before="72" w:after="0"/>
        <w:ind w:left="1481" w:right="0" w:hanging="662"/>
        <w:jc w:val="both"/>
      </w:pPr>
      <w:r>
        <w:rPr/>
        <w:t>Iron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sickle</w:t>
      </w:r>
      <w:r>
        <w:rPr>
          <w:spacing w:val="-2"/>
        </w:rPr>
        <w:t> </w:t>
      </w:r>
      <w:r>
        <w:rPr/>
        <w:t>cell</w:t>
      </w:r>
      <w:r>
        <w:rPr>
          <w:spacing w:val="-6"/>
        </w:rPr>
        <w:t> </w:t>
      </w:r>
      <w:r>
        <w:rPr/>
        <w:t>disease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 w:before="1"/>
        <w:ind w:left="820" w:right="1435"/>
        <w:jc w:val="both"/>
      </w:pPr>
      <w:r>
        <w:rPr/>
        <w:t>Iron deficiency anaemia is uncommon in individuals with SCD because of availability of an</w:t>
      </w:r>
      <w:r>
        <w:rPr>
          <w:spacing w:val="1"/>
        </w:rPr>
        <w:t> </w:t>
      </w:r>
      <w:r>
        <w:rPr/>
        <w:t>adequate iron source potentially from increased red cell turnover and from blood transfusions.</w:t>
      </w:r>
      <w:r>
        <w:rPr>
          <w:spacing w:val="1"/>
        </w:rPr>
        <w:t> </w:t>
      </w:r>
      <w:r>
        <w:rPr/>
        <w:t>However, when present, it can often go unnoticed because the SCD patients are already anaemic</w:t>
      </w:r>
      <w:r>
        <w:rPr>
          <w:spacing w:val="1"/>
        </w:rPr>
        <w:t> </w:t>
      </w:r>
      <w:r>
        <w:rPr/>
        <w:t>(Mohanty </w:t>
      </w:r>
      <w:r>
        <w:rPr>
          <w:i/>
        </w:rPr>
        <w:t>et al</w:t>
      </w:r>
      <w:r>
        <w:rPr/>
        <w:t>., 2008). One third of the haemolysis in SCA is intravascular and the resulting</w:t>
      </w:r>
      <w:r>
        <w:rPr>
          <w:spacing w:val="1"/>
        </w:rPr>
        <w:t> </w:t>
      </w:r>
      <w:r>
        <w:rPr/>
        <w:t>urinary losses of iron may lead to iron deficiency. According to Mohanty </w:t>
      </w:r>
      <w:r>
        <w:rPr>
          <w:i/>
        </w:rPr>
        <w:t>et al</w:t>
      </w:r>
      <w:r>
        <w:rPr/>
        <w:t>., (2008), this may</w:t>
      </w:r>
      <w:r>
        <w:rPr>
          <w:spacing w:val="1"/>
        </w:rPr>
        <w:t> </w:t>
      </w:r>
      <w:r>
        <w:rPr/>
        <w:t>result in lowering the intracellular haemoglobin concentration and this may ameliorate sickling.</w:t>
      </w:r>
      <w:r>
        <w:rPr>
          <w:spacing w:val="1"/>
        </w:rPr>
        <w:t> </w:t>
      </w:r>
      <w:r>
        <w:rPr>
          <w:spacing w:val="-1"/>
        </w:rPr>
        <w:t>The lability of serum iron during infection </w:t>
      </w:r>
      <w:r>
        <w:rPr/>
        <w:t>is well known. In view of the ubiquitous requirement</w:t>
      </w:r>
      <w:r>
        <w:rPr>
          <w:spacing w:val="1"/>
        </w:rPr>
        <w:t> </w:t>
      </w:r>
      <w:r>
        <w:rPr>
          <w:spacing w:val="-1"/>
        </w:rPr>
        <w:t>for iron by microbes infecting humans (Tomkins, 2003), some investigators </w:t>
      </w:r>
      <w:r>
        <w:rPr/>
        <w:t>have hypothesized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deficiency</w:t>
      </w:r>
      <w:r>
        <w:rPr>
          <w:spacing w:val="1"/>
        </w:rPr>
        <w:t> </w:t>
      </w:r>
      <w:r>
        <w:rPr/>
        <w:t>protects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infectious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iron</w:t>
      </w:r>
      <w:r>
        <w:rPr>
          <w:spacing w:val="1"/>
        </w:rPr>
        <w:t> </w:t>
      </w:r>
      <w:r>
        <w:rPr/>
        <w:t>supplementation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infectious disease (Caulfield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2004). The clinical improvement</w:t>
      </w:r>
      <w:r>
        <w:rPr>
          <w:spacing w:val="1"/>
        </w:rPr>
        <w:t> </w:t>
      </w:r>
      <w:r>
        <w:rPr/>
        <w:t>in SCA following the</w:t>
      </w:r>
      <w:r>
        <w:rPr>
          <w:spacing w:val="1"/>
        </w:rPr>
        <w:t> </w:t>
      </w:r>
      <w:r>
        <w:rPr/>
        <w:t>induction of iron deficient erythropoiesis by repeated phlebotomies or by erythrocytapheresis has</w:t>
      </w:r>
      <w:r>
        <w:rPr>
          <w:spacing w:val="-57"/>
        </w:rPr>
        <w:t> </w:t>
      </w:r>
      <w:r>
        <w:rPr/>
        <w:t>been reported (Koduri, 2003). In the same study, the investigator concluded that there was no</w:t>
      </w:r>
      <w:r>
        <w:rPr>
          <w:spacing w:val="1"/>
        </w:rPr>
        <w:t> </w:t>
      </w:r>
      <w:r>
        <w:rPr/>
        <w:t>evidence of iron overload in SCA and iron deficiency may be more common than suspected</w:t>
      </w:r>
      <w:r>
        <w:rPr>
          <w:spacing w:val="1"/>
        </w:rPr>
        <w:t> </w:t>
      </w:r>
      <w:r>
        <w:rPr/>
        <w:t>(Koduri, 2003). Conversely,</w:t>
      </w:r>
      <w:r>
        <w:rPr>
          <w:spacing w:val="1"/>
        </w:rPr>
        <w:t> </w:t>
      </w:r>
      <w:r>
        <w:rPr/>
        <w:t>the human body has no effective physiological mechanism for</w:t>
      </w:r>
      <w:r>
        <w:rPr>
          <w:spacing w:val="1"/>
        </w:rPr>
        <w:t> </w:t>
      </w:r>
      <w:r>
        <w:rPr/>
        <w:t>excreting excess iron. Therefore, in conditions such as SCD, where transfusions are frequently</w:t>
      </w:r>
      <w:r>
        <w:rPr>
          <w:spacing w:val="1"/>
        </w:rPr>
        <w:t> </w:t>
      </w:r>
      <w:r>
        <w:rPr/>
        <w:t>indicated, exogenous iron can accumulate in circulation and enter tissues (such as the liver,</w:t>
      </w:r>
      <w:r>
        <w:rPr>
          <w:spacing w:val="1"/>
        </w:rPr>
        <w:t> </w:t>
      </w:r>
      <w:r>
        <w:rPr/>
        <w:t>endocrine</w:t>
      </w:r>
      <w:r>
        <w:rPr>
          <w:spacing w:val="1"/>
        </w:rPr>
        <w:t> </w:t>
      </w:r>
      <w:r>
        <w:rPr/>
        <w:t>organs,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heart).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reactive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(ROS)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tissues/organs and result in end organ damage by ROS-mediated lipid peroxidation (Hershko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2005). The ROS also cause severe membrane damage and worsening of haemolysis in HbSS</w:t>
      </w:r>
      <w:r>
        <w:rPr>
          <w:spacing w:val="1"/>
        </w:rPr>
        <w:t> </w:t>
      </w:r>
      <w:r>
        <w:rPr/>
        <w:t>patients (Hyacinth </w:t>
      </w:r>
      <w:r>
        <w:rPr>
          <w:i/>
        </w:rPr>
        <w:t>et al</w:t>
      </w:r>
      <w:r>
        <w:rPr/>
        <w:t>., 2010). Chelation therapy is routinely employed to prevent and treat iron</w:t>
      </w:r>
      <w:r>
        <w:rPr>
          <w:spacing w:val="-57"/>
        </w:rPr>
        <w:t> </w:t>
      </w:r>
      <w:r>
        <w:rPr/>
        <w:t>overload</w:t>
      </w:r>
      <w:r>
        <w:rPr>
          <w:spacing w:val="1"/>
        </w:rPr>
        <w:t> </w:t>
      </w:r>
      <w:r>
        <w:rPr/>
        <w:t>in chronically transfused SCD patients. Deferoxamine was the first</w:t>
      </w:r>
      <w:r>
        <w:rPr>
          <w:spacing w:val="1"/>
        </w:rPr>
        <w:t> </w:t>
      </w:r>
      <w:r>
        <w:rPr/>
        <w:t>chelating agent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be introduced; it is poorly absorbed orally and so is administered parenterally. Oral alternatives</w:t>
      </w:r>
      <w:r>
        <w:rPr>
          <w:spacing w:val="1"/>
        </w:rPr>
        <w:t> </w:t>
      </w:r>
      <w:r>
        <w:rPr/>
        <w:t>include Deferasirox (an FDA approved oral iron chelator) and Deferiprone (an oral iron chelator</w:t>
      </w:r>
      <w:r>
        <w:rPr>
          <w:spacing w:val="1"/>
        </w:rPr>
        <w:t> </w:t>
      </w:r>
      <w:r>
        <w:rPr/>
        <w:t>licensed</w:t>
      </w:r>
      <w:r>
        <w:rPr>
          <w:spacing w:val="6"/>
        </w:rPr>
        <w:t> </w:t>
      </w:r>
      <w:r>
        <w:rPr/>
        <w:t>for</w:t>
      </w:r>
      <w:r>
        <w:rPr>
          <w:spacing w:val="3"/>
        </w:rPr>
        <w:t> </w:t>
      </w:r>
      <w:r>
        <w:rPr/>
        <w:t>use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Europe)</w:t>
      </w:r>
      <w:r>
        <w:rPr>
          <w:spacing w:val="-1"/>
        </w:rPr>
        <w:t> </w:t>
      </w:r>
      <w:r>
        <w:rPr/>
        <w:t>(Ballas,</w:t>
      </w:r>
      <w:r>
        <w:rPr>
          <w:spacing w:val="4"/>
        </w:rPr>
        <w:t> </w:t>
      </w:r>
      <w:r>
        <w:rPr/>
        <w:t>2001).</w:t>
      </w:r>
    </w:p>
    <w:p>
      <w:pPr>
        <w:pStyle w:val="Heading1"/>
        <w:numPr>
          <w:ilvl w:val="2"/>
          <w:numId w:val="14"/>
        </w:numPr>
        <w:tabs>
          <w:tab w:pos="1482" w:val="left" w:leader="none"/>
        </w:tabs>
        <w:spacing w:line="240" w:lineRule="auto" w:before="197" w:after="0"/>
        <w:ind w:left="1481" w:right="0" w:hanging="662"/>
        <w:jc w:val="both"/>
      </w:pPr>
      <w:bookmarkStart w:name="_TOC_250011" w:id="43"/>
      <w:r>
        <w:rPr/>
        <w:t>Other</w:t>
      </w:r>
      <w:r>
        <w:rPr>
          <w:spacing w:val="-8"/>
        </w:rPr>
        <w:t> </w:t>
      </w:r>
      <w:r>
        <w:rPr/>
        <w:t>important uses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bookmarkEnd w:id="43"/>
      <w:r>
        <w:rPr/>
        <w:t>iron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47"/>
        <w:jc w:val="both"/>
      </w:pPr>
      <w:r>
        <w:rPr/>
        <w:t>Iron is essential for the production or function of haemoglobin, myoglobin, and various enzymes,</w:t>
      </w:r>
      <w:r>
        <w:rPr>
          <w:spacing w:val="-57"/>
        </w:rPr>
        <w:t> </w:t>
      </w:r>
      <w:r>
        <w:rPr/>
        <w:t>binding and transport of oxygen, production of adenosine triphosphate (ATP), treatment and</w:t>
      </w:r>
      <w:r>
        <w:rPr>
          <w:spacing w:val="1"/>
        </w:rPr>
        <w:t> </w:t>
      </w:r>
      <w:r>
        <w:rPr/>
        <w:t>prevention of anaemia, as well as for the regulation of cell growth and differentiation (Beard</w:t>
      </w:r>
      <w:r>
        <w:rPr>
          <w:spacing w:val="1"/>
        </w:rPr>
        <w:t> </w:t>
      </w:r>
      <w:r>
        <w:rPr/>
        <w:t>2001).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numPr>
          <w:ilvl w:val="2"/>
          <w:numId w:val="14"/>
        </w:numPr>
        <w:tabs>
          <w:tab w:pos="1482" w:val="left" w:leader="none"/>
        </w:tabs>
        <w:spacing w:line="240" w:lineRule="auto" w:before="72" w:after="0"/>
        <w:ind w:left="1481" w:right="0" w:hanging="662"/>
        <w:jc w:val="both"/>
      </w:pPr>
      <w:r>
        <w:rPr/>
        <w:t>Iron</w:t>
      </w:r>
      <w:r>
        <w:rPr>
          <w:spacing w:val="-4"/>
        </w:rPr>
        <w:t> </w:t>
      </w:r>
      <w:r>
        <w:rPr/>
        <w:t>deficiency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 w:before="1"/>
        <w:ind w:left="820" w:right="1441"/>
        <w:jc w:val="both"/>
      </w:pPr>
      <w:r>
        <w:rPr/>
        <w:t>Iron deficiency is considered the leading cause of anaemia worldwide, especially in children and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women (Kassim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The World</w:t>
      </w:r>
      <w:r>
        <w:rPr>
          <w:spacing w:val="1"/>
        </w:rPr>
        <w:t> </w:t>
      </w:r>
      <w:r>
        <w:rPr/>
        <w:t>Health Organisation (WHO)</w:t>
      </w:r>
      <w:r>
        <w:rPr>
          <w:spacing w:val="1"/>
        </w:rPr>
        <w:t> </w:t>
      </w:r>
      <w:r>
        <w:rPr/>
        <w:t>estimates that</w:t>
      </w:r>
      <w:r>
        <w:rPr>
          <w:spacing w:val="1"/>
        </w:rPr>
        <w:t> </w:t>
      </w:r>
      <w:r>
        <w:rPr>
          <w:spacing w:val="-1"/>
        </w:rPr>
        <w:t>worldwide there are 2 billion individuals with anaemia </w:t>
      </w:r>
      <w:r>
        <w:rPr/>
        <w:t>and up to 5 billion who are iron deficient</w:t>
      </w:r>
      <w:r>
        <w:rPr>
          <w:spacing w:val="1"/>
        </w:rPr>
        <w:t> </w:t>
      </w:r>
      <w:r>
        <w:rPr/>
        <w:t>(Black, 2003). Common causes of iron deficiency include: poor diet, elevated needs (e.g., while</w:t>
      </w:r>
      <w:r>
        <w:rPr>
          <w:spacing w:val="1"/>
        </w:rPr>
        <w:t> </w:t>
      </w:r>
      <w:r>
        <w:rPr/>
        <w:t>pregnant,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childhood),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parasitic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(e.g.,</w:t>
      </w:r>
      <w:r>
        <w:rPr>
          <w:spacing w:val="1"/>
        </w:rPr>
        <w:t> </w:t>
      </w:r>
      <w:r>
        <w:rPr/>
        <w:t>hookworm,</w:t>
      </w:r>
      <w:r>
        <w:rPr>
          <w:spacing w:val="1"/>
        </w:rPr>
        <w:t> </w:t>
      </w:r>
      <w:r>
        <w:rPr/>
        <w:t>schistosomiasis,</w:t>
      </w:r>
      <w:r>
        <w:rPr>
          <w:spacing w:val="1"/>
        </w:rPr>
        <w:t> </w:t>
      </w:r>
      <w:r>
        <w:rPr/>
        <w:t>whipworm)</w:t>
      </w:r>
      <w:r>
        <w:rPr>
          <w:spacing w:val="1"/>
        </w:rPr>
        <w:t> </w:t>
      </w:r>
      <w:r>
        <w:rPr/>
        <w:t>(Muller</w:t>
      </w:r>
      <w:r>
        <w:rPr>
          <w:spacing w:val="1"/>
        </w:rPr>
        <w:t> </w:t>
      </w:r>
      <w:r>
        <w:rPr/>
        <w:t>and Brugnara</w:t>
      </w:r>
      <w:r>
        <w:rPr>
          <w:spacing w:val="1"/>
        </w:rPr>
        <w:t> </w:t>
      </w:r>
      <w:r>
        <w:rPr/>
        <w:t>2001),</w:t>
      </w:r>
      <w:r>
        <w:rPr>
          <w:spacing w:val="1"/>
        </w:rPr>
        <w:t> </w:t>
      </w:r>
      <w:r>
        <w:rPr/>
        <w:t>insufficient</w:t>
      </w:r>
      <w:r>
        <w:rPr>
          <w:spacing w:val="1"/>
        </w:rPr>
        <w:t> </w:t>
      </w:r>
      <w:r>
        <w:rPr/>
        <w:t>absorption of iron or</w:t>
      </w:r>
      <w:r>
        <w:rPr>
          <w:spacing w:val="1"/>
        </w:rPr>
        <w:t> </w:t>
      </w:r>
      <w:r>
        <w:rPr/>
        <w:t>excess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(Branca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Ferrari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iron</w:t>
      </w:r>
      <w:r>
        <w:rPr>
          <w:spacing w:val="1"/>
        </w:rPr>
        <w:t> </w:t>
      </w:r>
      <w:r>
        <w:rPr/>
        <w:t>deficiency</w:t>
      </w:r>
      <w:r>
        <w:rPr>
          <w:spacing w:val="1"/>
        </w:rPr>
        <w:t> </w:t>
      </w:r>
      <w:r>
        <w:rPr/>
        <w:t>include</w:t>
      </w:r>
      <w:r>
        <w:rPr>
          <w:spacing w:val="60"/>
        </w:rPr>
        <w:t> </w:t>
      </w:r>
      <w:r>
        <w:rPr/>
        <w:t>impaired</w:t>
      </w:r>
      <w:r>
        <w:rPr>
          <w:spacing w:val="1"/>
        </w:rPr>
        <w:t> </w:t>
      </w:r>
      <w:r>
        <w:rPr/>
        <w:t>physical growth,</w:t>
      </w:r>
      <w:r>
        <w:rPr>
          <w:spacing w:val="1"/>
        </w:rPr>
        <w:t> </w:t>
      </w:r>
      <w:r>
        <w:rPr/>
        <w:t>potentially</w:t>
      </w:r>
      <w:r>
        <w:rPr>
          <w:spacing w:val="1"/>
        </w:rPr>
        <w:t> </w:t>
      </w:r>
      <w:r>
        <w:rPr/>
        <w:t>permanent</w:t>
      </w:r>
      <w:r>
        <w:rPr>
          <w:spacing w:val="1"/>
        </w:rPr>
        <w:t> </w:t>
      </w:r>
      <w:r>
        <w:rPr/>
        <w:t>adverse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neurological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cognition and emotional behaviour, lowered immunity resulting in increased susceptibility to</w:t>
      </w:r>
      <w:r>
        <w:rPr>
          <w:spacing w:val="1"/>
        </w:rPr>
        <w:t> </w:t>
      </w:r>
      <w:r>
        <w:rPr/>
        <w:t>infections,</w:t>
      </w:r>
      <w:r>
        <w:rPr>
          <w:spacing w:val="3"/>
        </w:rPr>
        <w:t> </w:t>
      </w:r>
      <w:r>
        <w:rPr/>
        <w:t>and</w:t>
      </w:r>
      <w:r>
        <w:rPr>
          <w:spacing w:val="6"/>
        </w:rPr>
        <w:t> </w:t>
      </w:r>
      <w:r>
        <w:rPr/>
        <w:t>most</w:t>
      </w:r>
      <w:r>
        <w:rPr>
          <w:spacing w:val="6"/>
        </w:rPr>
        <w:t> </w:t>
      </w:r>
      <w:r>
        <w:rPr/>
        <w:t>commonly</w:t>
      </w:r>
      <w:r>
        <w:rPr>
          <w:spacing w:val="-4"/>
        </w:rPr>
        <w:t> </w:t>
      </w:r>
      <w:r>
        <w:rPr/>
        <w:t>anaemia (Darnton-Hill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3"/>
        </w:rPr>
        <w:t> </w:t>
      </w:r>
      <w:r>
        <w:rPr/>
        <w:t>2005).</w:t>
      </w:r>
    </w:p>
    <w:p>
      <w:pPr>
        <w:pStyle w:val="BodyText"/>
        <w:spacing w:line="360" w:lineRule="auto" w:before="199"/>
        <w:ind w:left="820" w:right="1445"/>
        <w:jc w:val="both"/>
      </w:pPr>
      <w:r>
        <w:rPr/>
        <w:t>Iron deficiency anaemia can be prevented by taking foods rich in iron, preventing malaria,</w:t>
      </w:r>
      <w:r>
        <w:rPr>
          <w:spacing w:val="1"/>
        </w:rPr>
        <w:t> </w:t>
      </w:r>
      <w:r>
        <w:rPr/>
        <w:t>preventing parasitic infestations such as hookworm, taking iron supplements by those who have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e.g.,</w:t>
      </w:r>
      <w:r>
        <w:rPr>
          <w:spacing w:val="1"/>
        </w:rPr>
        <w:t> </w:t>
      </w:r>
      <w:r>
        <w:rPr/>
        <w:t>pregnant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breast</w:t>
      </w:r>
      <w:r>
        <w:rPr>
          <w:spacing w:val="60"/>
        </w:rPr>
        <w:t> </w:t>
      </w:r>
      <w:r>
        <w:rPr/>
        <w:t>feeding</w:t>
      </w:r>
      <w:r>
        <w:rPr>
          <w:spacing w:val="1"/>
        </w:rPr>
        <w:t> </w:t>
      </w:r>
      <w:r>
        <w:rPr/>
        <w:t>(Akpotuzor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4"/>
        </w:rPr>
        <w:t> </w:t>
      </w:r>
      <w:r>
        <w:rPr/>
        <w:t>2007).</w:t>
      </w:r>
    </w:p>
    <w:p>
      <w:pPr>
        <w:pStyle w:val="Heading1"/>
        <w:numPr>
          <w:ilvl w:val="2"/>
          <w:numId w:val="14"/>
        </w:numPr>
        <w:tabs>
          <w:tab w:pos="1602" w:val="left" w:leader="none"/>
        </w:tabs>
        <w:spacing w:line="240" w:lineRule="auto" w:before="202" w:after="0"/>
        <w:ind w:left="1601" w:right="0" w:hanging="782"/>
        <w:jc w:val="both"/>
      </w:pPr>
      <w:bookmarkStart w:name="_TOC_250010" w:id="44"/>
      <w:r>
        <w:rPr/>
        <w:t>Iron</w:t>
      </w:r>
      <w:r>
        <w:rPr>
          <w:spacing w:val="-3"/>
        </w:rPr>
        <w:t> </w:t>
      </w:r>
      <w:r>
        <w:rPr/>
        <w:t>toxicity/over</w:t>
      </w:r>
      <w:r>
        <w:rPr>
          <w:spacing w:val="-9"/>
        </w:rPr>
        <w:t> </w:t>
      </w:r>
      <w:bookmarkEnd w:id="44"/>
      <w:r>
        <w:rPr/>
        <w:t>load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44"/>
        <w:jc w:val="both"/>
      </w:pP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-5"/>
        </w:rPr>
        <w:t> </w:t>
      </w:r>
      <w:r>
        <w:rPr/>
        <w:t>considerable</w:t>
      </w:r>
      <w:r>
        <w:rPr>
          <w:spacing w:val="-4"/>
        </w:rPr>
        <w:t> </w:t>
      </w:r>
      <w:r>
        <w:rPr/>
        <w:t>potential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iron</w:t>
      </w:r>
      <w:r>
        <w:rPr>
          <w:spacing w:val="-7"/>
        </w:rPr>
        <w:t> </w:t>
      </w:r>
      <w:r>
        <w:rPr/>
        <w:t>toxicity</w:t>
      </w:r>
      <w:r>
        <w:rPr>
          <w:spacing w:val="-3"/>
        </w:rPr>
        <w:t> </w:t>
      </w:r>
      <w:r>
        <w:rPr/>
        <w:t>because</w:t>
      </w:r>
      <w:r>
        <w:rPr>
          <w:spacing w:val="1"/>
        </w:rPr>
        <w:t> </w:t>
      </w:r>
      <w:r>
        <w:rPr/>
        <w:t>very</w:t>
      </w:r>
      <w:r>
        <w:rPr>
          <w:spacing w:val="-7"/>
        </w:rPr>
        <w:t> </w:t>
      </w:r>
      <w:r>
        <w:rPr/>
        <w:t>little</w:t>
      </w:r>
      <w:r>
        <w:rPr>
          <w:spacing w:val="5"/>
        </w:rPr>
        <w:t> </w:t>
      </w:r>
      <w:r>
        <w:rPr/>
        <w:t>iron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excreted</w:t>
      </w:r>
      <w:r>
        <w:rPr>
          <w:spacing w:val="2"/>
        </w:rPr>
        <w:t> </w:t>
      </w:r>
      <w:r>
        <w:rPr/>
        <w:t>from</w:t>
      </w:r>
      <w:r>
        <w:rPr>
          <w:spacing w:val="-11"/>
        </w:rPr>
        <w:t> </w:t>
      </w:r>
      <w:r>
        <w:rPr/>
        <w:t>the</w:t>
      </w:r>
      <w:r>
        <w:rPr>
          <w:spacing w:val="-3"/>
        </w:rPr>
        <w:t> </w:t>
      </w:r>
      <w:r>
        <w:rPr/>
        <w:t>body.</w:t>
      </w:r>
      <w:r>
        <w:rPr>
          <w:spacing w:val="-58"/>
        </w:rPr>
        <w:t> </w:t>
      </w:r>
      <w:r>
        <w:rPr/>
        <w:t>Thus, iron can accumulate in body tissues and organs such as the abdomen, heart and liver, when</w:t>
      </w:r>
      <w:r>
        <w:rPr>
          <w:spacing w:val="-57"/>
        </w:rPr>
        <w:t> </w:t>
      </w:r>
      <w:r>
        <w:rPr/>
        <w:t>normal storage sites are full which leads to damages in these organs causing abdominal pain and</w:t>
      </w:r>
      <w:r>
        <w:rPr>
          <w:spacing w:val="1"/>
        </w:rPr>
        <w:t> </w:t>
      </w:r>
      <w:r>
        <w:rPr/>
        <w:t>disturbances, hematemesis, hepatic portal fibrosis, cirrhosis, liver failure, respiratory distress</w:t>
      </w:r>
      <w:r>
        <w:rPr>
          <w:spacing w:val="1"/>
        </w:rPr>
        <w:t> </w:t>
      </w:r>
      <w:r>
        <w:rPr/>
        <w:t>syndrome,</w:t>
      </w:r>
      <w:r>
        <w:rPr>
          <w:spacing w:val="7"/>
        </w:rPr>
        <w:t> </w:t>
      </w:r>
      <w:r>
        <w:rPr/>
        <w:t>metabolic</w:t>
      </w:r>
      <w:r>
        <w:rPr>
          <w:spacing w:val="-1"/>
        </w:rPr>
        <w:t> </w:t>
      </w:r>
      <w:r>
        <w:rPr/>
        <w:t>acidosis,</w:t>
      </w:r>
      <w:r>
        <w:rPr>
          <w:spacing w:val="3"/>
        </w:rPr>
        <w:t> </w:t>
      </w:r>
      <w:r>
        <w:rPr/>
        <w:t>shock,</w:t>
      </w:r>
      <w:r>
        <w:rPr>
          <w:spacing w:val="2"/>
        </w:rPr>
        <w:t> </w:t>
      </w:r>
      <w:r>
        <w:rPr/>
        <w:t>coma,</w:t>
      </w:r>
      <w:r>
        <w:rPr>
          <w:spacing w:val="3"/>
        </w:rPr>
        <w:t> </w:t>
      </w:r>
      <w:r>
        <w:rPr/>
        <w:t>and even</w:t>
      </w:r>
      <w:r>
        <w:rPr>
          <w:spacing w:val="-4"/>
        </w:rPr>
        <w:t> </w:t>
      </w:r>
      <w:r>
        <w:rPr/>
        <w:t>death</w:t>
      </w:r>
      <w:r>
        <w:rPr>
          <w:spacing w:val="-4"/>
        </w:rPr>
        <w:t> </w:t>
      </w:r>
      <w:r>
        <w:rPr/>
        <w:t>(Cheney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2"/>
        </w:rPr>
        <w:t> </w:t>
      </w:r>
      <w:r>
        <w:rPr/>
        <w:t>1995).</w:t>
      </w:r>
    </w:p>
    <w:p>
      <w:pPr>
        <w:pStyle w:val="Heading1"/>
        <w:numPr>
          <w:ilvl w:val="2"/>
          <w:numId w:val="14"/>
        </w:numPr>
        <w:tabs>
          <w:tab w:pos="1482" w:val="left" w:leader="none"/>
        </w:tabs>
        <w:spacing w:line="240" w:lineRule="auto" w:before="196" w:after="0"/>
        <w:ind w:left="1481" w:right="0" w:hanging="662"/>
        <w:jc w:val="both"/>
      </w:pPr>
      <w:bookmarkStart w:name="_TOC_250009" w:id="45"/>
      <w:r>
        <w:rPr/>
        <w:t>Natural</w:t>
      </w:r>
      <w:r>
        <w:rPr>
          <w:spacing w:val="-5"/>
        </w:rPr>
        <w:t> </w:t>
      </w:r>
      <w:r>
        <w:rPr/>
        <w:t>sources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bookmarkEnd w:id="45"/>
      <w:r>
        <w:rPr/>
        <w:t>iron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 w:before="1"/>
        <w:ind w:left="820" w:right="1443"/>
        <w:jc w:val="both"/>
      </w:pPr>
      <w:r>
        <w:rPr/>
        <w:t>Iron is present in both heme and non-heme forms in diet. Heme iron, the most bioavailable form,</w:t>
      </w:r>
      <w:r>
        <w:rPr>
          <w:spacing w:val="-57"/>
        </w:rPr>
        <w:t> </w:t>
      </w:r>
      <w:r>
        <w:rPr/>
        <w:t>is found in the greatest quantities in animal sources such as red meat, kidney and liver. Non-</w:t>
      </w:r>
      <w:r>
        <w:rPr>
          <w:spacing w:val="1"/>
        </w:rPr>
        <w:t> </w:t>
      </w:r>
      <w:r>
        <w:rPr/>
        <w:t>heme</w:t>
      </w:r>
      <w:r>
        <w:rPr>
          <w:spacing w:val="15"/>
        </w:rPr>
        <w:t> </w:t>
      </w:r>
      <w:r>
        <w:rPr/>
        <w:t>iron</w:t>
      </w:r>
      <w:r>
        <w:rPr>
          <w:spacing w:val="8"/>
        </w:rPr>
        <w:t> </w:t>
      </w:r>
      <w:r>
        <w:rPr/>
        <w:t>(which</w:t>
      </w:r>
      <w:r>
        <w:rPr>
          <w:spacing w:val="12"/>
        </w:rPr>
        <w:t> </w:t>
      </w:r>
      <w:r>
        <w:rPr/>
        <w:t>is</w:t>
      </w:r>
      <w:r>
        <w:rPr>
          <w:spacing w:val="10"/>
        </w:rPr>
        <w:t> </w:t>
      </w:r>
      <w:r>
        <w:rPr/>
        <w:t>absorbed</w:t>
      </w:r>
      <w:r>
        <w:rPr>
          <w:spacing w:val="12"/>
        </w:rPr>
        <w:t> </w:t>
      </w:r>
      <w:r>
        <w:rPr/>
        <w:t>less</w:t>
      </w:r>
      <w:r>
        <w:rPr>
          <w:spacing w:val="10"/>
        </w:rPr>
        <w:t> </w:t>
      </w:r>
      <w:r>
        <w:rPr/>
        <w:t>efficiently</w:t>
      </w:r>
      <w:r>
        <w:rPr>
          <w:spacing w:val="4"/>
        </w:rPr>
        <w:t> </w:t>
      </w:r>
      <w:r>
        <w:rPr/>
        <w:t>than</w:t>
      </w:r>
      <w:r>
        <w:rPr>
          <w:spacing w:val="7"/>
        </w:rPr>
        <w:t> </w:t>
      </w:r>
      <w:r>
        <w:rPr/>
        <w:t>heme</w:t>
      </w:r>
      <w:r>
        <w:rPr>
          <w:spacing w:val="11"/>
        </w:rPr>
        <w:t> </w:t>
      </w:r>
      <w:r>
        <w:rPr/>
        <w:t>iron)</w:t>
      </w:r>
      <w:r>
        <w:rPr>
          <w:spacing w:val="14"/>
        </w:rPr>
        <w:t> </w:t>
      </w:r>
      <w:r>
        <w:rPr/>
        <w:t>is</w:t>
      </w:r>
      <w:r>
        <w:rPr>
          <w:spacing w:val="10"/>
        </w:rPr>
        <w:t> </w:t>
      </w:r>
      <w:r>
        <w:rPr/>
        <w:t>most</w:t>
      </w:r>
      <w:r>
        <w:rPr>
          <w:spacing w:val="13"/>
        </w:rPr>
        <w:t> </w:t>
      </w:r>
      <w:r>
        <w:rPr/>
        <w:t>abundant</w:t>
      </w:r>
      <w:r>
        <w:rPr>
          <w:spacing w:val="17"/>
        </w:rPr>
        <w:t> </w:t>
      </w:r>
      <w:r>
        <w:rPr/>
        <w:t>in</w:t>
      </w:r>
      <w:r>
        <w:rPr>
          <w:spacing w:val="7"/>
        </w:rPr>
        <w:t> </w:t>
      </w:r>
      <w:r>
        <w:rPr/>
        <w:t>other</w:t>
      </w:r>
      <w:r>
        <w:rPr>
          <w:spacing w:val="9"/>
        </w:rPr>
        <w:t> </w:t>
      </w:r>
      <w:r>
        <w:rPr/>
        <w:t>sources</w:t>
      </w:r>
      <w:r>
        <w:rPr>
          <w:spacing w:val="-57"/>
        </w:rPr>
        <w:t> </w:t>
      </w:r>
      <w:r>
        <w:rPr/>
        <w:t>of iron, including eggs and all dark green vegetable leaves (e.g. spinach, parsley, broccoli), roots,</w:t>
      </w:r>
      <w:r>
        <w:rPr>
          <w:spacing w:val="-57"/>
        </w:rPr>
        <w:t> </w:t>
      </w:r>
      <w:r>
        <w:rPr/>
        <w:t>seeds,</w:t>
      </w:r>
      <w:r>
        <w:rPr>
          <w:spacing w:val="8"/>
        </w:rPr>
        <w:t> </w:t>
      </w:r>
      <w:r>
        <w:rPr/>
        <w:t>millet,</w:t>
      </w:r>
      <w:r>
        <w:rPr>
          <w:spacing w:val="3"/>
        </w:rPr>
        <w:t> </w:t>
      </w:r>
      <w:r>
        <w:rPr/>
        <w:t>beans,</w:t>
      </w:r>
      <w:r>
        <w:rPr>
          <w:spacing w:val="3"/>
        </w:rPr>
        <w:t> </w:t>
      </w:r>
      <w:r>
        <w:rPr/>
        <w:t>pulses,</w:t>
      </w:r>
      <w:r>
        <w:rPr>
          <w:spacing w:val="4"/>
        </w:rPr>
        <w:t> </w:t>
      </w:r>
      <w:r>
        <w:rPr/>
        <w:t>nuts,</w:t>
      </w:r>
      <w:r>
        <w:rPr>
          <w:spacing w:val="3"/>
        </w:rPr>
        <w:t> </w:t>
      </w:r>
      <w:r>
        <w:rPr/>
        <w:t>dates,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fruits.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numPr>
          <w:ilvl w:val="2"/>
          <w:numId w:val="14"/>
        </w:numPr>
        <w:tabs>
          <w:tab w:pos="1544" w:val="left" w:leader="none"/>
        </w:tabs>
        <w:spacing w:line="240" w:lineRule="auto" w:before="72" w:after="0"/>
        <w:ind w:left="1543" w:right="0" w:hanging="724"/>
        <w:jc w:val="both"/>
      </w:pPr>
      <w:bookmarkStart w:name="_TOC_250008" w:id="46"/>
      <w:r>
        <w:rPr/>
        <w:t>Available</w:t>
      </w:r>
      <w:r>
        <w:rPr>
          <w:spacing w:val="-4"/>
        </w:rPr>
        <w:t> </w:t>
      </w:r>
      <w:r>
        <w:rPr/>
        <w:t>forms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bookmarkEnd w:id="46"/>
      <w:r>
        <w:rPr/>
        <w:t>iron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 w:before="1"/>
        <w:ind w:left="820" w:right="1440"/>
        <w:jc w:val="both"/>
      </w:pPr>
      <w:r>
        <w:rPr/>
        <w:t>Iron supplementation is indicated when diet alone cannot restore deficient iron levels to normal</w:t>
      </w:r>
      <w:r>
        <w:rPr>
          <w:spacing w:val="1"/>
        </w:rPr>
        <w:t> </w:t>
      </w:r>
      <w:r>
        <w:rPr/>
        <w:t>within an acceptable timeframe. Supplemental iron is available in two forms: ferrous and ferric.</w:t>
      </w:r>
      <w:r>
        <w:rPr>
          <w:spacing w:val="1"/>
        </w:rPr>
        <w:t> </w:t>
      </w:r>
      <w:r>
        <w:rPr/>
        <w:t>Ferrous iron salts are the best absorbed forms and include ferrous fumarate, ferrous sulfate, and</w:t>
      </w:r>
      <w:r>
        <w:rPr>
          <w:spacing w:val="1"/>
        </w:rPr>
        <w:t> </w:t>
      </w:r>
      <w:r>
        <w:rPr/>
        <w:t>ferrous</w:t>
      </w:r>
      <w:r>
        <w:rPr>
          <w:spacing w:val="-3"/>
        </w:rPr>
        <w:t> </w:t>
      </w:r>
      <w:r>
        <w:rPr/>
        <w:t>gluconate</w:t>
      </w:r>
      <w:r>
        <w:rPr>
          <w:spacing w:val="-1"/>
        </w:rPr>
        <w:t> </w:t>
      </w:r>
      <w:r>
        <w:rPr/>
        <w:t>containing 33%,</w:t>
      </w:r>
      <w:r>
        <w:rPr>
          <w:spacing w:val="2"/>
        </w:rPr>
        <w:t> </w:t>
      </w:r>
      <w:r>
        <w:rPr/>
        <w:t>20%,</w:t>
      </w:r>
      <w:r>
        <w:rPr>
          <w:spacing w:val="2"/>
        </w:rPr>
        <w:t> </w:t>
      </w:r>
      <w:r>
        <w:rPr/>
        <w:t>and 12%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elemental</w:t>
      </w:r>
      <w:r>
        <w:rPr>
          <w:spacing w:val="-4"/>
        </w:rPr>
        <w:t> </w:t>
      </w:r>
      <w:r>
        <w:rPr/>
        <w:t>iron</w:t>
      </w:r>
      <w:r>
        <w:rPr>
          <w:spacing w:val="-5"/>
        </w:rPr>
        <w:t> </w:t>
      </w:r>
      <w:r>
        <w:rPr/>
        <w:t>respectively</w:t>
      </w:r>
      <w:r>
        <w:rPr>
          <w:spacing w:val="-5"/>
        </w:rPr>
        <w:t> </w:t>
      </w:r>
      <w:r>
        <w:rPr/>
        <w:t>(Porter,</w:t>
      </w:r>
      <w:r>
        <w:rPr>
          <w:spacing w:val="2"/>
        </w:rPr>
        <w:t> </w:t>
      </w:r>
      <w:r>
        <w:rPr/>
        <w:t>2011).</w:t>
      </w:r>
    </w:p>
    <w:p>
      <w:pPr>
        <w:pStyle w:val="Heading1"/>
        <w:numPr>
          <w:ilvl w:val="1"/>
          <w:numId w:val="14"/>
        </w:numPr>
        <w:tabs>
          <w:tab w:pos="1185" w:val="left" w:leader="none"/>
        </w:tabs>
        <w:spacing w:line="240" w:lineRule="auto" w:before="201" w:after="0"/>
        <w:ind w:left="1184" w:right="0" w:hanging="365"/>
        <w:jc w:val="both"/>
      </w:pPr>
      <w:r>
        <w:rPr/>
        <w:t>Strategies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Overcome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Problem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Micronutrient</w:t>
      </w:r>
      <w:r>
        <w:rPr>
          <w:spacing w:val="-2"/>
        </w:rPr>
        <w:t> </w:t>
      </w:r>
      <w:r>
        <w:rPr/>
        <w:t>Deficiencies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820" w:right="1434"/>
        <w:jc w:val="both"/>
      </w:pPr>
      <w:r>
        <w:rPr/>
        <w:t>Malnutrition increases morbidity and mortality and affects physical growth and development,</w:t>
      </w:r>
      <w:r>
        <w:rPr>
          <w:spacing w:val="1"/>
        </w:rPr>
        <w:t> </w:t>
      </w:r>
      <w:r>
        <w:rPr/>
        <w:t>some of these effects resulting</w:t>
      </w:r>
      <w:r>
        <w:rPr>
          <w:spacing w:val="1"/>
        </w:rPr>
        <w:t> </w:t>
      </w:r>
      <w:r>
        <w:rPr/>
        <w:t>from specific</w:t>
      </w:r>
      <w:r>
        <w:rPr>
          <w:spacing w:val="1"/>
        </w:rPr>
        <w:t> </w:t>
      </w:r>
      <w:r>
        <w:rPr/>
        <w:t>micronutrient</w:t>
      </w:r>
      <w:r>
        <w:rPr>
          <w:spacing w:val="60"/>
        </w:rPr>
        <w:t> </w:t>
      </w:r>
      <w:r>
        <w:rPr/>
        <w:t>deficiencies (Bhan </w:t>
      </w:r>
      <w:r>
        <w:rPr>
          <w:i/>
        </w:rPr>
        <w:t>et al</w:t>
      </w:r>
      <w:r>
        <w:rPr/>
        <w:t>., 2001).</w:t>
      </w:r>
      <w:r>
        <w:rPr>
          <w:spacing w:val="1"/>
        </w:rPr>
        <w:t> </w:t>
      </w:r>
      <w:r>
        <w:rPr/>
        <w:t>While public health efforts must</w:t>
      </w:r>
      <w:r>
        <w:rPr>
          <w:spacing w:val="1"/>
        </w:rPr>
        <w:t> </w:t>
      </w:r>
      <w:r>
        <w:rPr/>
        <w:t>be targeted to</w:t>
      </w:r>
      <w:r>
        <w:rPr>
          <w:spacing w:val="60"/>
        </w:rPr>
        <w:t> </w:t>
      </w:r>
      <w:r>
        <w:rPr/>
        <w:t>improve general dietary intakes, there is a need</w:t>
      </w:r>
      <w:r>
        <w:rPr>
          <w:spacing w:val="1"/>
        </w:rPr>
        <w:t> </w:t>
      </w:r>
      <w:r>
        <w:rPr/>
        <w:t>for additional measures to increase the intake of certain micronutrients. Food-based approaches</w:t>
      </w:r>
      <w:r>
        <w:rPr>
          <w:spacing w:val="1"/>
        </w:rPr>
        <w:t> </w:t>
      </w:r>
      <w:r>
        <w:rPr/>
        <w:t>such as dietary diversification through home gardens and small livestock are regarded as the</w:t>
      </w:r>
      <w:r>
        <w:rPr>
          <w:spacing w:val="1"/>
        </w:rPr>
        <w:t> </w:t>
      </w:r>
      <w:r>
        <w:rPr/>
        <w:t>long-term strategy for improving nutrition. But for certain micronutrients, supplementation, be it</w:t>
      </w:r>
      <w:r>
        <w:rPr>
          <w:spacing w:val="1"/>
        </w:rPr>
        <w:t> </w:t>
      </w:r>
      <w:r>
        <w:rPr/>
        <w:t>to the general population or to high risk groups or as an adjunct to treatment must also be</w:t>
      </w:r>
      <w:r>
        <w:rPr>
          <w:spacing w:val="1"/>
        </w:rPr>
        <w:t> </w:t>
      </w:r>
      <w:r>
        <w:rPr/>
        <w:t>considered (Bhan </w:t>
      </w:r>
      <w:r>
        <w:rPr>
          <w:i/>
        </w:rPr>
        <w:t>et al</w:t>
      </w:r>
      <w:r>
        <w:rPr/>
        <w:t>., 2001). The fortification of salt with iodine has been a global success</w:t>
      </w:r>
      <w:r>
        <w:rPr>
          <w:spacing w:val="1"/>
        </w:rPr>
        <w:t> </w:t>
      </w:r>
      <w:r>
        <w:rPr/>
        <w:t>story, but other micronutrient supplementation schemes have yet to reach vulnerable populations</w:t>
      </w:r>
      <w:r>
        <w:rPr>
          <w:spacing w:val="1"/>
        </w:rPr>
        <w:t> </w:t>
      </w:r>
      <w:r>
        <w:rPr/>
        <w:t>sufficiently.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breeding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iron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micronutrients holds great promise (Graham and Welch, 1996). To be effective, all interventions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accompanying</w:t>
      </w:r>
      <w:r>
        <w:rPr>
          <w:spacing w:val="1"/>
        </w:rPr>
        <w:t> </w:t>
      </w:r>
      <w:r>
        <w:rPr/>
        <w:t>nutrition-education</w:t>
      </w:r>
      <w:r>
        <w:rPr>
          <w:spacing w:val="1"/>
        </w:rPr>
        <w:t> </w:t>
      </w:r>
      <w:r>
        <w:rPr/>
        <w:t>campaigns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interventions.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 the hunger and malnutrition related Millennium Development Goals, which are clearly</w:t>
      </w:r>
      <w:r>
        <w:rPr>
          <w:spacing w:val="1"/>
        </w:rPr>
        <w:t> </w:t>
      </w:r>
      <w:r>
        <w:rPr/>
        <w:t>associated with the insecure supply of food and nutrition, poverty needs to be addressed. A major</w:t>
      </w:r>
      <w:r>
        <w:rPr>
          <w:spacing w:val="-57"/>
        </w:rPr>
        <w:t> </w:t>
      </w:r>
      <w:r>
        <w:rPr/>
        <w:t>pitch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crisis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low-cost</w:t>
      </w:r>
      <w:r>
        <w:rPr>
          <w:spacing w:val="60"/>
        </w:rPr>
        <w:t> </w:t>
      </w:r>
      <w:r>
        <w:rPr/>
        <w:t>micronutrient</w:t>
      </w:r>
      <w:r>
        <w:rPr>
          <w:spacing w:val="1"/>
        </w:rPr>
        <w:t> </w:t>
      </w:r>
      <w:r>
        <w:rPr/>
        <w:t>programs including food fortification, dietary diversification, supplementation and education</w:t>
      </w:r>
      <w:r>
        <w:rPr>
          <w:spacing w:val="1"/>
        </w:rPr>
        <w:t> </w:t>
      </w:r>
      <w:r>
        <w:rPr/>
        <w:t>(Hale,</w:t>
      </w:r>
      <w:r>
        <w:rPr>
          <w:spacing w:val="3"/>
        </w:rPr>
        <w:t> </w:t>
      </w:r>
      <w:r>
        <w:rPr/>
        <w:t>2008).</w:t>
      </w:r>
    </w:p>
    <w:p>
      <w:pPr>
        <w:pStyle w:val="Heading1"/>
        <w:numPr>
          <w:ilvl w:val="2"/>
          <w:numId w:val="14"/>
        </w:numPr>
        <w:tabs>
          <w:tab w:pos="1482" w:val="left" w:leader="none"/>
        </w:tabs>
        <w:spacing w:line="240" w:lineRule="auto" w:before="201" w:after="0"/>
        <w:ind w:left="1481" w:right="0" w:hanging="662"/>
        <w:jc w:val="both"/>
      </w:pPr>
      <w:bookmarkStart w:name="_TOC_250007" w:id="47"/>
      <w:r>
        <w:rPr/>
        <w:t>Food</w:t>
      </w:r>
      <w:r>
        <w:rPr>
          <w:spacing w:val="-5"/>
        </w:rPr>
        <w:t> </w:t>
      </w:r>
      <w:bookmarkEnd w:id="47"/>
      <w:r>
        <w:rPr/>
        <w:t>fortification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41"/>
        <w:jc w:val="both"/>
      </w:pPr>
      <w:r>
        <w:rPr/>
        <w:t>Food fortification by nature is the process of adding vitamins and minerals to a staple food eaten</w:t>
      </w:r>
      <w:r>
        <w:rPr>
          <w:spacing w:val="1"/>
        </w:rPr>
        <w:t> </w:t>
      </w:r>
      <w:r>
        <w:rPr/>
        <w:t>by a</w:t>
      </w:r>
      <w:r>
        <w:rPr>
          <w:spacing w:val="1"/>
        </w:rPr>
        <w:t> </w:t>
      </w:r>
      <w:r>
        <w:rPr/>
        <w:t>majority of the population. During the</w:t>
      </w:r>
      <w:r>
        <w:rPr>
          <w:spacing w:val="1"/>
        </w:rPr>
        <w:t> </w:t>
      </w:r>
      <w:r>
        <w:rPr/>
        <w:t>food processing</w:t>
      </w:r>
      <w:r>
        <w:rPr>
          <w:spacing w:val="1"/>
        </w:rPr>
        <w:t> </w:t>
      </w:r>
      <w:r>
        <w:rPr/>
        <w:t>stage, beneficial vitamins and</w:t>
      </w:r>
      <w:r>
        <w:rPr>
          <w:spacing w:val="1"/>
        </w:rPr>
        <w:t> </w:t>
      </w:r>
      <w:r>
        <w:rPr/>
        <w:t>minerals are added to the staple</w:t>
      </w:r>
      <w:r>
        <w:rPr>
          <w:spacing w:val="1"/>
        </w:rPr>
        <w:t> </w:t>
      </w:r>
      <w:r>
        <w:rPr/>
        <w:t>foods and distributed to the population; thus,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requires the</w:t>
      </w:r>
      <w:r>
        <w:rPr>
          <w:spacing w:val="1"/>
        </w:rPr>
        <w:t> </w:t>
      </w:r>
      <w:r>
        <w:rPr/>
        <w:t>active participation of the</w:t>
      </w:r>
      <w:r>
        <w:rPr>
          <w:spacing w:val="1"/>
        </w:rPr>
        <w:t> </w:t>
      </w:r>
      <w:r>
        <w:rPr/>
        <w:t>food industry. Recent</w:t>
      </w:r>
      <w:r>
        <w:rPr>
          <w:spacing w:val="1"/>
        </w:rPr>
        <w:t> </w:t>
      </w:r>
      <w:r>
        <w:rPr/>
        <w:t>studies in Southern and</w:t>
      </w:r>
      <w:r>
        <w:rPr>
          <w:spacing w:val="1"/>
        </w:rPr>
        <w:t> </w:t>
      </w:r>
      <w:r>
        <w:rPr/>
        <w:t>Western Africa show</w:t>
      </w:r>
      <w:r>
        <w:rPr>
          <w:spacing w:val="1"/>
        </w:rPr>
        <w:t> </w:t>
      </w:r>
      <w:r>
        <w:rPr/>
        <w:t>that</w:t>
      </w:r>
      <w:r>
        <w:rPr>
          <w:spacing w:val="38"/>
        </w:rPr>
        <w:t> </w:t>
      </w:r>
      <w:r>
        <w:rPr/>
        <w:t>adding</w:t>
      </w:r>
      <w:r>
        <w:rPr>
          <w:spacing w:val="38"/>
        </w:rPr>
        <w:t> </w:t>
      </w:r>
      <w:r>
        <w:rPr/>
        <w:t>vitamin</w:t>
      </w:r>
      <w:r>
        <w:rPr>
          <w:spacing w:val="38"/>
        </w:rPr>
        <w:t> </w:t>
      </w:r>
      <w:r>
        <w:rPr/>
        <w:t>A</w:t>
      </w:r>
      <w:r>
        <w:rPr>
          <w:spacing w:val="28"/>
        </w:rPr>
        <w:t> </w:t>
      </w:r>
      <w:r>
        <w:rPr/>
        <w:t>to</w:t>
      </w:r>
      <w:r>
        <w:rPr>
          <w:spacing w:val="38"/>
        </w:rPr>
        <w:t> </w:t>
      </w:r>
      <w:r>
        <w:rPr/>
        <w:t>sugar</w:t>
      </w:r>
      <w:r>
        <w:rPr>
          <w:spacing w:val="34"/>
        </w:rPr>
        <w:t> </w:t>
      </w:r>
      <w:r>
        <w:rPr/>
        <w:t>and</w:t>
      </w:r>
      <w:r>
        <w:rPr>
          <w:spacing w:val="33"/>
        </w:rPr>
        <w:t> </w:t>
      </w:r>
      <w:r>
        <w:rPr/>
        <w:t>vegetable</w:t>
      </w:r>
      <w:r>
        <w:rPr>
          <w:spacing w:val="33"/>
        </w:rPr>
        <w:t> </w:t>
      </w:r>
      <w:r>
        <w:rPr/>
        <w:t>oil</w:t>
      </w:r>
      <w:r>
        <w:rPr>
          <w:spacing w:val="29"/>
        </w:rPr>
        <w:t> </w:t>
      </w:r>
      <w:r>
        <w:rPr/>
        <w:t>can</w:t>
      </w:r>
      <w:r>
        <w:rPr>
          <w:spacing w:val="34"/>
        </w:rPr>
        <w:t> </w:t>
      </w:r>
      <w:r>
        <w:rPr/>
        <w:t>lower</w:t>
      </w:r>
      <w:r>
        <w:rPr>
          <w:spacing w:val="35"/>
        </w:rPr>
        <w:t> </w:t>
      </w:r>
      <w:r>
        <w:rPr/>
        <w:t>the</w:t>
      </w:r>
      <w:r>
        <w:rPr>
          <w:spacing w:val="33"/>
        </w:rPr>
        <w:t> </w:t>
      </w:r>
      <w:r>
        <w:rPr/>
        <w:t>risk</w:t>
      </w:r>
      <w:r>
        <w:rPr>
          <w:spacing w:val="33"/>
        </w:rPr>
        <w:t> </w:t>
      </w:r>
      <w:r>
        <w:rPr/>
        <w:t>and</w:t>
      </w:r>
      <w:r>
        <w:rPr>
          <w:spacing w:val="37"/>
        </w:rPr>
        <w:t> </w:t>
      </w:r>
      <w:r>
        <w:rPr/>
        <w:t>severity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maternal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60" w:lineRule="auto" w:before="72"/>
        <w:ind w:left="820" w:right="1434"/>
        <w:jc w:val="both"/>
      </w:pPr>
      <w:r>
        <w:rPr/>
        <w:t>mortality, anaemia, and long-term effects of HIV/AIDS (Howson </w:t>
      </w:r>
      <w:r>
        <w:rPr>
          <w:i/>
        </w:rPr>
        <w:t>et al</w:t>
      </w:r>
      <w:r>
        <w:rPr/>
        <w:t>., 1998). Just a teaspoon of</w:t>
      </w:r>
      <w:r>
        <w:rPr>
          <w:spacing w:val="-57"/>
        </w:rPr>
        <w:t> </w:t>
      </w:r>
      <w:r>
        <w:rPr/>
        <w:t>oil or sugar enriched with vitamin A taken twice a day can boost a child’s immune system and</w:t>
      </w:r>
      <w:r>
        <w:rPr>
          <w:spacing w:val="1"/>
        </w:rPr>
        <w:t> </w:t>
      </w:r>
      <w:r>
        <w:rPr/>
        <w:t>deliver about one-third of their daily needs for vitamin A potentially saving their lives (UNICEF,</w:t>
      </w:r>
      <w:r>
        <w:rPr>
          <w:spacing w:val="-57"/>
        </w:rPr>
        <w:t> </w:t>
      </w:r>
      <w:r>
        <w:rPr/>
        <w:t>2007). Field fortification strategies can also be used to increase the content of certain trace</w:t>
      </w:r>
      <w:r>
        <w:rPr>
          <w:spacing w:val="1"/>
        </w:rPr>
        <w:t> </w:t>
      </w:r>
      <w:r>
        <w:rPr/>
        <w:t>elements in cereal grains by applying fertilizers to the soil to increase its content of selenium,</w:t>
      </w:r>
      <w:r>
        <w:rPr>
          <w:spacing w:val="1"/>
        </w:rPr>
        <w:t> </w:t>
      </w:r>
      <w:r>
        <w:rPr/>
        <w:t>iodine, and zinc, or to the leaves to enhance their iron content. Alternatively, plant-breeding 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varieties</w:t>
      </w:r>
      <w:r>
        <w:rPr>
          <w:spacing w:val="1"/>
        </w:rPr>
        <w:t> </w:t>
      </w:r>
      <w:r>
        <w:rPr/>
        <w:t>of cereal</w:t>
      </w:r>
      <w:r>
        <w:rPr>
          <w:spacing w:val="1"/>
        </w:rPr>
        <w:t> </w:t>
      </w:r>
      <w:r>
        <w:rPr/>
        <w:t>grains,</w:t>
      </w:r>
      <w:r>
        <w:rPr>
          <w:spacing w:val="1"/>
        </w:rPr>
        <w:t> </w:t>
      </w:r>
      <w:r>
        <w:rPr/>
        <w:t>orange-fleshed</w:t>
      </w:r>
      <w:r>
        <w:rPr>
          <w:spacing w:val="1"/>
        </w:rPr>
        <w:t> </w:t>
      </w:r>
      <w:r>
        <w:rPr/>
        <w:t>sweet</w:t>
      </w:r>
      <w:r>
        <w:rPr>
          <w:spacing w:val="1"/>
        </w:rPr>
        <w:t> </w:t>
      </w:r>
      <w:r>
        <w:rPr/>
        <w:t>potatoes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cassava roots, with an increased content of iron, zinc, and/or beta-carotene (Gibson and Hotz</w:t>
      </w:r>
      <w:r>
        <w:rPr>
          <w:spacing w:val="1"/>
        </w:rPr>
        <w:t> </w:t>
      </w:r>
      <w:r>
        <w:rPr/>
        <w:t>2001).</w:t>
      </w:r>
    </w:p>
    <w:p>
      <w:pPr>
        <w:pStyle w:val="Heading1"/>
        <w:numPr>
          <w:ilvl w:val="2"/>
          <w:numId w:val="14"/>
        </w:numPr>
        <w:tabs>
          <w:tab w:pos="1482" w:val="left" w:leader="none"/>
        </w:tabs>
        <w:spacing w:line="240" w:lineRule="auto" w:before="200" w:after="0"/>
        <w:ind w:left="1481" w:right="0" w:hanging="662"/>
        <w:jc w:val="both"/>
      </w:pPr>
      <w:bookmarkStart w:name="_TOC_250006" w:id="48"/>
      <w:r>
        <w:rPr/>
        <w:t>Dietary</w:t>
      </w:r>
      <w:r>
        <w:rPr>
          <w:spacing w:val="-6"/>
        </w:rPr>
        <w:t> </w:t>
      </w:r>
      <w:bookmarkEnd w:id="48"/>
      <w:r>
        <w:rPr/>
        <w:t>diversification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33"/>
        <w:jc w:val="both"/>
      </w:pPr>
      <w:r>
        <w:rPr/>
        <w:t>Dietary</w:t>
      </w:r>
      <w:r>
        <w:rPr>
          <w:spacing w:val="1"/>
        </w:rPr>
        <w:t> </w:t>
      </w:r>
      <w:r>
        <w:rPr/>
        <w:t>diversification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meal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individuals,</w:t>
      </w:r>
      <w:r>
        <w:rPr>
          <w:spacing w:val="1"/>
        </w:rPr>
        <w:t> </w:t>
      </w:r>
      <w:r>
        <w:rPr/>
        <w:t>families,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eating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unique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context.</w:t>
      </w:r>
      <w:r>
        <w:rPr>
          <w:spacing w:val="1"/>
        </w:rPr>
        <w:t> </w:t>
      </w:r>
      <w:r>
        <w:rPr/>
        <w:t>Dietary</w:t>
      </w:r>
      <w:r>
        <w:rPr>
          <w:spacing w:val="1"/>
        </w:rPr>
        <w:t> </w:t>
      </w:r>
      <w:r>
        <w:rPr/>
        <w:t>diversification/modification is an approach that aims to enhance the availability, access, and</w:t>
      </w:r>
      <w:r>
        <w:rPr>
          <w:spacing w:val="1"/>
        </w:rPr>
        <w:t> </w:t>
      </w:r>
      <w:r>
        <w:rPr/>
        <w:t>utilization of foods with a high content and bioavailability of micronutrients throughout the year.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practices,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patterns,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household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preparing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indigenous</w:t>
      </w:r>
      <w:r>
        <w:rPr>
          <w:spacing w:val="1"/>
        </w:rPr>
        <w:t> </w:t>
      </w:r>
      <w:r>
        <w:rPr/>
        <w:t>foods.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implement</w:t>
      </w:r>
      <w:r>
        <w:rPr>
          <w:spacing w:val="60"/>
        </w:rPr>
        <w:t> </w:t>
      </w:r>
      <w:r>
        <w:rPr/>
        <w:t>these</w:t>
      </w:r>
      <w:r>
        <w:rPr>
          <w:spacing w:val="1"/>
        </w:rPr>
        <w:t> </w:t>
      </w:r>
      <w:r>
        <w:rPr/>
        <w:t>strategies effectively, knowledge of the local dietary patterns, and food beliefs, preferences and</w:t>
      </w:r>
      <w:r>
        <w:rPr>
          <w:spacing w:val="1"/>
        </w:rPr>
        <w:t> </w:t>
      </w:r>
      <w:r>
        <w:rPr/>
        <w:t>taboos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required,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practices.</w:t>
      </w:r>
      <w:r>
        <w:rPr>
          <w:spacing w:val="1"/>
        </w:rPr>
        <w:t> </w:t>
      </w:r>
      <w:r>
        <w:rPr/>
        <w:t>Dietary</w:t>
      </w:r>
      <w:r>
        <w:rPr>
          <w:spacing w:val="1"/>
        </w:rPr>
        <w:t> </w:t>
      </w:r>
      <w:r>
        <w:rPr/>
        <w:t>diversification/modification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sustainable,</w:t>
      </w:r>
      <w:r>
        <w:rPr>
          <w:spacing w:val="1"/>
        </w:rPr>
        <w:t> </w:t>
      </w:r>
      <w:r>
        <w:rPr/>
        <w:t>economically</w:t>
      </w:r>
      <w:r>
        <w:rPr>
          <w:spacing w:val="1"/>
        </w:rPr>
        <w:t> </w:t>
      </w:r>
      <w:r>
        <w:rPr/>
        <w:t>feasible,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culturally</w:t>
      </w:r>
      <w:r>
        <w:rPr>
          <w:spacing w:val="1"/>
        </w:rPr>
        <w:t> </w:t>
      </w:r>
      <w:r>
        <w:rPr/>
        <w:t>acceptable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supplementation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fortification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alleviate</w:t>
      </w:r>
      <w:r>
        <w:rPr>
          <w:spacing w:val="60"/>
        </w:rPr>
        <w:t> </w:t>
      </w:r>
      <w:r>
        <w:rPr/>
        <w:t>several</w:t>
      </w:r>
      <w:r>
        <w:rPr>
          <w:spacing w:val="1"/>
        </w:rPr>
        <w:t> </w:t>
      </w:r>
      <w:r>
        <w:rPr/>
        <w:t>micronutrient deficiencies simultaneously without risk of antagonistic interactions (Gibson and</w:t>
      </w:r>
      <w:r>
        <w:rPr>
          <w:spacing w:val="1"/>
        </w:rPr>
        <w:t> </w:t>
      </w:r>
      <w:r>
        <w:rPr/>
        <w:t>Hotz 2001). Food fortification (with the exception of iodized salt) and dietary diversification 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measures,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sustainable</w:t>
      </w:r>
      <w:r>
        <w:rPr>
          <w:spacing w:val="60"/>
        </w:rPr>
        <w:t> </w:t>
      </w:r>
      <w:r>
        <w:rPr/>
        <w:t>preventive</w:t>
      </w:r>
      <w:r>
        <w:rPr>
          <w:spacing w:val="1"/>
        </w:rPr>
        <w:t> </w:t>
      </w:r>
      <w:r>
        <w:rPr/>
        <w:t>strategies</w:t>
      </w:r>
      <w:r>
        <w:rPr>
          <w:spacing w:val="-1"/>
        </w:rPr>
        <w:t> </w:t>
      </w:r>
      <w:r>
        <w:rPr/>
        <w:t>to</w:t>
      </w:r>
      <w:r>
        <w:rPr>
          <w:spacing w:val="6"/>
        </w:rPr>
        <w:t> </w:t>
      </w:r>
      <w:r>
        <w:rPr/>
        <w:t>control</w:t>
      </w:r>
      <w:r>
        <w:rPr>
          <w:spacing w:val="-3"/>
        </w:rPr>
        <w:t> </w:t>
      </w:r>
      <w:r>
        <w:rPr/>
        <w:t>micronutrient</w:t>
      </w:r>
      <w:r>
        <w:rPr>
          <w:spacing w:val="7"/>
        </w:rPr>
        <w:t> </w:t>
      </w:r>
      <w:r>
        <w:rPr/>
        <w:t>malnutrition</w:t>
      </w:r>
      <w:r>
        <w:rPr>
          <w:spacing w:val="-4"/>
        </w:rPr>
        <w:t> </w:t>
      </w:r>
      <w:r>
        <w:rPr/>
        <w:t>(Howson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,</w:t>
      </w:r>
      <w:r>
        <w:rPr>
          <w:spacing w:val="-1"/>
        </w:rPr>
        <w:t> </w:t>
      </w:r>
      <w:r>
        <w:rPr/>
        <w:t>1998).</w:t>
      </w:r>
    </w:p>
    <w:p>
      <w:pPr>
        <w:pStyle w:val="Heading1"/>
        <w:numPr>
          <w:ilvl w:val="2"/>
          <w:numId w:val="14"/>
        </w:numPr>
        <w:tabs>
          <w:tab w:pos="1482" w:val="left" w:leader="none"/>
        </w:tabs>
        <w:spacing w:line="240" w:lineRule="auto" w:before="200" w:after="0"/>
        <w:ind w:left="1481" w:right="0" w:hanging="662"/>
        <w:jc w:val="both"/>
      </w:pPr>
      <w:bookmarkStart w:name="_TOC_250005" w:id="49"/>
      <w:r>
        <w:rPr/>
        <w:t>Food</w:t>
      </w:r>
      <w:r>
        <w:rPr>
          <w:spacing w:val="-3"/>
        </w:rPr>
        <w:t> </w:t>
      </w:r>
      <w:bookmarkEnd w:id="49"/>
      <w:r>
        <w:rPr/>
        <w:t>supplementation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42"/>
        <w:jc w:val="both"/>
      </w:pPr>
      <w:r>
        <w:rPr/>
        <w:t>Supplementation refers to the addition of pharmaceutical preparations of nutrients (capsules,</w:t>
      </w:r>
      <w:r>
        <w:rPr>
          <w:spacing w:val="1"/>
        </w:rPr>
        <w:t> </w:t>
      </w:r>
      <w:r>
        <w:rPr/>
        <w:t>tablets, or syrups) to the diet. Research has shown supplementation of adequate dosage and</w:t>
      </w:r>
      <w:r>
        <w:rPr>
          <w:spacing w:val="1"/>
        </w:rPr>
        <w:t> </w:t>
      </w:r>
      <w:r>
        <w:rPr/>
        <w:t>duration to be efficacious in treating, correcting, and preventing deficiencies of iron, vitamin A,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iodine</w:t>
      </w:r>
      <w:r>
        <w:rPr>
          <w:spacing w:val="4"/>
        </w:rPr>
        <w:t> </w:t>
      </w:r>
      <w:r>
        <w:rPr/>
        <w:t>for groups</w:t>
      </w:r>
      <w:r>
        <w:rPr>
          <w:spacing w:val="-3"/>
        </w:rPr>
        <w:t> </w:t>
      </w:r>
      <w:r>
        <w:rPr/>
        <w:t>in</w:t>
      </w:r>
      <w:r>
        <w:rPr>
          <w:spacing w:val="-6"/>
        </w:rPr>
        <w:t> </w:t>
      </w:r>
      <w:r>
        <w:rPr/>
        <w:t>which</w:t>
      </w:r>
      <w:r>
        <w:rPr>
          <w:spacing w:val="-5"/>
        </w:rPr>
        <w:t> </w:t>
      </w:r>
      <w:r>
        <w:rPr/>
        <w:t>there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serious</w:t>
      </w:r>
      <w:r>
        <w:rPr>
          <w:spacing w:val="-2"/>
        </w:rPr>
        <w:t> </w:t>
      </w:r>
      <w:r>
        <w:rPr/>
        <w:t>health</w:t>
      </w:r>
      <w:r>
        <w:rPr>
          <w:spacing w:val="-6"/>
        </w:rPr>
        <w:t> </w:t>
      </w:r>
      <w:r>
        <w:rPr/>
        <w:t>problems</w:t>
      </w:r>
      <w:r>
        <w:rPr>
          <w:spacing w:val="-3"/>
        </w:rPr>
        <w:t> </w:t>
      </w:r>
      <w:r>
        <w:rPr/>
        <w:t>(Howson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There</w:t>
      </w:r>
      <w:r>
        <w:rPr>
          <w:spacing w:val="-2"/>
        </w:rPr>
        <w:t> </w:t>
      </w:r>
      <w:r>
        <w:rPr/>
        <w:t>has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60" w:lineRule="auto" w:before="72"/>
        <w:ind w:left="820" w:right="1443"/>
        <w:jc w:val="both"/>
      </w:pPr>
      <w:r>
        <w:rPr/>
        <w:t>been a growing consensus on the need to provide a multiple micronutrient supplement to women</w:t>
      </w:r>
      <w:r>
        <w:rPr>
          <w:spacing w:val="1"/>
        </w:rPr>
        <w:t> </w:t>
      </w:r>
      <w:r>
        <w:rPr/>
        <w:t>on a daily basis during pregnancy and on a weekly basis ahead of pregnancy; there is clear</w:t>
      </w:r>
      <w:r>
        <w:rPr>
          <w:spacing w:val="1"/>
        </w:rPr>
        <w:t> </w:t>
      </w:r>
      <w:r>
        <w:rPr/>
        <w:t>evidence that these nutrients are strongly related to safe motherhood (reducing anemia and other</w:t>
      </w:r>
      <w:r>
        <w:rPr>
          <w:spacing w:val="1"/>
        </w:rPr>
        <w:t> </w:t>
      </w:r>
      <w:r>
        <w:rPr/>
        <w:t>maternal</w:t>
      </w:r>
      <w:r>
        <w:rPr>
          <w:spacing w:val="-3"/>
        </w:rPr>
        <w:t> </w:t>
      </w:r>
      <w:r>
        <w:rPr/>
        <w:t>health</w:t>
      </w:r>
      <w:r>
        <w:rPr>
          <w:spacing w:val="-3"/>
        </w:rPr>
        <w:t> </w:t>
      </w:r>
      <w:r>
        <w:rPr/>
        <w:t>concerns)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pregnancy</w:t>
      </w:r>
      <w:r>
        <w:rPr>
          <w:spacing w:val="-9"/>
        </w:rPr>
        <w:t> </w:t>
      </w:r>
      <w:r>
        <w:rPr/>
        <w:t>outcomes (Mason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 1999).</w:t>
      </w:r>
    </w:p>
    <w:p>
      <w:pPr>
        <w:pStyle w:val="BodyText"/>
        <w:spacing w:line="360" w:lineRule="auto" w:before="201"/>
        <w:ind w:left="820" w:right="1436"/>
        <w:jc w:val="both"/>
      </w:pPr>
      <w:r>
        <w:rPr/>
        <w:t>A major challenge will be to scale up supplementation to a program level that achieves adequacy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coverage,</w:t>
      </w:r>
      <w:r>
        <w:rPr>
          <w:spacing w:val="1"/>
        </w:rPr>
        <w:t> </w:t>
      </w:r>
      <w:r>
        <w:rPr/>
        <w:t>dosage,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dosing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assures</w:t>
      </w:r>
      <w:r>
        <w:rPr>
          <w:spacing w:val="60"/>
        </w:rPr>
        <w:t> </w:t>
      </w:r>
      <w:r>
        <w:rPr/>
        <w:t>effectiveness,</w:t>
      </w:r>
      <w:r>
        <w:rPr>
          <w:spacing w:val="1"/>
        </w:rPr>
        <w:t> </w:t>
      </w:r>
      <w:r>
        <w:rPr/>
        <w:t>representing the combined impact of efficacy and the process of implementation (Howson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1998). Supplementation has traditionally been considered "short- term," although it may usefully</w:t>
      </w:r>
      <w:r>
        <w:rPr>
          <w:spacing w:val="-57"/>
        </w:rPr>
        <w:t> </w:t>
      </w:r>
      <w:r>
        <w:rPr/>
        <w:t>continue until effective alternatives are in place (Howson </w:t>
      </w:r>
      <w:r>
        <w:rPr>
          <w:i/>
        </w:rPr>
        <w:t>et al</w:t>
      </w:r>
      <w:r>
        <w:rPr/>
        <w:t>., 1998).</w:t>
      </w:r>
      <w:r>
        <w:rPr>
          <w:spacing w:val="1"/>
        </w:rPr>
        <w:t> </w:t>
      </w:r>
      <w:r>
        <w:rPr/>
        <w:t>Another challenge is that</w:t>
      </w:r>
      <w:r>
        <w:rPr>
          <w:spacing w:val="1"/>
        </w:rPr>
        <w:t> </w:t>
      </w:r>
      <w:r>
        <w:rPr/>
        <w:t>they would need to be taken regularly and frequently and side effects may be a constraint. Other</w:t>
      </w:r>
      <w:r>
        <w:rPr>
          <w:spacing w:val="1"/>
        </w:rPr>
        <w:t> </w:t>
      </w:r>
      <w:r>
        <w:rPr/>
        <w:t>constraints could include compliance, distribution, counseling, and the simple difficulty of taking</w:t>
      </w:r>
      <w:r>
        <w:rPr>
          <w:spacing w:val="-57"/>
        </w:rPr>
        <w:t> </w:t>
      </w:r>
      <w:r>
        <w:rPr/>
        <w:t>tablets every</w:t>
      </w:r>
      <w:r>
        <w:rPr>
          <w:spacing w:val="-3"/>
        </w:rPr>
        <w:t> </w:t>
      </w:r>
      <w:r>
        <w:rPr/>
        <w:t>day</w:t>
      </w:r>
      <w:r>
        <w:rPr>
          <w:spacing w:val="-8"/>
        </w:rPr>
        <w:t> </w:t>
      </w:r>
      <w:r>
        <w:rPr/>
        <w:t>(Mason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3"/>
        </w:rPr>
        <w:t> </w:t>
      </w:r>
      <w:r>
        <w:rPr>
          <w:i/>
        </w:rPr>
        <w:t>al</w:t>
      </w:r>
      <w:r>
        <w:rPr/>
        <w:t>., 1999).</w:t>
      </w:r>
    </w:p>
    <w:p>
      <w:pPr>
        <w:pStyle w:val="BodyText"/>
        <w:spacing w:line="360" w:lineRule="auto" w:before="197"/>
        <w:ind w:left="820" w:right="1439"/>
        <w:jc w:val="both"/>
      </w:pPr>
      <w:r>
        <w:rPr/>
        <w:t>Strengths of supplementation include its immediate impact on micronutrient status, health, and</w:t>
      </w:r>
      <w:r>
        <w:rPr>
          <w:spacing w:val="1"/>
        </w:rPr>
        <w:t> </w:t>
      </w:r>
      <w:r>
        <w:rPr/>
        <w:t>survival ability. It can achieve rapid coverage in at-risk populations and be linked to the health</w:t>
      </w:r>
      <w:r>
        <w:rPr>
          <w:spacing w:val="1"/>
        </w:rPr>
        <w:t> </w:t>
      </w:r>
      <w:r>
        <w:rPr/>
        <w:t>care delivery system. In addition, the cost of worker training is relatively low, compared, 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dietary</w:t>
      </w:r>
      <w:r>
        <w:rPr>
          <w:spacing w:val="1"/>
        </w:rPr>
        <w:t> </w:t>
      </w:r>
      <w:r>
        <w:rPr/>
        <w:t>modification</w:t>
      </w:r>
      <w:r>
        <w:rPr>
          <w:spacing w:val="1"/>
        </w:rPr>
        <w:t> </w:t>
      </w:r>
      <w:r>
        <w:rPr/>
        <w:t>(Howson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seen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countries where supplementation to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subclinical vitamin</w:t>
      </w:r>
      <w:r>
        <w:rPr>
          <w:spacing w:val="1"/>
        </w:rPr>
        <w:t> </w:t>
      </w:r>
      <w:r>
        <w:rPr/>
        <w:t>A deficiency has also</w:t>
      </w:r>
      <w:r>
        <w:rPr>
          <w:spacing w:val="60"/>
        </w:rPr>
        <w:t> </w:t>
      </w:r>
      <w:r>
        <w:rPr/>
        <w:t>been</w:t>
      </w:r>
      <w:r>
        <w:rPr>
          <w:spacing w:val="1"/>
        </w:rPr>
        <w:t> </w:t>
      </w:r>
      <w:r>
        <w:rPr/>
        <w:t>shown to</w:t>
      </w:r>
      <w:r>
        <w:rPr>
          <w:spacing w:val="1"/>
        </w:rPr>
        <w:t> </w:t>
      </w:r>
      <w:r>
        <w:rPr/>
        <w:t>dramatically reduce</w:t>
      </w:r>
      <w:r>
        <w:rPr>
          <w:spacing w:val="1"/>
        </w:rPr>
        <w:t> </w:t>
      </w:r>
      <w:r>
        <w:rPr/>
        <w:t>maternal mortality (Mason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1999).</w:t>
      </w:r>
      <w:r>
        <w:rPr>
          <w:spacing w:val="1"/>
        </w:rPr>
        <w:t> </w:t>
      </w:r>
      <w:r>
        <w:rPr/>
        <w:t>On the</w:t>
      </w:r>
      <w:r>
        <w:rPr>
          <w:spacing w:val="1"/>
        </w:rPr>
        <w:t> </w:t>
      </w:r>
      <w:r>
        <w:rPr/>
        <w:t>other</w:t>
      </w:r>
      <w:r>
        <w:rPr>
          <w:spacing w:val="60"/>
        </w:rPr>
        <w:t> </w:t>
      </w:r>
      <w:r>
        <w:rPr/>
        <w:t>hand,</w:t>
      </w:r>
      <w:r>
        <w:rPr>
          <w:spacing w:val="1"/>
        </w:rPr>
        <w:t> </w:t>
      </w:r>
      <w:r>
        <w:rPr/>
        <w:t>because of inadequate targeting or coverage, deficient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may not be identified or</w:t>
      </w:r>
      <w:r>
        <w:rPr>
          <w:spacing w:val="1"/>
        </w:rPr>
        <w:t> </w:t>
      </w:r>
      <w:r>
        <w:rPr/>
        <w:t>reached routinely, and many at-risk persons, particularly in rural settings, can be missed. In</w:t>
      </w:r>
      <w:r>
        <w:rPr>
          <w:spacing w:val="1"/>
        </w:rPr>
        <w:t> </w:t>
      </w:r>
      <w:r>
        <w:rPr/>
        <w:t>addition, periodic high coverage has often not been sustained over time for a variety of reasons,</w:t>
      </w:r>
      <w:r>
        <w:rPr>
          <w:spacing w:val="1"/>
        </w:rPr>
        <w:t> </w:t>
      </w:r>
      <w:r>
        <w:rPr/>
        <w:t>including lack of sustained financial or political support or other overriding priorities in a limited</w:t>
      </w:r>
      <w:r>
        <w:rPr>
          <w:spacing w:val="-57"/>
        </w:rPr>
        <w:t> </w:t>
      </w:r>
      <w:r>
        <w:rPr/>
        <w:t>health infrastructure (Howson </w:t>
      </w:r>
      <w:r>
        <w:rPr>
          <w:i/>
        </w:rPr>
        <w:t>et al</w:t>
      </w:r>
      <w:r>
        <w:rPr/>
        <w:t>., 1998). Supplementation is the</w:t>
      </w:r>
      <w:r>
        <w:rPr>
          <w:spacing w:val="1"/>
        </w:rPr>
        <w:t> </w:t>
      </w:r>
      <w:r>
        <w:rPr/>
        <w:t>method of choice when</w:t>
      </w:r>
      <w:r>
        <w:rPr>
          <w:spacing w:val="1"/>
        </w:rPr>
        <w:t> </w:t>
      </w:r>
      <w:r>
        <w:rPr/>
        <w:t>therapeutic</w:t>
      </w:r>
      <w:r>
        <w:rPr>
          <w:spacing w:val="-1"/>
        </w:rPr>
        <w:t> </w:t>
      </w:r>
      <w:r>
        <w:rPr/>
        <w:t>treatment</w:t>
      </w:r>
      <w:r>
        <w:rPr>
          <w:spacing w:val="10"/>
        </w:rPr>
        <w:t> </w:t>
      </w:r>
      <w:r>
        <w:rPr/>
        <w:t>is</w:t>
      </w:r>
      <w:r>
        <w:rPr>
          <w:spacing w:val="3"/>
        </w:rPr>
        <w:t> </w:t>
      </w:r>
      <w:r>
        <w:rPr/>
        <w:t>necessary</w:t>
      </w:r>
      <w:r>
        <w:rPr>
          <w:spacing w:val="-9"/>
        </w:rPr>
        <w:t> </w:t>
      </w:r>
      <w:r>
        <w:rPr/>
        <w:t>to</w:t>
      </w:r>
      <w:r>
        <w:rPr>
          <w:spacing w:val="5"/>
        </w:rPr>
        <w:t> </w:t>
      </w:r>
      <w:r>
        <w:rPr/>
        <w:t>address</w:t>
      </w:r>
      <w:r>
        <w:rPr>
          <w:spacing w:val="-2"/>
        </w:rPr>
        <w:t> </w:t>
      </w:r>
      <w:r>
        <w:rPr/>
        <w:t>severe</w:t>
      </w:r>
      <w:r>
        <w:rPr>
          <w:spacing w:val="4"/>
        </w:rPr>
        <w:t> </w:t>
      </w:r>
      <w:r>
        <w:rPr/>
        <w:t>micronutrient</w:t>
      </w:r>
      <w:r>
        <w:rPr>
          <w:spacing w:val="5"/>
        </w:rPr>
        <w:t> </w:t>
      </w:r>
      <w:r>
        <w:rPr/>
        <w:t>deficiency.</w:t>
      </w:r>
    </w:p>
    <w:p>
      <w:pPr>
        <w:pStyle w:val="Heading1"/>
        <w:numPr>
          <w:ilvl w:val="2"/>
          <w:numId w:val="14"/>
        </w:numPr>
        <w:tabs>
          <w:tab w:pos="1482" w:val="left" w:leader="none"/>
        </w:tabs>
        <w:spacing w:line="240" w:lineRule="auto" w:before="202" w:after="0"/>
        <w:ind w:left="1481" w:right="0" w:hanging="662"/>
        <w:jc w:val="both"/>
      </w:pPr>
      <w:bookmarkStart w:name="_TOC_250004" w:id="50"/>
      <w:bookmarkEnd w:id="50"/>
      <w:r>
        <w:rPr/>
        <w:t>Education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46"/>
        <w:jc w:val="both"/>
      </w:pPr>
      <w:r>
        <w:rPr/>
        <w:t>Another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overcoming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micronutrient</w:t>
      </w:r>
      <w:r>
        <w:rPr>
          <w:spacing w:val="1"/>
        </w:rPr>
        <w:t> </w:t>
      </w:r>
      <w:r>
        <w:rPr/>
        <w:t>deficiencies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Nigerians or other potentially affected population should be educated to make small changes 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diets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eating</w:t>
      </w:r>
      <w:r>
        <w:rPr>
          <w:spacing w:val="1"/>
        </w:rPr>
        <w:t> </w:t>
      </w:r>
      <w:r>
        <w:rPr/>
        <w:t>habits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protect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against</w:t>
      </w:r>
      <w:r>
        <w:rPr>
          <w:spacing w:val="60"/>
        </w:rPr>
        <w:t> </w:t>
      </w:r>
      <w:r>
        <w:rPr/>
        <w:t>deficiencies</w:t>
      </w:r>
      <w:r>
        <w:rPr>
          <w:spacing w:val="1"/>
        </w:rPr>
        <w:t> </w:t>
      </w:r>
      <w:r>
        <w:rPr/>
        <w:t>(Howson</w:t>
      </w:r>
      <w:r>
        <w:rPr>
          <w:spacing w:val="59"/>
        </w:rPr>
        <w:t> </w:t>
      </w:r>
      <w:r>
        <w:rPr>
          <w:i/>
        </w:rPr>
        <w:t>et</w:t>
      </w:r>
      <w:r>
        <w:rPr>
          <w:i/>
          <w:spacing w:val="5"/>
        </w:rPr>
        <w:t> </w:t>
      </w:r>
      <w:r>
        <w:rPr>
          <w:i/>
        </w:rPr>
        <w:t>al</w:t>
      </w:r>
      <w:r>
        <w:rPr/>
        <w:t>.,</w:t>
      </w:r>
      <w:r>
        <w:rPr>
          <w:spacing w:val="6"/>
        </w:rPr>
        <w:t> </w:t>
      </w:r>
      <w:r>
        <w:rPr/>
        <w:t>1998).</w:t>
      </w:r>
      <w:r>
        <w:rPr>
          <w:spacing w:val="6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2"/>
        </w:rPr>
        <w:t> </w:t>
      </w:r>
      <w:r>
        <w:rPr/>
        <w:t>task,</w:t>
      </w:r>
      <w:r>
        <w:rPr>
          <w:spacing w:val="6"/>
        </w:rPr>
        <w:t> </w:t>
      </w:r>
      <w:r>
        <w:rPr/>
        <w:t>the</w:t>
      </w:r>
      <w:r>
        <w:rPr>
          <w:spacing w:val="3"/>
        </w:rPr>
        <w:t> </w:t>
      </w:r>
      <w:r>
        <w:rPr/>
        <w:t>Ministry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Health</w:t>
      </w:r>
      <w:r>
        <w:rPr>
          <w:spacing w:val="5"/>
        </w:rPr>
        <w:t> </w:t>
      </w:r>
      <w:r>
        <w:rPr/>
        <w:t>in</w:t>
      </w:r>
      <w:r>
        <w:rPr>
          <w:spacing w:val="4"/>
        </w:rPr>
        <w:t> </w:t>
      </w:r>
      <w:r>
        <w:rPr/>
        <w:t>collaboration  with  private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57" w:lineRule="auto" w:before="72"/>
        <w:ind w:left="820" w:right="1438"/>
        <w:jc w:val="both"/>
      </w:pPr>
      <w:r>
        <w:rPr/>
        <w:t>organisations and companies hold a responsibility for educating people about the benefits of food</w:t>
      </w:r>
      <w:r>
        <w:rPr>
          <w:spacing w:val="-57"/>
        </w:rPr>
        <w:t> </w:t>
      </w:r>
      <w:r>
        <w:rPr/>
        <w:t>fortification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campaigns,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messages,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nutrition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programmes</w:t>
      </w:r>
      <w:r>
        <w:rPr>
          <w:spacing w:val="-1"/>
        </w:rPr>
        <w:t> </w:t>
      </w:r>
      <w:r>
        <w:rPr/>
        <w:t>through</w:t>
      </w:r>
      <w:r>
        <w:rPr>
          <w:spacing w:val="-3"/>
        </w:rPr>
        <w:t> </w:t>
      </w:r>
      <w:r>
        <w:rPr/>
        <w:t>primary</w:t>
      </w:r>
      <w:r>
        <w:rPr>
          <w:spacing w:val="-8"/>
        </w:rPr>
        <w:t> </w:t>
      </w:r>
      <w:r>
        <w:rPr/>
        <w:t>and</w:t>
      </w:r>
      <w:r>
        <w:rPr>
          <w:spacing w:val="2"/>
        </w:rPr>
        <w:t> </w:t>
      </w:r>
      <w:r>
        <w:rPr/>
        <w:t>secondary</w:t>
      </w:r>
      <w:r>
        <w:rPr>
          <w:spacing w:val="-8"/>
        </w:rPr>
        <w:t> </w:t>
      </w:r>
      <w:r>
        <w:rPr/>
        <w:t>schools.</w:t>
      </w:r>
    </w:p>
    <w:p>
      <w:pPr>
        <w:pStyle w:val="Heading1"/>
        <w:numPr>
          <w:ilvl w:val="2"/>
          <w:numId w:val="14"/>
        </w:numPr>
        <w:tabs>
          <w:tab w:pos="1482" w:val="left" w:leader="none"/>
        </w:tabs>
        <w:spacing w:line="240" w:lineRule="auto" w:before="206" w:after="0"/>
        <w:ind w:left="1481" w:right="0" w:hanging="662"/>
        <w:jc w:val="left"/>
      </w:pPr>
      <w:bookmarkStart w:name="_TOC_250003" w:id="51"/>
      <w:r>
        <w:rPr/>
        <w:t>Agricultural</w:t>
      </w:r>
      <w:r>
        <w:rPr>
          <w:spacing w:val="-10"/>
        </w:rPr>
        <w:t> </w:t>
      </w:r>
      <w:bookmarkEnd w:id="51"/>
      <w:r>
        <w:rPr/>
        <w:t>interventions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38"/>
        <w:jc w:val="both"/>
      </w:pPr>
      <w:r>
        <w:rPr/>
        <w:t>The goals of these are to increase the concentration of micronutrients and/or the efficiency of</w:t>
      </w:r>
      <w:r>
        <w:rPr>
          <w:spacing w:val="1"/>
        </w:rPr>
        <w:t> </w:t>
      </w:r>
      <w:r>
        <w:rPr/>
        <w:t>their utilization in the crop, decrease the concentration of absorption inhibitors such as phytates</w:t>
      </w:r>
      <w:r>
        <w:rPr>
          <w:spacing w:val="1"/>
        </w:rPr>
        <w:t> </w:t>
      </w:r>
      <w:r>
        <w:rPr/>
        <w:t>and increase the amount of promoter compounds (for iron and zinc in particular) such as sulphur</w:t>
      </w:r>
      <w:r>
        <w:rPr>
          <w:spacing w:val="1"/>
        </w:rPr>
        <w:t> </w:t>
      </w:r>
      <w:r>
        <w:rPr/>
        <w:t>containing amino acids. The technologies span from the selection of naturally occurring genetic</w:t>
      </w:r>
      <w:r>
        <w:rPr>
          <w:spacing w:val="1"/>
        </w:rPr>
        <w:t> </w:t>
      </w:r>
      <w:r>
        <w:rPr/>
        <w:t>variants with relatively high metabolic efficiency in the use of elements such as zinc; genetic</w:t>
      </w:r>
      <w:r>
        <w:rPr>
          <w:spacing w:val="1"/>
        </w:rPr>
        <w:t> </w:t>
      </w:r>
      <w:r>
        <w:rPr/>
        <w:t>modification of plants; and the creation of new</w:t>
      </w:r>
      <w:r>
        <w:rPr>
          <w:spacing w:val="1"/>
        </w:rPr>
        <w:t> </w:t>
      </w:r>
      <w:r>
        <w:rPr/>
        <w:t>foods using biotechnology to</w:t>
      </w:r>
      <w:r>
        <w:rPr>
          <w:spacing w:val="1"/>
        </w:rPr>
        <w:t> </w:t>
      </w:r>
      <w:r>
        <w:rPr/>
        <w:t>micronutrient</w:t>
      </w:r>
      <w:r>
        <w:rPr>
          <w:spacing w:val="1"/>
        </w:rPr>
        <w:t> </w:t>
      </w:r>
      <w:r>
        <w:rPr/>
        <w:t>fortification of fertilizers (Brown, 1998). Although extensive use of phosphorous-containing</w:t>
      </w:r>
      <w:r>
        <w:rPr>
          <w:spacing w:val="1"/>
        </w:rPr>
        <w:t> </w:t>
      </w:r>
      <w:r>
        <w:rPr/>
        <w:t>fertilizers is necessary for high yields of cereals, it can also induce zinc deficiency in crops,</w:t>
      </w:r>
      <w:r>
        <w:rPr>
          <w:spacing w:val="1"/>
        </w:rPr>
        <w:t> </w:t>
      </w:r>
      <w:r>
        <w:rPr/>
        <w:t>especially in many of the new high yielding varieties, and may also increase the phytate content</w:t>
      </w:r>
      <w:r>
        <w:rPr>
          <w:spacing w:val="1"/>
        </w:rPr>
        <w:t> </w:t>
      </w:r>
      <w:r>
        <w:rPr/>
        <w:t>of the grain used for human consumption. Adding zinc sulphate to zinc deficient soils can</w:t>
      </w:r>
      <w:r>
        <w:rPr>
          <w:spacing w:val="1"/>
        </w:rPr>
        <w:t> </w:t>
      </w:r>
      <w:r>
        <w:rPr/>
        <w:t>increase crop yields substantially and also, to some extent, increase the zinc content of the edible</w:t>
      </w:r>
      <w:r>
        <w:rPr>
          <w:spacing w:val="1"/>
        </w:rPr>
        <w:t> </w:t>
      </w:r>
      <w:r>
        <w:rPr/>
        <w:t>portions of the plants. This is an example of an agricultural intervention where producers benefit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consumers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substantial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benefit.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challenges.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interested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cultivars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micronutrient</w:t>
      </w:r>
      <w:r>
        <w:rPr>
          <w:spacing w:val="1"/>
        </w:rPr>
        <w:t> </w:t>
      </w:r>
      <w:r>
        <w:rPr/>
        <w:t>concentrations or utilization efficiency but little or no yield advantage? Will the target population</w:t>
      </w:r>
      <w:r>
        <w:rPr>
          <w:spacing w:val="-57"/>
        </w:rPr>
        <w:t> </w:t>
      </w:r>
      <w:r>
        <w:rPr/>
        <w:t>have access to or accept these new</w:t>
      </w:r>
      <w:r>
        <w:rPr>
          <w:spacing w:val="1"/>
        </w:rPr>
        <w:t> </w:t>
      </w:r>
      <w:r>
        <w:rPr/>
        <w:t>foods? Moreover, strategies that</w:t>
      </w:r>
      <w:r>
        <w:rPr>
          <w:spacing w:val="60"/>
        </w:rPr>
        <w:t> </w:t>
      </w:r>
      <w:r>
        <w:rPr/>
        <w:t>increase the concentrations</w:t>
      </w:r>
      <w:r>
        <w:rPr>
          <w:spacing w:val="1"/>
        </w:rPr>
        <w:t> </w:t>
      </w:r>
      <w:r>
        <w:rPr/>
        <w:t>of some</w:t>
      </w:r>
      <w:r>
        <w:rPr>
          <w:spacing w:val="1"/>
        </w:rPr>
        <w:t> </w:t>
      </w:r>
      <w:r>
        <w:rPr/>
        <w:t>micronutrients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bioavailability</w:t>
      </w:r>
      <w:r>
        <w:rPr>
          <w:spacing w:val="1"/>
        </w:rPr>
        <w:t> </w:t>
      </w:r>
      <w:r>
        <w:rPr/>
        <w:t>of others,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antagonism may be observed between copper, zinc and manganese. There is wide agreement in</w:t>
      </w:r>
      <w:r>
        <w:rPr>
          <w:spacing w:val="1"/>
        </w:rPr>
        <w:t> </w:t>
      </w:r>
      <w:r>
        <w:rPr/>
        <w:t>support of food-based approaches as the</w:t>
      </w:r>
      <w:r>
        <w:rPr>
          <w:spacing w:val="1"/>
        </w:rPr>
        <w:t> </w:t>
      </w:r>
      <w:r>
        <w:rPr/>
        <w:t>long-term strategy for</w:t>
      </w:r>
      <w:r>
        <w:rPr>
          <w:spacing w:val="1"/>
        </w:rPr>
        <w:t> </w:t>
      </w:r>
      <w:r>
        <w:rPr/>
        <w:t>improving</w:t>
      </w:r>
      <w:r>
        <w:rPr>
          <w:spacing w:val="60"/>
        </w:rPr>
        <w:t> </w:t>
      </w:r>
      <w:r>
        <w:rPr/>
        <w:t>nutrition in general</w:t>
      </w:r>
      <w:r>
        <w:rPr>
          <w:spacing w:val="1"/>
        </w:rPr>
        <w:t> </w:t>
      </w:r>
      <w:r>
        <w:rPr/>
        <w:t>and</w:t>
      </w:r>
      <w:r>
        <w:rPr>
          <w:spacing w:val="6"/>
        </w:rPr>
        <w:t> </w:t>
      </w:r>
      <w:r>
        <w:rPr/>
        <w:t>micronutriture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particular.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spacing w:line="535" w:lineRule="auto"/>
        <w:ind w:left="3839" w:right="4451" w:firstLine="984"/>
        <w:jc w:val="left"/>
      </w:pPr>
      <w:r>
        <w:rPr/>
        <w:t>CHAPTER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MATERIALS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METHODS</w:t>
      </w:r>
    </w:p>
    <w:p>
      <w:pPr>
        <w:pStyle w:val="Heading1"/>
        <w:spacing w:line="274" w:lineRule="exact" w:before="0"/>
        <w:ind w:left="4765"/>
        <w:jc w:val="left"/>
      </w:pPr>
      <w:bookmarkStart w:name="_TOC_250002" w:id="52"/>
      <w:r>
        <w:rPr/>
        <w:t>3.1</w:t>
      </w:r>
      <w:r>
        <w:rPr>
          <w:spacing w:val="52"/>
        </w:rPr>
        <w:t> </w:t>
      </w:r>
      <w:bookmarkEnd w:id="52"/>
      <w:r>
        <w:rPr/>
        <w:t>Materials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Heading1"/>
        <w:numPr>
          <w:ilvl w:val="2"/>
          <w:numId w:val="26"/>
        </w:numPr>
        <w:tabs>
          <w:tab w:pos="1482" w:val="left" w:leader="none"/>
        </w:tabs>
        <w:spacing w:line="240" w:lineRule="auto" w:before="90" w:after="0"/>
        <w:ind w:left="1481" w:right="0" w:hanging="662"/>
        <w:jc w:val="both"/>
      </w:pPr>
      <w:bookmarkStart w:name="_TOC_250001" w:id="53"/>
      <w:r>
        <w:rPr/>
        <w:t>Site/Study</w:t>
      </w:r>
      <w:r>
        <w:rPr>
          <w:spacing w:val="-8"/>
        </w:rPr>
        <w:t> </w:t>
      </w:r>
      <w:bookmarkEnd w:id="53"/>
      <w:r>
        <w:rPr/>
        <w:t>Area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57" w:lineRule="auto" w:before="1"/>
        <w:ind w:left="820" w:right="1437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Haematology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60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Hospital (ABUTH),</w:t>
      </w:r>
      <w:r>
        <w:rPr>
          <w:spacing w:val="1"/>
        </w:rPr>
        <w:t> </w:t>
      </w:r>
      <w:r>
        <w:rPr/>
        <w:t>Shika,</w:t>
      </w:r>
      <w:r>
        <w:rPr>
          <w:spacing w:val="1"/>
        </w:rPr>
        <w:t> </w:t>
      </w:r>
      <w:r>
        <w:rPr/>
        <w:t>Zaria.</w:t>
      </w:r>
      <w:r>
        <w:rPr>
          <w:spacing w:val="1"/>
        </w:rPr>
        <w:t> </w:t>
      </w:r>
      <w:r>
        <w:rPr/>
        <w:t>ABUTH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tertiary</w:t>
      </w:r>
      <w:r>
        <w:rPr>
          <w:spacing w:val="1"/>
        </w:rPr>
        <w:t> </w:t>
      </w:r>
      <w:r>
        <w:rPr/>
        <w:t>institution that</w:t>
      </w:r>
      <w:r>
        <w:rPr>
          <w:spacing w:val="1"/>
        </w:rPr>
        <w:t> </w:t>
      </w:r>
      <w:r>
        <w:rPr/>
        <w:t>comprises</w:t>
      </w:r>
      <w:r>
        <w:rPr>
          <w:spacing w:val="1"/>
        </w:rPr>
        <w:t> </w:t>
      </w:r>
      <w:r>
        <w:rPr/>
        <w:t>various specialised units. In collaboration with other departments, the Haematology Department</w:t>
      </w:r>
      <w:r>
        <w:rPr>
          <w:spacing w:val="1"/>
        </w:rPr>
        <w:t> </w:t>
      </w:r>
      <w:r>
        <w:rPr/>
        <w:t>hosts</w:t>
      </w:r>
      <w:r>
        <w:rPr>
          <w:spacing w:val="-1"/>
        </w:rPr>
        <w:t> </w:t>
      </w:r>
      <w:r>
        <w:rPr/>
        <w:t>referrals</w:t>
      </w:r>
      <w:r>
        <w:rPr>
          <w:spacing w:val="5"/>
        </w:rPr>
        <w:t> </w:t>
      </w:r>
      <w:r>
        <w:rPr/>
        <w:t>from</w:t>
      </w:r>
      <w:r>
        <w:rPr>
          <w:spacing w:val="-7"/>
        </w:rPr>
        <w:t> </w:t>
      </w:r>
      <w:r>
        <w:rPr/>
        <w:t>within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outside</w:t>
      </w:r>
      <w:r>
        <w:rPr>
          <w:spacing w:val="1"/>
        </w:rPr>
        <w:t> </w:t>
      </w:r>
      <w:r>
        <w:rPr/>
        <w:t>Nigeria.</w:t>
      </w:r>
    </w:p>
    <w:p>
      <w:pPr>
        <w:pStyle w:val="Heading1"/>
        <w:numPr>
          <w:ilvl w:val="2"/>
          <w:numId w:val="26"/>
        </w:numPr>
        <w:tabs>
          <w:tab w:pos="1544" w:val="left" w:leader="none"/>
        </w:tabs>
        <w:spacing w:line="240" w:lineRule="auto" w:before="208" w:after="0"/>
        <w:ind w:left="1543" w:right="0" w:hanging="724"/>
        <w:jc w:val="both"/>
      </w:pPr>
      <w:bookmarkStart w:name="_TOC_250000" w:id="54"/>
      <w:r>
        <w:rPr/>
        <w:t>Study</w:t>
      </w:r>
      <w:r>
        <w:rPr>
          <w:spacing w:val="-6"/>
        </w:rPr>
        <w:t> </w:t>
      </w:r>
      <w:bookmarkEnd w:id="54"/>
      <w:r>
        <w:rPr/>
        <w:t>population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/>
        <w:ind w:left="820" w:right="1435"/>
        <w:jc w:val="both"/>
      </w:pPr>
      <w:r>
        <w:rPr/>
        <w:t>The study population comprised three groups: SCD patients in painful crises, SCD patients in</w:t>
      </w:r>
      <w:r>
        <w:rPr>
          <w:spacing w:val="1"/>
        </w:rPr>
        <w:t> </w:t>
      </w:r>
      <w:r>
        <w:rPr/>
        <w:t>steady state (not in crises), and healthy volunteers with genotype HbAA. In this study, SCD</w:t>
      </w:r>
      <w:r>
        <w:rPr>
          <w:spacing w:val="1"/>
        </w:rPr>
        <w:t> </w:t>
      </w:r>
      <w:r>
        <w:rPr/>
        <w:t>patients in painful crises are those subjects who had pains at the time of recruitment or within 48</w:t>
      </w:r>
      <w:r>
        <w:rPr>
          <w:spacing w:val="1"/>
        </w:rPr>
        <w:t> </w:t>
      </w:r>
      <w:r>
        <w:rPr/>
        <w:t>hours before recruitment in any of their limbs (Temiye </w:t>
      </w:r>
      <w:r>
        <w:rPr>
          <w:i/>
        </w:rPr>
        <w:t>et al</w:t>
      </w:r>
      <w:r>
        <w:rPr/>
        <w:t>., 2011), while steady state were</w:t>
      </w:r>
      <w:r>
        <w:rPr>
          <w:spacing w:val="1"/>
        </w:rPr>
        <w:t> </w:t>
      </w:r>
      <w:r>
        <w:rPr/>
        <w:t>subjects who were apparently well without evidence of recent infection, bone pain, or other</w:t>
      </w:r>
      <w:r>
        <w:rPr>
          <w:spacing w:val="1"/>
        </w:rPr>
        <w:t> </w:t>
      </w:r>
      <w:r>
        <w:rPr/>
        <w:t>apparent</w:t>
      </w:r>
      <w:r>
        <w:rPr>
          <w:spacing w:val="4"/>
        </w:rPr>
        <w:t> </w:t>
      </w:r>
      <w:r>
        <w:rPr/>
        <w:t>disease</w:t>
      </w:r>
      <w:r>
        <w:rPr>
          <w:spacing w:val="-1"/>
        </w:rPr>
        <w:t> </w:t>
      </w:r>
      <w:r>
        <w:rPr/>
        <w:t>processes</w:t>
      </w:r>
      <w:r>
        <w:rPr>
          <w:spacing w:val="3"/>
        </w:rPr>
        <w:t> </w:t>
      </w:r>
      <w:r>
        <w:rPr/>
        <w:t>for</w:t>
      </w:r>
      <w:r>
        <w:rPr>
          <w:spacing w:val="1"/>
        </w:rPr>
        <w:t> </w:t>
      </w:r>
      <w:r>
        <w:rPr/>
        <w:t>at</w:t>
      </w:r>
      <w:r>
        <w:rPr>
          <w:spacing w:val="5"/>
        </w:rPr>
        <w:t> </w:t>
      </w:r>
      <w:r>
        <w:rPr/>
        <w:t>least</w:t>
      </w:r>
      <w:r>
        <w:rPr>
          <w:spacing w:val="5"/>
        </w:rPr>
        <w:t> </w:t>
      </w:r>
      <w:r>
        <w:rPr/>
        <w:t>4</w:t>
      </w:r>
      <w:r>
        <w:rPr>
          <w:spacing w:val="-5"/>
        </w:rPr>
        <w:t> </w:t>
      </w:r>
      <w:r>
        <w:rPr/>
        <w:t>weeks</w:t>
      </w:r>
      <w:r>
        <w:rPr>
          <w:spacing w:val="-2"/>
        </w:rPr>
        <w:t> </w:t>
      </w:r>
      <w:r>
        <w:rPr/>
        <w:t>before</w:t>
      </w:r>
      <w:r>
        <w:rPr>
          <w:spacing w:val="-6"/>
        </w:rPr>
        <w:t> </w:t>
      </w:r>
      <w:r>
        <w:rPr/>
        <w:t>recruitment</w:t>
      </w:r>
      <w:r>
        <w:rPr>
          <w:spacing w:val="5"/>
        </w:rPr>
        <w:t> </w:t>
      </w:r>
      <w:r>
        <w:rPr/>
        <w:t>(Juwah </w:t>
      </w:r>
      <w:r>
        <w:rPr>
          <w:i/>
        </w:rPr>
        <w:t>et al</w:t>
      </w:r>
      <w:r>
        <w:rPr/>
        <w:t>.,</w:t>
      </w:r>
      <w:r>
        <w:rPr>
          <w:spacing w:val="-2"/>
        </w:rPr>
        <w:t> </w:t>
      </w:r>
      <w:r>
        <w:rPr/>
        <w:t>2004).</w:t>
      </w:r>
    </w:p>
    <w:p>
      <w:pPr>
        <w:pStyle w:val="Heading2"/>
        <w:numPr>
          <w:ilvl w:val="3"/>
          <w:numId w:val="26"/>
        </w:numPr>
        <w:tabs>
          <w:tab w:pos="1664" w:val="left" w:leader="none"/>
        </w:tabs>
        <w:spacing w:line="240" w:lineRule="auto" w:before="200" w:after="0"/>
        <w:ind w:left="1663" w:right="0" w:hanging="844"/>
        <w:jc w:val="both"/>
      </w:pPr>
      <w:r>
        <w:rPr/>
        <w:t>Inclusion</w:t>
      </w:r>
      <w:r>
        <w:rPr>
          <w:spacing w:val="-3"/>
        </w:rPr>
        <w:t> </w:t>
      </w:r>
      <w:r>
        <w:rPr/>
        <w:t>criteria</w:t>
      </w:r>
    </w:p>
    <w:p>
      <w:pPr>
        <w:pStyle w:val="BodyText"/>
        <w:spacing w:before="5"/>
        <w:rPr>
          <w:b/>
          <w:i/>
          <w:sz w:val="29"/>
        </w:rPr>
      </w:pPr>
    </w:p>
    <w:p>
      <w:pPr>
        <w:pStyle w:val="BodyText"/>
        <w:spacing w:line="355" w:lineRule="auto"/>
        <w:ind w:left="820" w:right="1449"/>
        <w:jc w:val="both"/>
      </w:pPr>
      <w:r>
        <w:rPr/>
        <w:t>Sickle cell patients who attended sickle cell clinic at the Department of Haematology, Ahmadu</w:t>
      </w:r>
      <w:r>
        <w:rPr>
          <w:spacing w:val="1"/>
        </w:rPr>
        <w:t> </w:t>
      </w:r>
      <w:r>
        <w:rPr/>
        <w:t>Bello</w:t>
      </w:r>
      <w:r>
        <w:rPr>
          <w:spacing w:val="6"/>
        </w:rPr>
        <w:t> </w:t>
      </w:r>
      <w:r>
        <w:rPr/>
        <w:t>University</w:t>
      </w:r>
      <w:r>
        <w:rPr>
          <w:spacing w:val="-9"/>
        </w:rPr>
        <w:t> </w:t>
      </w:r>
      <w:r>
        <w:rPr/>
        <w:t>Teaching</w:t>
      </w:r>
      <w:r>
        <w:rPr>
          <w:spacing w:val="1"/>
        </w:rPr>
        <w:t> </w:t>
      </w:r>
      <w:r>
        <w:rPr/>
        <w:t>Hospital</w:t>
      </w:r>
      <w:r>
        <w:rPr>
          <w:spacing w:val="-7"/>
        </w:rPr>
        <w:t> </w:t>
      </w:r>
      <w:r>
        <w:rPr/>
        <w:t>(ABUTH),</w:t>
      </w:r>
      <w:r>
        <w:rPr>
          <w:spacing w:val="3"/>
        </w:rPr>
        <w:t> </w:t>
      </w:r>
      <w:r>
        <w:rPr/>
        <w:t>Shika,</w:t>
      </w:r>
      <w:r>
        <w:rPr>
          <w:spacing w:val="3"/>
        </w:rPr>
        <w:t> </w:t>
      </w:r>
      <w:r>
        <w:rPr/>
        <w:t>Zaria and</w:t>
      </w:r>
      <w:r>
        <w:rPr>
          <w:spacing w:val="2"/>
        </w:rPr>
        <w:t> </w:t>
      </w:r>
      <w:r>
        <w:rPr/>
        <w:t>who:</w:t>
      </w:r>
    </w:p>
    <w:p>
      <w:pPr>
        <w:pStyle w:val="ListParagraph"/>
        <w:numPr>
          <w:ilvl w:val="4"/>
          <w:numId w:val="26"/>
        </w:numPr>
        <w:tabs>
          <w:tab w:pos="1539" w:val="left" w:leader="none"/>
          <w:tab w:pos="1540" w:val="left" w:leader="none"/>
        </w:tabs>
        <w:spacing w:line="240" w:lineRule="auto" w:before="205" w:after="0"/>
        <w:ind w:left="1540" w:right="0" w:hanging="485"/>
        <w:jc w:val="left"/>
        <w:rPr>
          <w:sz w:val="24"/>
        </w:rPr>
      </w:pPr>
      <w:r>
        <w:rPr>
          <w:sz w:val="24"/>
        </w:rPr>
        <w:t>Had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been</w:t>
      </w:r>
      <w:r>
        <w:rPr>
          <w:spacing w:val="-7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any</w:t>
      </w:r>
      <w:r>
        <w:rPr>
          <w:spacing w:val="-7"/>
          <w:sz w:val="24"/>
        </w:rPr>
        <w:t> </w:t>
      </w:r>
      <w:r>
        <w:rPr>
          <w:sz w:val="24"/>
        </w:rPr>
        <w:t>magnesium, zinc, copper,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-4"/>
          <w:sz w:val="24"/>
        </w:rPr>
        <w:t> </w:t>
      </w:r>
      <w:r>
        <w:rPr>
          <w:sz w:val="24"/>
        </w:rPr>
        <w:t>iron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-5"/>
          <w:sz w:val="24"/>
        </w:rPr>
        <w:t> </w:t>
      </w:r>
      <w:r>
        <w:rPr>
          <w:sz w:val="24"/>
        </w:rPr>
        <w:t>containing</w:t>
      </w:r>
      <w:r>
        <w:rPr>
          <w:spacing w:val="3"/>
          <w:sz w:val="24"/>
        </w:rPr>
        <w:t> </w:t>
      </w:r>
      <w:r>
        <w:rPr>
          <w:sz w:val="24"/>
        </w:rPr>
        <w:t>medications.</w:t>
      </w:r>
    </w:p>
    <w:p>
      <w:pPr>
        <w:pStyle w:val="BodyText"/>
        <w:spacing w:before="10"/>
        <w:rPr>
          <w:sz w:val="29"/>
        </w:rPr>
      </w:pPr>
    </w:p>
    <w:p>
      <w:pPr>
        <w:pStyle w:val="ListParagraph"/>
        <w:numPr>
          <w:ilvl w:val="4"/>
          <w:numId w:val="26"/>
        </w:numPr>
        <w:tabs>
          <w:tab w:pos="1539" w:val="left" w:leader="none"/>
          <w:tab w:pos="1540" w:val="left" w:leader="none"/>
        </w:tabs>
        <w:spacing w:line="360" w:lineRule="auto" w:before="0" w:after="0"/>
        <w:ind w:left="1540" w:right="1448" w:hanging="552"/>
        <w:jc w:val="left"/>
        <w:rPr>
          <w:sz w:val="24"/>
        </w:rPr>
      </w:pPr>
      <w:r>
        <w:rPr>
          <w:sz w:val="24"/>
        </w:rPr>
        <w:t>Had</w:t>
      </w:r>
      <w:r>
        <w:rPr>
          <w:spacing w:val="52"/>
          <w:sz w:val="24"/>
        </w:rPr>
        <w:t> </w:t>
      </w:r>
      <w:r>
        <w:rPr>
          <w:sz w:val="24"/>
        </w:rPr>
        <w:t>not</w:t>
      </w:r>
      <w:r>
        <w:rPr>
          <w:spacing w:val="53"/>
          <w:sz w:val="24"/>
        </w:rPr>
        <w:t> </w:t>
      </w:r>
      <w:r>
        <w:rPr>
          <w:sz w:val="24"/>
        </w:rPr>
        <w:t>been</w:t>
      </w:r>
      <w:r>
        <w:rPr>
          <w:spacing w:val="43"/>
          <w:sz w:val="24"/>
        </w:rPr>
        <w:t> </w:t>
      </w:r>
      <w:r>
        <w:rPr>
          <w:sz w:val="24"/>
        </w:rPr>
        <w:t>transfused</w:t>
      </w:r>
      <w:r>
        <w:rPr>
          <w:spacing w:val="49"/>
          <w:sz w:val="24"/>
        </w:rPr>
        <w:t> </w:t>
      </w:r>
      <w:r>
        <w:rPr>
          <w:sz w:val="24"/>
        </w:rPr>
        <w:t>with</w:t>
      </w:r>
      <w:r>
        <w:rPr>
          <w:spacing w:val="48"/>
          <w:sz w:val="24"/>
        </w:rPr>
        <w:t> </w:t>
      </w:r>
      <w:r>
        <w:rPr>
          <w:sz w:val="24"/>
        </w:rPr>
        <w:t>blood</w:t>
      </w:r>
      <w:r>
        <w:rPr>
          <w:spacing w:val="48"/>
          <w:sz w:val="24"/>
        </w:rPr>
        <w:t> </w:t>
      </w:r>
      <w:r>
        <w:rPr>
          <w:sz w:val="24"/>
        </w:rPr>
        <w:t>or</w:t>
      </w:r>
      <w:r>
        <w:rPr>
          <w:spacing w:val="50"/>
          <w:sz w:val="24"/>
        </w:rPr>
        <w:t> </w:t>
      </w:r>
      <w:r>
        <w:rPr>
          <w:sz w:val="24"/>
        </w:rPr>
        <w:t>blood</w:t>
      </w:r>
      <w:r>
        <w:rPr>
          <w:spacing w:val="48"/>
          <w:sz w:val="24"/>
        </w:rPr>
        <w:t> </w:t>
      </w:r>
      <w:r>
        <w:rPr>
          <w:sz w:val="24"/>
        </w:rPr>
        <w:t>products</w:t>
      </w:r>
      <w:r>
        <w:rPr>
          <w:spacing w:val="46"/>
          <w:sz w:val="24"/>
        </w:rPr>
        <w:t> </w:t>
      </w:r>
      <w:r>
        <w:rPr>
          <w:sz w:val="24"/>
        </w:rPr>
        <w:t>in</w:t>
      </w:r>
      <w:r>
        <w:rPr>
          <w:spacing w:val="49"/>
          <w:sz w:val="24"/>
        </w:rPr>
        <w:t> </w:t>
      </w:r>
      <w:r>
        <w:rPr>
          <w:sz w:val="24"/>
        </w:rPr>
        <w:t>the</w:t>
      </w:r>
      <w:r>
        <w:rPr>
          <w:spacing w:val="47"/>
          <w:sz w:val="24"/>
        </w:rPr>
        <w:t> </w:t>
      </w:r>
      <w:r>
        <w:rPr>
          <w:sz w:val="24"/>
        </w:rPr>
        <w:t>previous</w:t>
      </w:r>
      <w:r>
        <w:rPr>
          <w:spacing w:val="50"/>
          <w:sz w:val="24"/>
        </w:rPr>
        <w:t> </w:t>
      </w:r>
      <w:r>
        <w:rPr>
          <w:sz w:val="24"/>
        </w:rPr>
        <w:t>three</w:t>
      </w:r>
      <w:r>
        <w:rPr>
          <w:spacing w:val="52"/>
          <w:sz w:val="24"/>
        </w:rPr>
        <w:t> </w:t>
      </w:r>
      <w:r>
        <w:rPr>
          <w:sz w:val="24"/>
        </w:rPr>
        <w:t>months</w:t>
      </w:r>
      <w:r>
        <w:rPr>
          <w:spacing w:val="-57"/>
          <w:sz w:val="24"/>
        </w:rPr>
        <w:t> </w:t>
      </w:r>
      <w:r>
        <w:rPr>
          <w:sz w:val="24"/>
        </w:rPr>
        <w:t>preceding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study.</w:t>
      </w:r>
    </w:p>
    <w:p>
      <w:pPr>
        <w:pStyle w:val="ListParagraph"/>
        <w:numPr>
          <w:ilvl w:val="4"/>
          <w:numId w:val="26"/>
        </w:numPr>
        <w:tabs>
          <w:tab w:pos="1597" w:val="left" w:leader="none"/>
          <w:tab w:pos="1598" w:val="left" w:leader="none"/>
        </w:tabs>
        <w:spacing w:line="240" w:lineRule="auto" w:before="199" w:after="0"/>
        <w:ind w:left="1597" w:right="0" w:hanging="678"/>
        <w:jc w:val="left"/>
        <w:rPr>
          <w:sz w:val="24"/>
        </w:rPr>
      </w:pPr>
      <w:r>
        <w:rPr>
          <w:sz w:val="24"/>
        </w:rPr>
        <w:t>Did</w:t>
      </w:r>
      <w:r>
        <w:rPr>
          <w:spacing w:val="27"/>
          <w:sz w:val="24"/>
        </w:rPr>
        <w:t> </w:t>
      </w:r>
      <w:r>
        <w:rPr>
          <w:sz w:val="24"/>
        </w:rPr>
        <w:t>not</w:t>
      </w:r>
      <w:r>
        <w:rPr>
          <w:spacing w:val="81"/>
          <w:sz w:val="24"/>
        </w:rPr>
        <w:t> </w:t>
      </w:r>
      <w:r>
        <w:rPr>
          <w:sz w:val="24"/>
        </w:rPr>
        <w:t>have</w:t>
      </w:r>
      <w:r>
        <w:rPr>
          <w:spacing w:val="76"/>
          <w:sz w:val="24"/>
        </w:rPr>
        <w:t> </w:t>
      </w:r>
      <w:r>
        <w:rPr>
          <w:sz w:val="24"/>
        </w:rPr>
        <w:t>any</w:t>
      </w:r>
      <w:r>
        <w:rPr>
          <w:spacing w:val="77"/>
          <w:sz w:val="24"/>
        </w:rPr>
        <w:t> </w:t>
      </w:r>
      <w:r>
        <w:rPr>
          <w:sz w:val="24"/>
        </w:rPr>
        <w:t>symptoms</w:t>
      </w:r>
      <w:r>
        <w:rPr>
          <w:spacing w:val="75"/>
          <w:sz w:val="24"/>
        </w:rPr>
        <w:t> </w:t>
      </w:r>
      <w:r>
        <w:rPr>
          <w:sz w:val="24"/>
        </w:rPr>
        <w:t>or</w:t>
      </w:r>
      <w:r>
        <w:rPr>
          <w:spacing w:val="78"/>
          <w:sz w:val="24"/>
        </w:rPr>
        <w:t> </w:t>
      </w:r>
      <w:r>
        <w:rPr>
          <w:sz w:val="24"/>
        </w:rPr>
        <w:t>signs</w:t>
      </w:r>
      <w:r>
        <w:rPr>
          <w:spacing w:val="79"/>
          <w:sz w:val="24"/>
        </w:rPr>
        <w:t> </w:t>
      </w:r>
      <w:r>
        <w:rPr>
          <w:sz w:val="24"/>
        </w:rPr>
        <w:t>of</w:t>
      </w:r>
      <w:r>
        <w:rPr>
          <w:spacing w:val="79"/>
          <w:sz w:val="24"/>
        </w:rPr>
        <w:t> </w:t>
      </w:r>
      <w:r>
        <w:rPr>
          <w:sz w:val="24"/>
        </w:rPr>
        <w:t>infection</w:t>
      </w:r>
      <w:r>
        <w:rPr>
          <w:spacing w:val="77"/>
          <w:sz w:val="24"/>
        </w:rPr>
        <w:t> </w:t>
      </w:r>
      <w:r>
        <w:rPr>
          <w:sz w:val="24"/>
        </w:rPr>
        <w:t>such</w:t>
      </w:r>
      <w:r>
        <w:rPr>
          <w:spacing w:val="77"/>
          <w:sz w:val="24"/>
        </w:rPr>
        <w:t> </w:t>
      </w:r>
      <w:r>
        <w:rPr>
          <w:sz w:val="24"/>
        </w:rPr>
        <w:t>as</w:t>
      </w:r>
      <w:r>
        <w:rPr>
          <w:spacing w:val="80"/>
          <w:sz w:val="24"/>
        </w:rPr>
        <w:t> </w:t>
      </w:r>
      <w:r>
        <w:rPr>
          <w:sz w:val="24"/>
        </w:rPr>
        <w:t>fever</w:t>
      </w:r>
      <w:r>
        <w:rPr>
          <w:spacing w:val="83"/>
          <w:sz w:val="24"/>
        </w:rPr>
        <w:t> </w:t>
      </w:r>
      <w:r>
        <w:rPr>
          <w:sz w:val="24"/>
        </w:rPr>
        <w:t>(auxillary</w:t>
      </w:r>
      <w:r>
        <w:rPr>
          <w:spacing w:val="72"/>
          <w:sz w:val="24"/>
        </w:rPr>
        <w:t> </w:t>
      </w:r>
      <w:r>
        <w:rPr>
          <w:sz w:val="24"/>
        </w:rPr>
        <w:t>temp</w:t>
      </w:r>
    </w:p>
    <w:p>
      <w:pPr>
        <w:pStyle w:val="BodyText"/>
        <w:spacing w:before="137"/>
        <w:ind w:left="1540"/>
      </w:pPr>
      <w:r>
        <w:rPr/>
        <w:t>&lt;□37.0°C),</w:t>
      </w:r>
      <w:r>
        <w:rPr>
          <w:spacing w:val="5"/>
        </w:rPr>
        <w:t> </w:t>
      </w:r>
      <w:r>
        <w:rPr/>
        <w:t>acute</w:t>
      </w:r>
      <w:r>
        <w:rPr>
          <w:spacing w:val="-4"/>
        </w:rPr>
        <w:t> </w:t>
      </w:r>
      <w:r>
        <w:rPr/>
        <w:t>respiratory</w:t>
      </w:r>
      <w:r>
        <w:rPr>
          <w:spacing w:val="-2"/>
        </w:rPr>
        <w:t> </w:t>
      </w:r>
      <w:r>
        <w:rPr/>
        <w:t>infection,</w:t>
      </w:r>
      <w:r>
        <w:rPr>
          <w:spacing w:val="5"/>
        </w:rPr>
        <w:t> </w:t>
      </w:r>
      <w:r>
        <w:rPr/>
        <w:t>diarrhoea,</w:t>
      </w:r>
      <w:r>
        <w:rPr>
          <w:spacing w:val="1"/>
        </w:rPr>
        <w:t> </w:t>
      </w:r>
      <w:r>
        <w:rPr/>
        <w:t>or malaria.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4"/>
          <w:numId w:val="26"/>
        </w:numPr>
        <w:tabs>
          <w:tab w:pos="1539" w:val="left" w:leader="none"/>
          <w:tab w:pos="1540" w:val="left" w:leader="none"/>
        </w:tabs>
        <w:spacing w:line="240" w:lineRule="auto" w:before="0" w:after="0"/>
        <w:ind w:left="1540" w:right="0" w:hanging="605"/>
        <w:jc w:val="left"/>
        <w:rPr>
          <w:sz w:val="24"/>
        </w:rPr>
      </w:pPr>
      <w:r>
        <w:rPr>
          <w:sz w:val="24"/>
        </w:rPr>
        <w:t>Understood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signed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informed</w:t>
      </w:r>
      <w:r>
        <w:rPr>
          <w:spacing w:val="-3"/>
          <w:sz w:val="24"/>
        </w:rPr>
        <w:t> </w:t>
      </w:r>
      <w:r>
        <w:rPr>
          <w:sz w:val="24"/>
        </w:rPr>
        <w:t>consent.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before="67"/>
        <w:ind w:left="820"/>
      </w:pPr>
      <w:r>
        <w:rPr/>
        <w:t>Additionally,</w:t>
      </w:r>
      <w:r>
        <w:rPr>
          <w:spacing w:val="-1"/>
        </w:rPr>
        <w:t> </w:t>
      </w:r>
      <w:r>
        <w:rPr/>
        <w:t>controls</w:t>
      </w:r>
      <w:r>
        <w:rPr>
          <w:spacing w:val="-4"/>
        </w:rPr>
        <w:t> </w:t>
      </w:r>
      <w:r>
        <w:rPr/>
        <w:t>were</w:t>
      </w:r>
      <w:r>
        <w:rPr>
          <w:spacing w:val="-3"/>
        </w:rPr>
        <w:t> </w:t>
      </w:r>
      <w:r>
        <w:rPr/>
        <w:t>subjects</w:t>
      </w:r>
      <w:r>
        <w:rPr>
          <w:spacing w:val="-5"/>
        </w:rPr>
        <w:t> </w:t>
      </w:r>
      <w:r>
        <w:rPr/>
        <w:t>with</w:t>
      </w:r>
      <w:r>
        <w:rPr>
          <w:spacing w:val="-7"/>
        </w:rPr>
        <w:t> </w:t>
      </w:r>
      <w:r>
        <w:rPr/>
        <w:t>genotype</w:t>
      </w:r>
      <w:r>
        <w:rPr>
          <w:spacing w:val="2"/>
        </w:rPr>
        <w:t> </w:t>
      </w:r>
      <w:r>
        <w:rPr/>
        <w:t>HbAA</w:t>
      </w:r>
      <w:r>
        <w:rPr>
          <w:spacing w:val="-7"/>
        </w:rPr>
        <w:t> </w:t>
      </w:r>
      <w:r>
        <w:rPr/>
        <w:t>and</w:t>
      </w:r>
      <w:r>
        <w:rPr>
          <w:spacing w:val="-2"/>
        </w:rPr>
        <w:t> </w:t>
      </w:r>
      <w:r>
        <w:rPr/>
        <w:t>who: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27"/>
        </w:numPr>
        <w:tabs>
          <w:tab w:pos="1539" w:val="left" w:leader="none"/>
          <w:tab w:pos="1540" w:val="left" w:leader="none"/>
        </w:tabs>
        <w:spacing w:line="240" w:lineRule="auto" w:before="0" w:after="0"/>
        <w:ind w:left="1540" w:right="0" w:hanging="485"/>
        <w:jc w:val="left"/>
        <w:rPr>
          <w:sz w:val="24"/>
        </w:rPr>
      </w:pPr>
      <w:r>
        <w:rPr>
          <w:sz w:val="24"/>
        </w:rPr>
        <w:t>Had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2"/>
          <w:sz w:val="24"/>
        </w:rPr>
        <w:t> </w:t>
      </w:r>
      <w:r>
        <w:rPr>
          <w:sz w:val="24"/>
        </w:rPr>
        <w:t>evidence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infection</w:t>
      </w:r>
      <w:r>
        <w:rPr>
          <w:spacing w:val="-7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chronic</w:t>
      </w:r>
      <w:r>
        <w:rPr>
          <w:spacing w:val="-4"/>
          <w:sz w:val="24"/>
        </w:rPr>
        <w:t> </w:t>
      </w:r>
      <w:r>
        <w:rPr>
          <w:sz w:val="24"/>
        </w:rPr>
        <w:t>diseases</w:t>
      </w:r>
      <w:r>
        <w:rPr>
          <w:spacing w:val="-4"/>
          <w:sz w:val="24"/>
        </w:rPr>
        <w:t> </w:t>
      </w:r>
      <w:r>
        <w:rPr>
          <w:sz w:val="24"/>
        </w:rPr>
        <w:t>(protein</w:t>
      </w:r>
      <w:r>
        <w:rPr>
          <w:spacing w:val="-7"/>
          <w:sz w:val="24"/>
        </w:rPr>
        <w:t> </w:t>
      </w:r>
      <w:r>
        <w:rPr>
          <w:sz w:val="24"/>
        </w:rPr>
        <w:t>energy</w:t>
      </w:r>
      <w:r>
        <w:rPr>
          <w:spacing w:val="-3"/>
          <w:sz w:val="24"/>
        </w:rPr>
        <w:t> </w:t>
      </w:r>
      <w:r>
        <w:rPr>
          <w:sz w:val="24"/>
        </w:rPr>
        <w:t>malnutrition)</w:t>
      </w:r>
    </w:p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0"/>
          <w:numId w:val="27"/>
        </w:numPr>
        <w:tabs>
          <w:tab w:pos="1539" w:val="left" w:leader="none"/>
          <w:tab w:pos="1540" w:val="left" w:leader="none"/>
        </w:tabs>
        <w:spacing w:line="355" w:lineRule="auto" w:before="1" w:after="0"/>
        <w:ind w:left="1540" w:right="1443" w:hanging="552"/>
        <w:jc w:val="left"/>
        <w:rPr>
          <w:sz w:val="24"/>
        </w:rPr>
      </w:pPr>
      <w:r>
        <w:rPr>
          <w:sz w:val="24"/>
        </w:rPr>
        <w:t>Had neither been transfused or been on any magnesium, zinc, copper, or iron - containing</w:t>
      </w:r>
      <w:r>
        <w:rPr>
          <w:spacing w:val="-57"/>
          <w:sz w:val="24"/>
        </w:rPr>
        <w:t> </w:t>
      </w:r>
      <w:r>
        <w:rPr>
          <w:sz w:val="24"/>
        </w:rPr>
        <w:t>medications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the previous three</w:t>
      </w:r>
      <w:r>
        <w:rPr>
          <w:spacing w:val="5"/>
          <w:sz w:val="24"/>
        </w:rPr>
        <w:t> </w:t>
      </w:r>
      <w:r>
        <w:rPr>
          <w:sz w:val="24"/>
        </w:rPr>
        <w:t>months</w:t>
      </w:r>
      <w:r>
        <w:rPr>
          <w:spacing w:val="-1"/>
          <w:sz w:val="24"/>
        </w:rPr>
        <w:t> </w:t>
      </w:r>
      <w:r>
        <w:rPr>
          <w:sz w:val="24"/>
        </w:rPr>
        <w:t>preceding</w:t>
      </w:r>
      <w:r>
        <w:rPr>
          <w:spacing w:val="2"/>
          <w:sz w:val="24"/>
        </w:rPr>
        <w:t> </w:t>
      </w:r>
      <w:r>
        <w:rPr>
          <w:sz w:val="24"/>
        </w:rPr>
        <w:t>study.</w:t>
      </w:r>
    </w:p>
    <w:p>
      <w:pPr>
        <w:pStyle w:val="ListParagraph"/>
        <w:numPr>
          <w:ilvl w:val="0"/>
          <w:numId w:val="27"/>
        </w:numPr>
        <w:tabs>
          <w:tab w:pos="1539" w:val="left" w:leader="none"/>
          <w:tab w:pos="1540" w:val="left" w:leader="none"/>
        </w:tabs>
        <w:spacing w:line="240" w:lineRule="auto" w:before="205" w:after="0"/>
        <w:ind w:left="1540" w:right="0" w:hanging="620"/>
        <w:jc w:val="left"/>
        <w:rPr>
          <w:sz w:val="24"/>
        </w:rPr>
      </w:pPr>
      <w:r>
        <w:rPr>
          <w:sz w:val="24"/>
        </w:rPr>
        <w:t>Understood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signed</w:t>
      </w:r>
      <w:r>
        <w:rPr>
          <w:spacing w:val="-3"/>
          <w:sz w:val="24"/>
        </w:rPr>
        <w:t> </w:t>
      </w:r>
      <w:r>
        <w:rPr>
          <w:sz w:val="24"/>
        </w:rPr>
        <w:t>the informed</w:t>
      </w:r>
      <w:r>
        <w:rPr>
          <w:spacing w:val="-3"/>
          <w:sz w:val="24"/>
        </w:rPr>
        <w:t> </w:t>
      </w:r>
      <w:r>
        <w:rPr>
          <w:sz w:val="24"/>
        </w:rPr>
        <w:t>consent.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3"/>
          <w:numId w:val="26"/>
        </w:numPr>
        <w:tabs>
          <w:tab w:pos="1554" w:val="left" w:leader="none"/>
        </w:tabs>
        <w:spacing w:line="355" w:lineRule="auto" w:before="0" w:after="0"/>
        <w:ind w:left="820" w:right="1453" w:firstLine="0"/>
        <w:jc w:val="left"/>
        <w:rPr>
          <w:sz w:val="24"/>
        </w:rPr>
      </w:pPr>
      <w:r>
        <w:rPr>
          <w:b/>
          <w:i/>
          <w:sz w:val="24"/>
        </w:rPr>
        <w:t>Exclusion</w:t>
      </w:r>
      <w:r>
        <w:rPr>
          <w:b/>
          <w:i/>
          <w:spacing w:val="10"/>
          <w:sz w:val="24"/>
        </w:rPr>
        <w:t> </w:t>
      </w:r>
      <w:r>
        <w:rPr>
          <w:b/>
          <w:i/>
          <w:sz w:val="24"/>
        </w:rPr>
        <w:t>criteria</w:t>
      </w:r>
      <w:r>
        <w:rPr>
          <w:b/>
          <w:i/>
          <w:spacing w:val="11"/>
          <w:sz w:val="24"/>
        </w:rPr>
        <w:t> </w:t>
      </w:r>
      <w:r>
        <w:rPr>
          <w:sz w:val="24"/>
        </w:rPr>
        <w:t>–</w:t>
      </w:r>
      <w:r>
        <w:rPr>
          <w:spacing w:val="14"/>
          <w:sz w:val="24"/>
        </w:rPr>
        <w:t> </w:t>
      </w:r>
      <w:r>
        <w:rPr>
          <w:sz w:val="24"/>
        </w:rPr>
        <w:t>subjects</w:t>
      </w:r>
      <w:r>
        <w:rPr>
          <w:spacing w:val="7"/>
          <w:sz w:val="24"/>
        </w:rPr>
        <w:t> </w:t>
      </w:r>
      <w:r>
        <w:rPr>
          <w:sz w:val="24"/>
        </w:rPr>
        <w:t>who</w:t>
      </w:r>
      <w:r>
        <w:rPr>
          <w:spacing w:val="13"/>
          <w:sz w:val="24"/>
        </w:rPr>
        <w:t> </w:t>
      </w:r>
      <w:r>
        <w:rPr>
          <w:sz w:val="24"/>
        </w:rPr>
        <w:t>did</w:t>
      </w:r>
      <w:r>
        <w:rPr>
          <w:spacing w:val="13"/>
          <w:sz w:val="24"/>
        </w:rPr>
        <w:t> </w:t>
      </w:r>
      <w:r>
        <w:rPr>
          <w:sz w:val="24"/>
        </w:rPr>
        <w:t>not</w:t>
      </w:r>
      <w:r>
        <w:rPr>
          <w:spacing w:val="9"/>
          <w:sz w:val="24"/>
        </w:rPr>
        <w:t> </w:t>
      </w:r>
      <w:r>
        <w:rPr>
          <w:sz w:val="24"/>
        </w:rPr>
        <w:t>consent</w:t>
      </w:r>
      <w:r>
        <w:rPr>
          <w:spacing w:val="15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partake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study and</w:t>
      </w:r>
      <w:r>
        <w:rPr>
          <w:spacing w:val="13"/>
          <w:sz w:val="24"/>
        </w:rPr>
        <w:t> </w:t>
      </w:r>
      <w:r>
        <w:rPr>
          <w:sz w:val="24"/>
        </w:rPr>
        <w:t>those</w:t>
      </w:r>
      <w:r>
        <w:rPr>
          <w:spacing w:val="8"/>
          <w:sz w:val="24"/>
        </w:rPr>
        <w:t> </w:t>
      </w:r>
      <w:r>
        <w:rPr>
          <w:sz w:val="24"/>
        </w:rPr>
        <w:t>who</w:t>
      </w:r>
      <w:r>
        <w:rPr>
          <w:spacing w:val="-57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7"/>
          <w:sz w:val="24"/>
        </w:rPr>
        <w:t> </w:t>
      </w:r>
      <w:r>
        <w:rPr>
          <w:sz w:val="24"/>
        </w:rPr>
        <w:t>meet</w:t>
      </w:r>
      <w:r>
        <w:rPr>
          <w:spacing w:val="6"/>
          <w:sz w:val="24"/>
        </w:rPr>
        <w:t> </w:t>
      </w:r>
      <w:r>
        <w:rPr>
          <w:sz w:val="24"/>
        </w:rPr>
        <w:t>inclusion</w:t>
      </w:r>
      <w:r>
        <w:rPr>
          <w:spacing w:val="-3"/>
          <w:sz w:val="24"/>
        </w:rPr>
        <w:t> </w:t>
      </w:r>
      <w:r>
        <w:rPr>
          <w:sz w:val="24"/>
        </w:rPr>
        <w:t>criteria were</w:t>
      </w:r>
      <w:r>
        <w:rPr>
          <w:spacing w:val="1"/>
          <w:sz w:val="24"/>
        </w:rPr>
        <w:t> </w:t>
      </w:r>
      <w:r>
        <w:rPr>
          <w:sz w:val="24"/>
        </w:rPr>
        <w:t>excluded.</w:t>
      </w:r>
    </w:p>
    <w:p>
      <w:pPr>
        <w:pStyle w:val="Heading1"/>
        <w:numPr>
          <w:ilvl w:val="2"/>
          <w:numId w:val="26"/>
        </w:numPr>
        <w:tabs>
          <w:tab w:pos="1482" w:val="left" w:leader="none"/>
        </w:tabs>
        <w:spacing w:line="240" w:lineRule="auto" w:before="211" w:after="0"/>
        <w:ind w:left="1481" w:right="0" w:hanging="662"/>
        <w:jc w:val="left"/>
      </w:pPr>
      <w:r>
        <w:rPr/>
        <w:t>Sample</w:t>
      </w:r>
      <w:r>
        <w:rPr>
          <w:spacing w:val="-3"/>
        </w:rPr>
        <w:t> </w:t>
      </w:r>
      <w:r>
        <w:rPr/>
        <w:t>size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55" w:lineRule="auto" w:before="1"/>
        <w:ind w:left="820" w:right="1433"/>
      </w:pPr>
      <w:r>
        <w:rPr/>
        <w:t>The</w:t>
      </w:r>
      <w:r>
        <w:rPr>
          <w:spacing w:val="33"/>
        </w:rPr>
        <w:t> </w:t>
      </w:r>
      <w:r>
        <w:rPr/>
        <w:t>sample</w:t>
      </w:r>
      <w:r>
        <w:rPr>
          <w:spacing w:val="33"/>
        </w:rPr>
        <w:t> </w:t>
      </w:r>
      <w:r>
        <w:rPr/>
        <w:t>size</w:t>
      </w:r>
      <w:r>
        <w:rPr>
          <w:spacing w:val="37"/>
        </w:rPr>
        <w:t> </w:t>
      </w:r>
      <w:r>
        <w:rPr/>
        <w:t>for</w:t>
      </w:r>
      <w:r>
        <w:rPr>
          <w:spacing w:val="35"/>
        </w:rPr>
        <w:t> </w:t>
      </w:r>
      <w:r>
        <w:rPr/>
        <w:t>the</w:t>
      </w:r>
      <w:r>
        <w:rPr>
          <w:spacing w:val="33"/>
        </w:rPr>
        <w:t> </w:t>
      </w:r>
      <w:r>
        <w:rPr/>
        <w:t>study</w:t>
      </w:r>
      <w:r>
        <w:rPr>
          <w:spacing w:val="29"/>
        </w:rPr>
        <w:t> </w:t>
      </w:r>
      <w:r>
        <w:rPr/>
        <w:t>was</w:t>
      </w:r>
      <w:r>
        <w:rPr>
          <w:spacing w:val="31"/>
        </w:rPr>
        <w:t> </w:t>
      </w:r>
      <w:r>
        <w:rPr/>
        <w:t>determined</w:t>
      </w:r>
      <w:r>
        <w:rPr>
          <w:spacing w:val="39"/>
        </w:rPr>
        <w:t> </w:t>
      </w:r>
      <w:r>
        <w:rPr/>
        <w:t>using</w:t>
      </w:r>
      <w:r>
        <w:rPr>
          <w:spacing w:val="38"/>
        </w:rPr>
        <w:t> </w:t>
      </w:r>
      <w:r>
        <w:rPr/>
        <w:t>standard</w:t>
      </w:r>
      <w:r>
        <w:rPr>
          <w:spacing w:val="38"/>
        </w:rPr>
        <w:t> </w:t>
      </w:r>
      <w:r>
        <w:rPr/>
        <w:t>formulae</w:t>
      </w:r>
      <w:r>
        <w:rPr>
          <w:spacing w:val="37"/>
        </w:rPr>
        <w:t> </w:t>
      </w:r>
      <w:r>
        <w:rPr/>
        <w:t>for</w:t>
      </w:r>
      <w:r>
        <w:rPr>
          <w:spacing w:val="35"/>
        </w:rPr>
        <w:t> </w:t>
      </w:r>
      <w:r>
        <w:rPr/>
        <w:t>the</w:t>
      </w:r>
      <w:r>
        <w:rPr>
          <w:spacing w:val="33"/>
        </w:rPr>
        <w:t> </w:t>
      </w:r>
      <w:r>
        <w:rPr/>
        <w:t>calculation</w:t>
      </w:r>
      <w:r>
        <w:rPr>
          <w:spacing w:val="29"/>
        </w:rPr>
        <w:t> </w:t>
      </w:r>
      <w:r>
        <w:rPr/>
        <w:t>of</w:t>
      </w:r>
      <w:r>
        <w:rPr>
          <w:spacing w:val="-57"/>
        </w:rPr>
        <w:t> </w:t>
      </w:r>
      <w:r>
        <w:rPr/>
        <w:t>minimum</w:t>
      </w:r>
      <w:r>
        <w:rPr>
          <w:spacing w:val="-8"/>
        </w:rPr>
        <w:t> </w:t>
      </w:r>
      <w:r>
        <w:rPr/>
        <w:t>sample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(Oyejide</w:t>
      </w:r>
      <w:r>
        <w:rPr>
          <w:spacing w:val="1"/>
        </w:rPr>
        <w:t> </w:t>
      </w:r>
      <w:r>
        <w:rPr/>
        <w:t>1991).</w:t>
      </w:r>
    </w:p>
    <w:p>
      <w:pPr>
        <w:pStyle w:val="BodyText"/>
        <w:spacing w:before="205"/>
        <w:ind w:left="820"/>
      </w:pPr>
      <w:r>
        <w:rPr/>
        <w:pict>
          <v:shape style="position:absolute;margin-left:151.440002pt;margin-top:26.253136pt;width:78.75pt;height:.1pt;mso-position-horizontal-relative:page;mso-position-vertical-relative:paragraph;z-index:-15725056;mso-wrap-distance-left:0;mso-wrap-distance-right:0" coordorigin="3029,525" coordsize="1575,0" path="m3029,525l4603,525e" filled="false" stroked="true" strokeweight=".71999pt" strokecolor="#000000">
            <v:path arrowok="t"/>
            <v:stroke dashstyle="solid"/>
            <w10:wrap type="topAndBottom"/>
          </v:shape>
        </w:pict>
      </w:r>
      <w:r>
        <w:rPr>
          <w:w w:val="95"/>
        </w:rPr>
        <w:t>Sample</w:t>
      </w:r>
      <w:r>
        <w:rPr>
          <w:spacing w:val="18"/>
          <w:w w:val="95"/>
        </w:rPr>
        <w:t> </w:t>
      </w:r>
      <w:r>
        <w:rPr>
          <w:w w:val="95"/>
        </w:rPr>
        <w:t>size</w:t>
      </w:r>
      <w:r>
        <w:rPr>
          <w:spacing w:val="25"/>
          <w:w w:val="95"/>
        </w:rPr>
        <w:t> </w:t>
      </w:r>
      <w:r>
        <w:rPr>
          <w:w w:val="95"/>
        </w:rPr>
        <w:t>n</w:t>
      </w:r>
      <w:r>
        <w:rPr>
          <w:spacing w:val="13"/>
          <w:w w:val="95"/>
        </w:rPr>
        <w:t> </w:t>
      </w:r>
      <w:r>
        <w:rPr>
          <w:w w:val="95"/>
        </w:rPr>
        <w:t>=</w:t>
      </w:r>
      <w:r>
        <w:rPr>
          <w:spacing w:val="19"/>
          <w:w w:val="95"/>
        </w:rPr>
        <w:t> </w:t>
      </w:r>
      <w:r>
        <w:rPr>
          <w:w w:val="95"/>
        </w:rPr>
        <w:t>(Zi</w:t>
      </w:r>
      <w:r>
        <w:rPr>
          <w:spacing w:val="10"/>
          <w:w w:val="95"/>
        </w:rPr>
        <w:t> </w:t>
      </w:r>
      <w:r>
        <w:rPr>
          <w:w w:val="95"/>
        </w:rPr>
        <w:t>–</w:t>
      </w:r>
      <w:r>
        <w:rPr>
          <w:spacing w:val="20"/>
          <w:w w:val="95"/>
        </w:rPr>
        <w:t> </w:t>
      </w:r>
      <w:r>
        <w:rPr>
          <w:w w:val="95"/>
        </w:rPr>
        <w:t>a)</w:t>
      </w:r>
      <w:r>
        <w:rPr>
          <w:spacing w:val="-8"/>
          <w:w w:val="95"/>
        </w:rPr>
        <w:t> </w:t>
      </w:r>
      <w:r>
        <w:rPr>
          <w:w w:val="95"/>
          <w:vertAlign w:val="superscript"/>
        </w:rPr>
        <w:t>2</w:t>
      </w:r>
      <w:r>
        <w:rPr>
          <w:w w:val="95"/>
          <w:vertAlign w:val="baseline"/>
        </w:rPr>
        <w:t>(P)</w:t>
      </w:r>
      <w:r>
        <w:rPr>
          <w:spacing w:val="16"/>
          <w:w w:val="95"/>
          <w:vertAlign w:val="baseline"/>
        </w:rPr>
        <w:t> </w:t>
      </w:r>
      <w:r>
        <w:rPr>
          <w:w w:val="95"/>
          <w:vertAlign w:val="baseline"/>
        </w:rPr>
        <w:t>(1-P)</w:t>
      </w:r>
    </w:p>
    <w:p>
      <w:pPr>
        <w:spacing w:before="221"/>
        <w:ind w:left="2980" w:right="0" w:firstLine="0"/>
        <w:jc w:val="left"/>
        <w:rPr>
          <w:sz w:val="16"/>
        </w:rPr>
      </w:pPr>
      <w:r>
        <w:rPr>
          <w:position w:val="-10"/>
          <w:sz w:val="24"/>
        </w:rPr>
        <w:t>d</w:t>
      </w:r>
      <w:r>
        <w:rPr>
          <w:sz w:val="16"/>
        </w:rPr>
        <w:t>2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before="1"/>
        <w:ind w:left="1242"/>
      </w:pPr>
      <w:r>
        <w:rPr/>
        <w:t>where,</w:t>
      </w:r>
      <w:r>
        <w:rPr>
          <w:spacing w:val="58"/>
        </w:rPr>
        <w:t> </w:t>
      </w:r>
      <w:r>
        <w:rPr/>
        <w:t>n</w:t>
      </w:r>
      <w:r>
        <w:rPr>
          <w:spacing w:val="-6"/>
        </w:rPr>
        <w:t> </w:t>
      </w:r>
      <w:r>
        <w:rPr/>
        <w:t>=</w:t>
      </w:r>
      <w:r>
        <w:rPr>
          <w:spacing w:val="-3"/>
        </w:rPr>
        <w:t> </w:t>
      </w:r>
      <w:r>
        <w:rPr/>
        <w:t>minimum</w:t>
      </w:r>
      <w:r>
        <w:rPr>
          <w:spacing w:val="-5"/>
        </w:rPr>
        <w:t> </w:t>
      </w:r>
      <w:r>
        <w:rPr/>
        <w:t>sample</w:t>
      </w:r>
      <w:r>
        <w:rPr>
          <w:spacing w:val="-2"/>
        </w:rPr>
        <w:t> </w:t>
      </w:r>
      <w:r>
        <w:rPr/>
        <w:t>size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535" w:lineRule="auto" w:before="1"/>
        <w:ind w:left="2504" w:right="1433" w:hanging="903"/>
      </w:pPr>
      <w:r>
        <w:rPr/>
        <w:t>Zi</w:t>
      </w:r>
      <w:r>
        <w:rPr>
          <w:spacing w:val="-10"/>
        </w:rPr>
        <w:t> </w:t>
      </w:r>
      <w:r>
        <w:rPr/>
        <w:t>–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value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normal</w:t>
      </w:r>
      <w:r>
        <w:rPr>
          <w:spacing w:val="-5"/>
        </w:rPr>
        <w:t> </w:t>
      </w:r>
      <w:r>
        <w:rPr/>
        <w:t>deviation</w:t>
      </w:r>
      <w:r>
        <w:rPr>
          <w:spacing w:val="-6"/>
        </w:rPr>
        <w:t> </w:t>
      </w:r>
      <w:r>
        <w:rPr/>
        <w:t>which</w:t>
      </w:r>
      <w:r>
        <w:rPr>
          <w:spacing w:val="-5"/>
        </w:rPr>
        <w:t> </w:t>
      </w:r>
      <w:r>
        <w:rPr/>
        <w:t>at</w:t>
      </w:r>
      <w:r>
        <w:rPr>
          <w:spacing w:val="3"/>
        </w:rPr>
        <w:t> </w:t>
      </w:r>
      <w:r>
        <w:rPr/>
        <w:t>95%</w:t>
      </w:r>
      <w:r>
        <w:rPr>
          <w:spacing w:val="-4"/>
        </w:rPr>
        <w:t> </w:t>
      </w:r>
      <w:r>
        <w:rPr/>
        <w:t>confidence</w:t>
      </w:r>
      <w:r>
        <w:rPr>
          <w:spacing w:val="3"/>
        </w:rPr>
        <w:t> </w:t>
      </w:r>
      <w:r>
        <w:rPr/>
        <w:t>level has</w:t>
      </w:r>
      <w:r>
        <w:rPr>
          <w:spacing w:val="1"/>
        </w:rPr>
        <w:t> </w:t>
      </w:r>
      <w:r>
        <w:rPr/>
        <w:t>been</w:t>
      </w:r>
      <w:r>
        <w:rPr>
          <w:spacing w:val="-57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7"/>
        </w:rPr>
        <w:t> </w:t>
      </w:r>
      <w:r>
        <w:rPr/>
        <w:t>be</w:t>
      </w:r>
      <w:r>
        <w:rPr>
          <w:spacing w:val="1"/>
        </w:rPr>
        <w:t> </w:t>
      </w:r>
      <w:r>
        <w:rPr/>
        <w:t>1.96</w:t>
      </w:r>
    </w:p>
    <w:p>
      <w:pPr>
        <w:pStyle w:val="BodyText"/>
        <w:spacing w:line="274" w:lineRule="exact"/>
        <w:ind w:left="1084" w:right="830"/>
        <w:jc w:val="center"/>
      </w:pPr>
      <w:r>
        <w:rPr/>
        <w:t>P</w:t>
      </w:r>
      <w:r>
        <w:rPr>
          <w:spacing w:val="-6"/>
        </w:rPr>
        <w:t> </w:t>
      </w:r>
      <w:r>
        <w:rPr/>
        <w:t>=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best</w:t>
      </w:r>
      <w:r>
        <w:rPr>
          <w:spacing w:val="3"/>
        </w:rPr>
        <w:t> </w:t>
      </w:r>
      <w:r>
        <w:rPr/>
        <w:t>estimate</w:t>
      </w:r>
      <w:r>
        <w:rPr>
          <w:spacing w:val="-2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2"/>
        </w:rPr>
        <w:t> </w:t>
      </w:r>
      <w:r>
        <w:rPr/>
        <w:t>population</w:t>
      </w:r>
      <w:r>
        <w:rPr>
          <w:spacing w:val="-2"/>
        </w:rPr>
        <w:t> </w:t>
      </w:r>
      <w:r>
        <w:rPr/>
        <w:t>prevalence</w:t>
      </w:r>
      <w:r>
        <w:rPr>
          <w:spacing w:val="-3"/>
        </w:rPr>
        <w:t> </w:t>
      </w:r>
      <w:r>
        <w:rPr/>
        <w:t>obtained</w:t>
      </w:r>
      <w:r>
        <w:rPr>
          <w:spacing w:val="4"/>
        </w:rPr>
        <w:t> </w:t>
      </w:r>
      <w:r>
        <w:rPr/>
        <w:t>from</w:t>
      </w:r>
      <w:r>
        <w:rPr>
          <w:spacing w:val="-6"/>
        </w:rPr>
        <w:t> </w:t>
      </w:r>
      <w:r>
        <w:rPr/>
        <w:t>literature</w:t>
      </w:r>
      <w:r>
        <w:rPr>
          <w:spacing w:val="-6"/>
        </w:rPr>
        <w:t> </w:t>
      </w:r>
      <w:r>
        <w:rPr/>
        <w:t>review</w:t>
      </w:r>
    </w:p>
    <w:p>
      <w:pPr>
        <w:pStyle w:val="BodyText"/>
        <w:rPr>
          <w:sz w:val="29"/>
        </w:rPr>
      </w:pPr>
    </w:p>
    <w:p>
      <w:pPr>
        <w:pStyle w:val="BodyText"/>
        <w:ind w:left="2264"/>
      </w:pPr>
      <w:r>
        <w:rPr/>
        <w:t>=</w:t>
      </w:r>
      <w:r>
        <w:rPr>
          <w:spacing w:val="-1"/>
        </w:rPr>
        <w:t> </w:t>
      </w:r>
      <w:r>
        <w:rPr/>
        <w:t>3%</w:t>
      </w:r>
      <w:r>
        <w:rPr>
          <w:spacing w:val="-3"/>
        </w:rPr>
        <w:t> </w:t>
      </w:r>
      <w:r>
        <w:rPr/>
        <w:t>(0.03)</w:t>
      </w:r>
      <w:r>
        <w:rPr>
          <w:spacing w:val="-3"/>
        </w:rPr>
        <w:t> </w:t>
      </w:r>
      <w:r>
        <w:rPr/>
        <w:t>(Ugwu</w:t>
      </w:r>
      <w:r>
        <w:rPr>
          <w:spacing w:val="-4"/>
        </w:rPr>
        <w:t> </w:t>
      </w:r>
      <w:r>
        <w:rPr/>
        <w:t>and Eke 2007)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1784"/>
      </w:pPr>
      <w:r>
        <w:rPr/>
        <w:t>1-P</w:t>
      </w:r>
      <w:r>
        <w:rPr>
          <w:spacing w:val="1"/>
        </w:rPr>
        <w:t> </w:t>
      </w:r>
      <w:r>
        <w:rPr/>
        <w:t>= 1</w:t>
      </w:r>
      <w:r>
        <w:rPr>
          <w:spacing w:val="-3"/>
        </w:rPr>
        <w:t> </w:t>
      </w:r>
      <w:r>
        <w:rPr/>
        <w:t>–</w:t>
      </w:r>
      <w:r>
        <w:rPr>
          <w:spacing w:val="1"/>
        </w:rPr>
        <w:t> </w:t>
      </w:r>
      <w:r>
        <w:rPr/>
        <w:t>0.03</w:t>
      </w:r>
      <w:r>
        <w:rPr>
          <w:spacing w:val="1"/>
        </w:rPr>
        <w:t> </w:t>
      </w:r>
      <w:r>
        <w:rPr/>
        <w:t>=</w:t>
      </w:r>
      <w:r>
        <w:rPr>
          <w:spacing w:val="-4"/>
        </w:rPr>
        <w:t> </w:t>
      </w:r>
      <w:r>
        <w:rPr/>
        <w:t>0.97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535" w:lineRule="auto" w:before="1"/>
        <w:ind w:left="2384" w:right="1433" w:hanging="360"/>
      </w:pPr>
      <w:r>
        <w:rPr/>
        <w:t>d</w:t>
      </w:r>
      <w:r>
        <w:rPr>
          <w:spacing w:val="-7"/>
        </w:rPr>
        <w:t> </w:t>
      </w:r>
      <w:r>
        <w:rPr/>
        <w:t>=</w:t>
      </w:r>
      <w:r>
        <w:rPr>
          <w:spacing w:val="-2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between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true</w:t>
      </w:r>
      <w:r>
        <w:rPr>
          <w:spacing w:val="-2"/>
        </w:rPr>
        <w:t> </w:t>
      </w:r>
      <w:r>
        <w:rPr/>
        <w:t>population</w:t>
      </w:r>
      <w:r>
        <w:rPr>
          <w:spacing w:val="-7"/>
        </w:rPr>
        <w:t> </w:t>
      </w:r>
      <w:r>
        <w:rPr/>
        <w:t>rate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sample</w:t>
      </w:r>
      <w:r>
        <w:rPr>
          <w:spacing w:val="-3"/>
        </w:rPr>
        <w:t> </w:t>
      </w:r>
      <w:r>
        <w:rPr/>
        <w:t>that</w:t>
      </w:r>
      <w:r>
        <w:rPr>
          <w:spacing w:val="3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2"/>
        </w:rPr>
        <w:t> </w:t>
      </w:r>
      <w:r>
        <w:rPr/>
        <w:t>tolerated;</w:t>
      </w:r>
      <w:r>
        <w:rPr>
          <w:spacing w:val="-5"/>
        </w:rPr>
        <w:t> </w:t>
      </w:r>
      <w:r>
        <w:rPr/>
        <w:t>that</w:t>
      </w:r>
      <w:r>
        <w:rPr>
          <w:spacing w:val="-57"/>
        </w:rPr>
        <w:t> </w:t>
      </w:r>
      <w:r>
        <w:rPr/>
        <w:t>is, the absolute precision required (in percentage point) on either side of the</w:t>
      </w:r>
      <w:r>
        <w:rPr>
          <w:spacing w:val="1"/>
        </w:rPr>
        <w:t> </w:t>
      </w:r>
      <w:r>
        <w:rPr/>
        <w:t>population</w:t>
      </w:r>
      <w:r>
        <w:rPr>
          <w:spacing w:val="-4"/>
        </w:rPr>
        <w:t> </w:t>
      </w:r>
      <w:r>
        <w:rPr/>
        <w:t>0.05</w:t>
      </w:r>
    </w:p>
    <w:p>
      <w:pPr>
        <w:spacing w:after="0" w:line="535" w:lineRule="auto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before="112"/>
        <w:ind w:left="820"/>
      </w:pPr>
      <w:r>
        <w:rPr/>
        <w:pict>
          <v:shape style="position:absolute;margin-left:154.559998pt;margin-top:22.042366pt;width:85.45pt;height:.1pt;mso-position-horizontal-relative:page;mso-position-vertical-relative:paragraph;z-index:-15724544;mso-wrap-distance-left:0;mso-wrap-distance-right:0" coordorigin="3091,441" coordsize="1709,0" path="m3091,441l4800,441e" filled="false" stroked="true" strokeweight=".71999pt" strokecolor="#000000">
            <v:path arrowok="t"/>
            <v:stroke dashstyle="solid"/>
            <w10:wrap type="topAndBottom"/>
          </v:shape>
        </w:pict>
      </w:r>
      <w:r>
        <w:rPr/>
        <w:t>Sample</w:t>
      </w:r>
      <w:r>
        <w:rPr>
          <w:spacing w:val="-7"/>
        </w:rPr>
        <w:t> </w:t>
      </w:r>
      <w:r>
        <w:rPr/>
        <w:t>size</w:t>
      </w:r>
      <w:r>
        <w:rPr>
          <w:spacing w:val="-1"/>
        </w:rPr>
        <w:t> </w:t>
      </w:r>
      <w:r>
        <w:rPr/>
        <w:t>n</w:t>
      </w:r>
      <w:r>
        <w:rPr>
          <w:spacing w:val="-10"/>
        </w:rPr>
        <w:t> </w:t>
      </w:r>
      <w:r>
        <w:rPr/>
        <w:t>=</w:t>
      </w:r>
      <w:r>
        <w:rPr>
          <w:spacing w:val="-6"/>
        </w:rPr>
        <w:t> </w:t>
      </w:r>
      <w:r>
        <w:rPr/>
        <w:t>(1.96)</w:t>
      </w:r>
      <w:r>
        <w:rPr>
          <w:vertAlign w:val="superscript"/>
        </w:rPr>
        <w:t>2</w:t>
      </w:r>
      <w:r>
        <w:rPr>
          <w:spacing w:val="-7"/>
          <w:vertAlign w:val="baseline"/>
        </w:rPr>
        <w:t> </w:t>
      </w:r>
      <w:r>
        <w:rPr>
          <w:rFonts w:ascii="Cambria Math" w:hAnsi="Cambria Math"/>
          <w:vertAlign w:val="baseline"/>
        </w:rPr>
        <w:t>×</w:t>
      </w:r>
      <w:r>
        <w:rPr>
          <w:rFonts w:ascii="Cambria Math" w:hAnsi="Cambria Math"/>
          <w:spacing w:val="37"/>
          <w:vertAlign w:val="baseline"/>
        </w:rPr>
        <w:t> </w:t>
      </w:r>
      <w:r>
        <w:rPr>
          <w:vertAlign w:val="baseline"/>
        </w:rPr>
        <w:t>0.03</w:t>
      </w:r>
      <w:r>
        <w:rPr>
          <w:spacing w:val="-13"/>
          <w:vertAlign w:val="baseline"/>
        </w:rPr>
        <w:t> </w:t>
      </w:r>
      <w:r>
        <w:rPr>
          <w:rFonts w:ascii="Cambria Math" w:hAnsi="Cambria Math"/>
          <w:vertAlign w:val="baseline"/>
        </w:rPr>
        <w:t>×</w:t>
      </w:r>
      <w:r>
        <w:rPr>
          <w:rFonts w:ascii="Cambria Math" w:hAnsi="Cambria Math"/>
          <w:spacing w:val="37"/>
          <w:vertAlign w:val="baseline"/>
        </w:rPr>
        <w:t> </w:t>
      </w:r>
      <w:r>
        <w:rPr>
          <w:vertAlign w:val="baseline"/>
        </w:rPr>
        <w:t>0.97</w:t>
      </w:r>
      <w:r>
        <w:rPr>
          <w:spacing w:val="-5"/>
          <w:vertAlign w:val="baseline"/>
        </w:rPr>
        <w:t> </w:t>
      </w:r>
      <w:r>
        <w:rPr>
          <w:vertAlign w:val="baseline"/>
        </w:rPr>
        <w:t>=</w:t>
      </w:r>
      <w:r>
        <w:rPr>
          <w:spacing w:val="-10"/>
          <w:vertAlign w:val="baseline"/>
        </w:rPr>
        <w:t> </w:t>
      </w:r>
      <w:r>
        <w:rPr>
          <w:vertAlign w:val="baseline"/>
        </w:rPr>
        <w:t>44.7</w:t>
      </w:r>
    </w:p>
    <w:p>
      <w:pPr>
        <w:pStyle w:val="BodyText"/>
        <w:spacing w:before="252"/>
        <w:ind w:left="2980"/>
      </w:pPr>
      <w:r>
        <w:rPr/>
        <w:t>0.05</w:t>
      </w:r>
      <w:r>
        <w:rPr>
          <w:vertAlign w:val="superscript"/>
        </w:rPr>
        <w:t>2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355" w:lineRule="auto"/>
        <w:ind w:left="820" w:right="1433"/>
      </w:pPr>
      <w:r>
        <w:rPr/>
        <w:t>Therefore,</w:t>
      </w:r>
      <w:r>
        <w:rPr>
          <w:spacing w:val="12"/>
        </w:rPr>
        <w:t> </w:t>
      </w:r>
      <w:r>
        <w:rPr/>
        <w:t>45</w:t>
      </w:r>
      <w:r>
        <w:rPr>
          <w:spacing w:val="9"/>
        </w:rPr>
        <w:t> </w:t>
      </w:r>
      <w:r>
        <w:rPr/>
        <w:t>sickle</w:t>
      </w:r>
      <w:r>
        <w:rPr>
          <w:spacing w:val="13"/>
        </w:rPr>
        <w:t> </w:t>
      </w:r>
      <w:r>
        <w:rPr/>
        <w:t>cell</w:t>
      </w:r>
      <w:r>
        <w:rPr>
          <w:spacing w:val="6"/>
        </w:rPr>
        <w:t> </w:t>
      </w:r>
      <w:r>
        <w:rPr/>
        <w:t>disease</w:t>
      </w:r>
      <w:r>
        <w:rPr>
          <w:spacing w:val="9"/>
        </w:rPr>
        <w:t> </w:t>
      </w:r>
      <w:r>
        <w:rPr/>
        <w:t>patients</w:t>
      </w:r>
      <w:r>
        <w:rPr>
          <w:spacing w:val="13"/>
        </w:rPr>
        <w:t> </w:t>
      </w:r>
      <w:r>
        <w:rPr/>
        <w:t>in</w:t>
      </w:r>
      <w:r>
        <w:rPr>
          <w:spacing w:val="9"/>
        </w:rPr>
        <w:t> </w:t>
      </w:r>
      <w:r>
        <w:rPr/>
        <w:t>crises,</w:t>
      </w:r>
      <w:r>
        <w:rPr>
          <w:spacing w:val="12"/>
        </w:rPr>
        <w:t> </w:t>
      </w:r>
      <w:r>
        <w:rPr/>
        <w:t>45</w:t>
      </w:r>
      <w:r>
        <w:rPr>
          <w:spacing w:val="10"/>
        </w:rPr>
        <w:t> </w:t>
      </w:r>
      <w:r>
        <w:rPr/>
        <w:t>sickle</w:t>
      </w:r>
      <w:r>
        <w:rPr>
          <w:spacing w:val="9"/>
        </w:rPr>
        <w:t> </w:t>
      </w:r>
      <w:r>
        <w:rPr/>
        <w:t>cell</w:t>
      </w:r>
      <w:r>
        <w:rPr>
          <w:spacing w:val="5"/>
        </w:rPr>
        <w:t> </w:t>
      </w:r>
      <w:r>
        <w:rPr/>
        <w:t>disease</w:t>
      </w:r>
      <w:r>
        <w:rPr>
          <w:spacing w:val="10"/>
        </w:rPr>
        <w:t> </w:t>
      </w:r>
      <w:r>
        <w:rPr/>
        <w:t>patients</w:t>
      </w:r>
      <w:r>
        <w:rPr>
          <w:spacing w:val="12"/>
        </w:rPr>
        <w:t> </w:t>
      </w:r>
      <w:r>
        <w:rPr/>
        <w:t>in</w:t>
      </w:r>
      <w:r>
        <w:rPr>
          <w:spacing w:val="10"/>
        </w:rPr>
        <w:t> </w:t>
      </w:r>
      <w:r>
        <w:rPr/>
        <w:t>steady</w:t>
      </w:r>
      <w:r>
        <w:rPr>
          <w:spacing w:val="6"/>
        </w:rPr>
        <w:t> </w:t>
      </w:r>
      <w:r>
        <w:rPr/>
        <w:t>state,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45 apparently healthy</w:t>
      </w:r>
      <w:r>
        <w:rPr>
          <w:spacing w:val="-5"/>
        </w:rPr>
        <w:t> </w:t>
      </w:r>
      <w:r>
        <w:rPr/>
        <w:t>volunteers</w:t>
      </w:r>
      <w:r>
        <w:rPr>
          <w:spacing w:val="-3"/>
        </w:rPr>
        <w:t> </w:t>
      </w:r>
      <w:r>
        <w:rPr/>
        <w:t>(a</w:t>
      </w:r>
      <w:r>
        <w:rPr>
          <w:spacing w:val="-5"/>
        </w:rPr>
        <w:t> </w:t>
      </w:r>
      <w:r>
        <w:rPr/>
        <w:t>total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135)</w:t>
      </w:r>
      <w:r>
        <w:rPr>
          <w:spacing w:val="1"/>
        </w:rPr>
        <w:t> </w:t>
      </w:r>
      <w:r>
        <w:rPr/>
        <w:t>subjects</w:t>
      </w:r>
      <w:r>
        <w:rPr>
          <w:spacing w:val="-2"/>
        </w:rPr>
        <w:t> </w:t>
      </w:r>
      <w:r>
        <w:rPr/>
        <w:t>comprised the</w:t>
      </w:r>
      <w:r>
        <w:rPr>
          <w:spacing w:val="-2"/>
        </w:rPr>
        <w:t> </w:t>
      </w:r>
      <w:r>
        <w:rPr/>
        <w:t>sample</w:t>
      </w:r>
      <w:r>
        <w:rPr>
          <w:spacing w:val="-1"/>
        </w:rPr>
        <w:t> </w:t>
      </w:r>
      <w:r>
        <w:rPr/>
        <w:t>population.</w:t>
      </w:r>
    </w:p>
    <w:p>
      <w:pPr>
        <w:pStyle w:val="Heading1"/>
        <w:numPr>
          <w:ilvl w:val="2"/>
          <w:numId w:val="26"/>
        </w:numPr>
        <w:tabs>
          <w:tab w:pos="1482" w:val="left" w:leader="none"/>
        </w:tabs>
        <w:spacing w:line="240" w:lineRule="auto" w:before="210" w:after="0"/>
        <w:ind w:left="1481" w:right="0" w:hanging="662"/>
        <w:jc w:val="left"/>
      </w:pPr>
      <w:r>
        <w:rPr/>
        <w:t>Study</w:t>
      </w:r>
      <w:r>
        <w:rPr>
          <w:spacing w:val="-4"/>
        </w:rPr>
        <w:t> </w:t>
      </w:r>
      <w:r>
        <w:rPr/>
        <w:t>design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55" w:lineRule="auto"/>
        <w:ind w:left="820" w:right="1433"/>
      </w:pPr>
      <w:r>
        <w:rPr/>
        <w:t>The</w:t>
      </w:r>
      <w:r>
        <w:rPr>
          <w:spacing w:val="1"/>
        </w:rPr>
        <w:t> </w:t>
      </w:r>
      <w:r>
        <w:rPr/>
        <w:t>research was</w:t>
      </w:r>
      <w:r>
        <w:rPr>
          <w:spacing w:val="1"/>
        </w:rPr>
        <w:t> </w:t>
      </w:r>
      <w:r>
        <w:rPr/>
        <w:t>approved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Ethics</w:t>
      </w:r>
      <w:r>
        <w:rPr>
          <w:spacing w:val="1"/>
        </w:rPr>
        <w:t> </w:t>
      </w:r>
      <w:r>
        <w:rPr/>
        <w:t>Committee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ABUTH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retrospective and</w:t>
      </w:r>
      <w:r>
        <w:rPr>
          <w:spacing w:val="2"/>
        </w:rPr>
        <w:t> </w:t>
      </w:r>
      <w:r>
        <w:rPr/>
        <w:t>prospective case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study.</w:t>
      </w:r>
    </w:p>
    <w:p>
      <w:pPr>
        <w:pStyle w:val="Heading1"/>
        <w:numPr>
          <w:ilvl w:val="2"/>
          <w:numId w:val="26"/>
        </w:numPr>
        <w:tabs>
          <w:tab w:pos="1482" w:val="left" w:leader="none"/>
        </w:tabs>
        <w:spacing w:line="240" w:lineRule="auto" w:before="211" w:after="0"/>
        <w:ind w:left="1481" w:right="0" w:hanging="662"/>
        <w:jc w:val="left"/>
      </w:pPr>
      <w:r>
        <w:rPr/>
        <w:t>Reagents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ListParagraph"/>
        <w:numPr>
          <w:ilvl w:val="0"/>
          <w:numId w:val="28"/>
        </w:numPr>
        <w:tabs>
          <w:tab w:pos="2259" w:val="left" w:leader="none"/>
          <w:tab w:pos="2260" w:val="left" w:leader="none"/>
          <w:tab w:pos="4918" w:val="left" w:leader="none"/>
          <w:tab w:pos="6021" w:val="left" w:leader="none"/>
          <w:tab w:pos="6928" w:val="left" w:leader="none"/>
          <w:tab w:pos="8327" w:val="left" w:leader="none"/>
          <w:tab w:pos="9041" w:val="left" w:leader="none"/>
          <w:tab w:pos="10092" w:val="left" w:leader="none"/>
        </w:tabs>
        <w:spacing w:line="360" w:lineRule="auto" w:before="1" w:after="0"/>
        <w:ind w:left="2260" w:right="1444" w:hanging="485"/>
        <w:jc w:val="left"/>
        <w:rPr>
          <w:sz w:val="24"/>
        </w:rPr>
      </w:pPr>
      <w:r>
        <w:rPr>
          <w:sz w:val="24"/>
        </w:rPr>
        <w:t>Amino-methyl-propanol;</w:t>
        <w:tab/>
        <w:t>Ethylene</w:t>
        <w:tab/>
        <w:t>Glycol</w:t>
        <w:tab/>
        <w:t>Tetra-acetic</w:t>
        <w:tab/>
        <w:t>Acid</w:t>
        <w:tab/>
        <w:t>(EGTA)</w:t>
        <w:tab/>
      </w:r>
      <w:r>
        <w:rPr>
          <w:spacing w:val="-3"/>
          <w:sz w:val="24"/>
        </w:rPr>
        <w:t>(</w:t>
      </w:r>
      <w:r>
        <w:rPr>
          <w:spacing w:val="-57"/>
          <w:sz w:val="24"/>
        </w:rPr>
        <w:t> </w:t>
      </w:r>
      <w:r>
        <w:rPr>
          <w:sz w:val="24"/>
        </w:rPr>
        <w:t>magnesium</w:t>
      </w:r>
      <w:r>
        <w:rPr>
          <w:spacing w:val="19"/>
          <w:sz w:val="24"/>
        </w:rPr>
        <w:t> </w:t>
      </w:r>
      <w:r>
        <w:rPr>
          <w:sz w:val="24"/>
        </w:rPr>
        <w:t>buffer)-</w:t>
      </w:r>
      <w:r>
        <w:rPr>
          <w:spacing w:val="21"/>
          <w:sz w:val="24"/>
        </w:rPr>
        <w:t> </w:t>
      </w:r>
      <w:r>
        <w:rPr>
          <w:sz w:val="24"/>
        </w:rPr>
        <w:t>1mmol/L;</w:t>
      </w:r>
      <w:r>
        <w:rPr>
          <w:spacing w:val="16"/>
          <w:sz w:val="24"/>
        </w:rPr>
        <w:t> </w:t>
      </w:r>
      <w:r>
        <w:rPr>
          <w:sz w:val="24"/>
        </w:rPr>
        <w:t>0.21mmol/L</w:t>
      </w:r>
      <w:r>
        <w:rPr>
          <w:spacing w:val="17"/>
          <w:sz w:val="24"/>
        </w:rPr>
        <w:t> </w:t>
      </w:r>
      <w:r>
        <w:rPr>
          <w:sz w:val="24"/>
        </w:rPr>
        <w:t>–</w:t>
      </w:r>
      <w:r>
        <w:rPr>
          <w:spacing w:val="23"/>
          <w:sz w:val="24"/>
        </w:rPr>
        <w:t> </w:t>
      </w:r>
      <w:r>
        <w:rPr>
          <w:sz w:val="24"/>
        </w:rPr>
        <w:t>CHEMELEX,</w:t>
      </w:r>
      <w:r>
        <w:rPr>
          <w:spacing w:val="21"/>
          <w:sz w:val="24"/>
        </w:rPr>
        <w:t> </w:t>
      </w:r>
      <w:r>
        <w:rPr>
          <w:sz w:val="24"/>
        </w:rPr>
        <w:t>SOUTH</w:t>
      </w:r>
      <w:r>
        <w:rPr>
          <w:spacing w:val="19"/>
          <w:sz w:val="24"/>
        </w:rPr>
        <w:t> </w:t>
      </w:r>
      <w:r>
        <w:rPr>
          <w:sz w:val="24"/>
        </w:rPr>
        <w:t>AFRICA</w:t>
      </w:r>
      <w:r>
        <w:rPr>
          <w:spacing w:val="15"/>
          <w:sz w:val="24"/>
        </w:rPr>
        <w:t> </w:t>
      </w:r>
      <w:r>
        <w:rPr>
          <w:sz w:val="24"/>
        </w:rPr>
        <w:t>-</w:t>
      </w:r>
    </w:p>
    <w:p>
      <w:pPr>
        <w:pStyle w:val="BodyText"/>
        <w:spacing w:line="269" w:lineRule="exact"/>
        <w:ind w:left="2260"/>
      </w:pPr>
      <w:r>
        <w:rPr/>
        <w:t>LKBSDTT28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28"/>
        </w:numPr>
        <w:tabs>
          <w:tab w:pos="2259" w:val="left" w:leader="none"/>
          <w:tab w:pos="2260" w:val="left" w:leader="none"/>
        </w:tabs>
        <w:spacing w:line="240" w:lineRule="auto" w:before="0" w:after="0"/>
        <w:ind w:left="2260" w:right="0" w:hanging="552"/>
        <w:jc w:val="left"/>
        <w:rPr>
          <w:sz w:val="24"/>
        </w:rPr>
      </w:pPr>
      <w:r>
        <w:rPr>
          <w:sz w:val="24"/>
        </w:rPr>
        <w:t>Calmagite</w:t>
      </w:r>
      <w:r>
        <w:rPr>
          <w:spacing w:val="-5"/>
          <w:sz w:val="24"/>
        </w:rPr>
        <w:t> </w:t>
      </w:r>
      <w:r>
        <w:rPr>
          <w:sz w:val="24"/>
        </w:rPr>
        <w:t>(chromogen)-</w:t>
      </w:r>
      <w:r>
        <w:rPr>
          <w:spacing w:val="-1"/>
          <w:sz w:val="24"/>
        </w:rPr>
        <w:t> </w:t>
      </w:r>
      <w:r>
        <w:rPr>
          <w:sz w:val="24"/>
        </w:rPr>
        <w:t>0.30mmol/L</w:t>
      </w:r>
      <w:r>
        <w:rPr>
          <w:spacing w:val="-5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CHEMELEX,</w:t>
      </w:r>
      <w:r>
        <w:rPr>
          <w:spacing w:val="-5"/>
          <w:sz w:val="24"/>
        </w:rPr>
        <w:t> </w:t>
      </w:r>
      <w:r>
        <w:rPr>
          <w:sz w:val="24"/>
        </w:rPr>
        <w:t>SOUTH</w:t>
      </w:r>
      <w:r>
        <w:rPr>
          <w:spacing w:val="-3"/>
          <w:sz w:val="24"/>
        </w:rPr>
        <w:t> </w:t>
      </w:r>
      <w:r>
        <w:rPr>
          <w:sz w:val="24"/>
        </w:rPr>
        <w:t>AFRICA</w:t>
      </w:r>
    </w:p>
    <w:p>
      <w:pPr>
        <w:pStyle w:val="BodyText"/>
        <w:spacing w:before="10"/>
        <w:rPr>
          <w:sz w:val="29"/>
        </w:rPr>
      </w:pPr>
    </w:p>
    <w:p>
      <w:pPr>
        <w:pStyle w:val="ListParagraph"/>
        <w:numPr>
          <w:ilvl w:val="0"/>
          <w:numId w:val="28"/>
        </w:numPr>
        <w:tabs>
          <w:tab w:pos="2259" w:val="left" w:leader="none"/>
          <w:tab w:pos="2260" w:val="left" w:leader="none"/>
          <w:tab w:pos="8864" w:val="left" w:leader="none"/>
        </w:tabs>
        <w:spacing w:line="355" w:lineRule="auto" w:before="0" w:after="0"/>
        <w:ind w:left="2260" w:right="1444" w:hanging="620"/>
        <w:jc w:val="left"/>
        <w:rPr>
          <w:sz w:val="24"/>
        </w:rPr>
      </w:pPr>
      <w:r>
        <w:rPr>
          <w:sz w:val="24"/>
        </w:rPr>
        <w:t>Magnesium  </w:t>
      </w:r>
      <w:r>
        <w:rPr>
          <w:spacing w:val="8"/>
          <w:sz w:val="24"/>
        </w:rPr>
        <w:t> </w:t>
      </w:r>
      <w:r>
        <w:rPr>
          <w:sz w:val="24"/>
        </w:rPr>
        <w:t>aqueous  </w:t>
      </w:r>
      <w:r>
        <w:rPr>
          <w:spacing w:val="10"/>
          <w:sz w:val="24"/>
        </w:rPr>
        <w:t> </w:t>
      </w:r>
      <w:r>
        <w:rPr>
          <w:sz w:val="24"/>
        </w:rPr>
        <w:t>primary  </w:t>
      </w:r>
      <w:r>
        <w:rPr>
          <w:spacing w:val="9"/>
          <w:sz w:val="24"/>
        </w:rPr>
        <w:t> </w:t>
      </w:r>
      <w:r>
        <w:rPr>
          <w:sz w:val="24"/>
        </w:rPr>
        <w:t>calibrator  </w:t>
      </w:r>
      <w:r>
        <w:rPr>
          <w:spacing w:val="14"/>
          <w:sz w:val="24"/>
        </w:rPr>
        <w:t> </w:t>
      </w:r>
      <w:r>
        <w:rPr>
          <w:sz w:val="24"/>
        </w:rPr>
        <w:t>(Magnesium  </w:t>
      </w:r>
      <w:r>
        <w:rPr>
          <w:spacing w:val="9"/>
          <w:sz w:val="24"/>
        </w:rPr>
        <w:t> </w:t>
      </w:r>
      <w:r>
        <w:rPr>
          <w:sz w:val="24"/>
        </w:rPr>
        <w:t>CAL.)</w:t>
        <w:tab/>
        <w:t>-</w:t>
      </w:r>
      <w:r>
        <w:rPr>
          <w:spacing w:val="9"/>
          <w:sz w:val="24"/>
        </w:rPr>
        <w:t> </w:t>
      </w:r>
      <w:r>
        <w:rPr>
          <w:sz w:val="24"/>
        </w:rPr>
        <w:t>2mg/dL</w:t>
      </w:r>
      <w:r>
        <w:rPr>
          <w:spacing w:val="6"/>
          <w:sz w:val="24"/>
        </w:rPr>
        <w:t> </w:t>
      </w:r>
      <w:r>
        <w:rPr>
          <w:sz w:val="24"/>
        </w:rPr>
        <w:t>-</w:t>
      </w:r>
      <w:r>
        <w:rPr>
          <w:spacing w:val="-57"/>
          <w:sz w:val="24"/>
        </w:rPr>
        <w:t> </w:t>
      </w:r>
      <w:r>
        <w:rPr>
          <w:sz w:val="24"/>
        </w:rPr>
        <w:t>CHEMELEX,</w:t>
      </w:r>
      <w:r>
        <w:rPr>
          <w:spacing w:val="3"/>
          <w:sz w:val="24"/>
        </w:rPr>
        <w:t> </w:t>
      </w:r>
      <w:r>
        <w:rPr>
          <w:sz w:val="24"/>
        </w:rPr>
        <w:t>SOUTH</w:t>
      </w:r>
      <w:r>
        <w:rPr>
          <w:spacing w:val="-3"/>
          <w:sz w:val="24"/>
        </w:rPr>
        <w:t> </w:t>
      </w:r>
      <w:r>
        <w:rPr>
          <w:sz w:val="24"/>
        </w:rPr>
        <w:t>AFRICA</w:t>
      </w:r>
    </w:p>
    <w:p>
      <w:pPr>
        <w:pStyle w:val="ListParagraph"/>
        <w:numPr>
          <w:ilvl w:val="0"/>
          <w:numId w:val="28"/>
        </w:numPr>
        <w:tabs>
          <w:tab w:pos="2259" w:val="left" w:leader="none"/>
          <w:tab w:pos="2260" w:val="left" w:leader="none"/>
          <w:tab w:pos="2907" w:val="left" w:leader="none"/>
          <w:tab w:pos="3694" w:val="left" w:leader="none"/>
          <w:tab w:pos="4823" w:val="left" w:leader="none"/>
          <w:tab w:pos="6095" w:val="left" w:leader="none"/>
          <w:tab w:pos="6387" w:val="left" w:leader="none"/>
          <w:tab w:pos="7967" w:val="left" w:leader="none"/>
          <w:tab w:pos="8975" w:val="left" w:leader="none"/>
          <w:tab w:pos="10055" w:val="left" w:leader="none"/>
        </w:tabs>
        <w:spacing w:line="240" w:lineRule="auto" w:before="211" w:after="0"/>
        <w:ind w:left="2260" w:right="0" w:hanging="605"/>
        <w:jc w:val="left"/>
        <w:rPr>
          <w:sz w:val="24"/>
        </w:rPr>
      </w:pPr>
      <w:r>
        <w:rPr>
          <w:sz w:val="24"/>
        </w:rPr>
        <w:t>Zinc</w:t>
        <w:tab/>
        <w:t>buffer</w:t>
        <w:tab/>
        <w:t>(pH-8.6)-</w:t>
        <w:tab/>
        <w:t>0.2mmol/L</w:t>
        <w:tab/>
        <w:t>-</w:t>
        <w:tab/>
        <w:t>CHEMELEX,</w:t>
        <w:tab/>
        <w:t>SOUTH</w:t>
        <w:tab/>
        <w:t>AFRICA</w:t>
        <w:tab/>
        <w:t>–</w:t>
      </w:r>
    </w:p>
    <w:p>
      <w:pPr>
        <w:pStyle w:val="BodyText"/>
        <w:spacing w:before="132"/>
        <w:ind w:left="2260"/>
      </w:pPr>
      <w:r>
        <w:rPr/>
        <w:t>LKBSDTT40</w:t>
      </w:r>
    </w:p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0"/>
          <w:numId w:val="28"/>
        </w:numPr>
        <w:tabs>
          <w:tab w:pos="2259" w:val="left" w:leader="none"/>
          <w:tab w:pos="2260" w:val="left" w:leader="none"/>
          <w:tab w:pos="8436" w:val="left" w:leader="none"/>
          <w:tab w:pos="9457" w:val="left" w:leader="none"/>
        </w:tabs>
        <w:spacing w:line="360" w:lineRule="auto" w:before="0" w:after="0"/>
        <w:ind w:left="2260" w:right="1441" w:hanging="538"/>
        <w:jc w:val="left"/>
        <w:rPr>
          <w:sz w:val="24"/>
        </w:rPr>
      </w:pPr>
      <w:r>
        <w:rPr>
          <w:sz w:val="24"/>
        </w:rPr>
        <w:t>2-(5-Bromo-2-pyridiylazo)-5-[N-n-propyl-N-(3-sulfopropyl)</w:t>
        <w:tab/>
        <w:t>amino]</w:t>
        <w:tab/>
        <w:t>phenol,</w:t>
      </w:r>
      <w:r>
        <w:rPr>
          <w:spacing w:val="-57"/>
          <w:sz w:val="24"/>
        </w:rPr>
        <w:t> </w:t>
      </w:r>
      <w:r>
        <w:rPr>
          <w:sz w:val="24"/>
        </w:rPr>
        <w:t>disodium</w:t>
      </w:r>
      <w:r>
        <w:rPr>
          <w:spacing w:val="48"/>
          <w:sz w:val="24"/>
        </w:rPr>
        <w:t> </w:t>
      </w:r>
      <w:r>
        <w:rPr>
          <w:sz w:val="24"/>
        </w:rPr>
        <w:t>salt,</w:t>
      </w:r>
      <w:r>
        <w:rPr>
          <w:spacing w:val="49"/>
          <w:sz w:val="24"/>
        </w:rPr>
        <w:t> </w:t>
      </w:r>
      <w:r>
        <w:rPr>
          <w:sz w:val="24"/>
        </w:rPr>
        <w:t>dehydrate</w:t>
      </w:r>
      <w:r>
        <w:rPr>
          <w:spacing w:val="46"/>
          <w:sz w:val="24"/>
        </w:rPr>
        <w:t> </w:t>
      </w:r>
      <w:r>
        <w:rPr>
          <w:sz w:val="24"/>
        </w:rPr>
        <w:t>(5-Br-PAPS)</w:t>
      </w:r>
      <w:r>
        <w:rPr>
          <w:spacing w:val="49"/>
          <w:sz w:val="24"/>
        </w:rPr>
        <w:t> </w:t>
      </w:r>
      <w:r>
        <w:rPr>
          <w:sz w:val="24"/>
        </w:rPr>
        <w:t>–</w:t>
      </w:r>
      <w:r>
        <w:rPr>
          <w:spacing w:val="47"/>
          <w:sz w:val="24"/>
        </w:rPr>
        <w:t> </w:t>
      </w:r>
      <w:r>
        <w:rPr>
          <w:sz w:val="24"/>
        </w:rPr>
        <w:t>Colour</w:t>
      </w:r>
      <w:r>
        <w:rPr>
          <w:spacing w:val="50"/>
          <w:sz w:val="24"/>
        </w:rPr>
        <w:t> </w:t>
      </w:r>
      <w:r>
        <w:rPr>
          <w:sz w:val="24"/>
        </w:rPr>
        <w:t>–</w:t>
      </w:r>
      <w:r>
        <w:rPr>
          <w:spacing w:val="47"/>
          <w:sz w:val="24"/>
        </w:rPr>
        <w:t> </w:t>
      </w:r>
      <w:r>
        <w:rPr>
          <w:sz w:val="24"/>
        </w:rPr>
        <w:t>1.1</w:t>
      </w:r>
      <w:r>
        <w:rPr>
          <w:spacing w:val="51"/>
          <w:sz w:val="24"/>
        </w:rPr>
        <w:t> </w:t>
      </w:r>
      <w:r>
        <w:rPr>
          <w:sz w:val="24"/>
        </w:rPr>
        <w:t>mmol/L-</w:t>
      </w:r>
      <w:r>
        <w:rPr>
          <w:spacing w:val="49"/>
          <w:sz w:val="24"/>
        </w:rPr>
        <w:t> </w:t>
      </w:r>
      <w:r>
        <w:rPr>
          <w:sz w:val="24"/>
        </w:rPr>
        <w:t>CHEMELEX,</w:t>
      </w:r>
    </w:p>
    <w:p>
      <w:pPr>
        <w:pStyle w:val="BodyText"/>
        <w:spacing w:line="274" w:lineRule="exact"/>
        <w:ind w:left="2260"/>
      </w:pPr>
      <w:r>
        <w:rPr/>
        <w:t>SOUTH</w:t>
      </w:r>
      <w:r>
        <w:rPr>
          <w:spacing w:val="-2"/>
        </w:rPr>
        <w:t> </w:t>
      </w:r>
      <w:r>
        <w:rPr/>
        <w:t>AFRICA</w:t>
      </w:r>
      <w:r>
        <w:rPr>
          <w:spacing w:val="-7"/>
        </w:rPr>
        <w:t> </w:t>
      </w:r>
      <w:r>
        <w:rPr/>
        <w:t>–</w:t>
      </w:r>
      <w:r>
        <w:rPr>
          <w:spacing w:val="-1"/>
        </w:rPr>
        <w:t> </w:t>
      </w:r>
      <w:r>
        <w:rPr/>
        <w:t>Ref.:</w:t>
      </w:r>
      <w:r>
        <w:rPr>
          <w:spacing w:val="-1"/>
        </w:rPr>
        <w:t> </w:t>
      </w:r>
      <w:r>
        <w:rPr/>
        <w:t>30400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28"/>
        </w:numPr>
        <w:tabs>
          <w:tab w:pos="2259" w:val="left" w:leader="none"/>
          <w:tab w:pos="2260" w:val="left" w:leader="none"/>
        </w:tabs>
        <w:spacing w:line="240" w:lineRule="auto" w:before="0" w:after="0"/>
        <w:ind w:left="2260" w:right="0" w:hanging="605"/>
        <w:jc w:val="left"/>
        <w:rPr>
          <w:sz w:val="24"/>
        </w:rPr>
      </w:pPr>
      <w:r>
        <w:rPr>
          <w:sz w:val="24"/>
        </w:rPr>
        <w:t>Ascorbic</w:t>
      </w:r>
      <w:r>
        <w:rPr>
          <w:spacing w:val="-4"/>
          <w:sz w:val="24"/>
        </w:rPr>
        <w:t> </w:t>
      </w:r>
      <w:r>
        <w:rPr>
          <w:sz w:val="24"/>
        </w:rPr>
        <w:t>acid</w:t>
      </w:r>
      <w:r>
        <w:rPr>
          <w:spacing w:val="-2"/>
          <w:sz w:val="24"/>
        </w:rPr>
        <w:t> </w:t>
      </w:r>
      <w:r>
        <w:rPr>
          <w:sz w:val="24"/>
        </w:rPr>
        <w:t>powder</w:t>
      </w:r>
      <w:r>
        <w:rPr>
          <w:spacing w:val="-1"/>
          <w:sz w:val="24"/>
        </w:rPr>
        <w:t> </w:t>
      </w:r>
      <w:r>
        <w:rPr>
          <w:sz w:val="24"/>
        </w:rPr>
        <w:t>(reducing</w:t>
      </w:r>
      <w:r>
        <w:rPr>
          <w:spacing w:val="-3"/>
          <w:sz w:val="24"/>
        </w:rPr>
        <w:t> </w:t>
      </w:r>
      <w:r>
        <w:rPr>
          <w:sz w:val="24"/>
        </w:rPr>
        <w:t>agent)</w:t>
      </w:r>
      <w:r>
        <w:rPr>
          <w:spacing w:val="-2"/>
          <w:sz w:val="24"/>
        </w:rPr>
        <w:t> </w:t>
      </w:r>
      <w:r>
        <w:rPr>
          <w:sz w:val="24"/>
        </w:rPr>
        <w:t>- CHEMELEX,</w:t>
      </w:r>
      <w:r>
        <w:rPr>
          <w:spacing w:val="-1"/>
          <w:sz w:val="24"/>
        </w:rPr>
        <w:t> </w:t>
      </w:r>
      <w:r>
        <w:rPr>
          <w:sz w:val="24"/>
        </w:rPr>
        <w:t>SOUTH</w:t>
      </w:r>
      <w:r>
        <w:rPr>
          <w:spacing w:val="-7"/>
          <w:sz w:val="24"/>
        </w:rPr>
        <w:t> </w:t>
      </w:r>
      <w:r>
        <w:rPr>
          <w:sz w:val="24"/>
        </w:rPr>
        <w:t>AFRICA</w:t>
      </w:r>
    </w:p>
    <w:p>
      <w:pPr>
        <w:pStyle w:val="BodyText"/>
        <w:spacing w:before="10"/>
        <w:rPr>
          <w:sz w:val="29"/>
        </w:rPr>
      </w:pPr>
    </w:p>
    <w:p>
      <w:pPr>
        <w:pStyle w:val="ListParagraph"/>
        <w:numPr>
          <w:ilvl w:val="0"/>
          <w:numId w:val="28"/>
        </w:numPr>
        <w:tabs>
          <w:tab w:pos="2259" w:val="left" w:leader="none"/>
          <w:tab w:pos="2260" w:val="left" w:leader="none"/>
        </w:tabs>
        <w:spacing w:line="355" w:lineRule="auto" w:before="0" w:after="0"/>
        <w:ind w:left="2260" w:right="1435" w:hanging="672"/>
        <w:jc w:val="left"/>
        <w:rPr>
          <w:sz w:val="24"/>
        </w:rPr>
      </w:pPr>
      <w:r>
        <w:rPr>
          <w:sz w:val="24"/>
        </w:rPr>
        <w:t>Zinc</w:t>
      </w:r>
      <w:r>
        <w:rPr>
          <w:spacing w:val="30"/>
          <w:sz w:val="24"/>
        </w:rPr>
        <w:t> </w:t>
      </w:r>
      <w:r>
        <w:rPr>
          <w:sz w:val="24"/>
        </w:rPr>
        <w:t>primary</w:t>
      </w:r>
      <w:r>
        <w:rPr>
          <w:spacing w:val="27"/>
          <w:sz w:val="24"/>
        </w:rPr>
        <w:t> </w:t>
      </w:r>
      <w:r>
        <w:rPr>
          <w:sz w:val="24"/>
        </w:rPr>
        <w:t>standard</w:t>
      </w:r>
      <w:r>
        <w:rPr>
          <w:spacing w:val="31"/>
          <w:sz w:val="24"/>
        </w:rPr>
        <w:t> </w:t>
      </w:r>
      <w:r>
        <w:rPr>
          <w:sz w:val="24"/>
        </w:rPr>
        <w:t>calibrator</w:t>
      </w:r>
      <w:r>
        <w:rPr>
          <w:spacing w:val="28"/>
          <w:sz w:val="24"/>
        </w:rPr>
        <w:t> </w:t>
      </w:r>
      <w:r>
        <w:rPr>
          <w:sz w:val="24"/>
        </w:rPr>
        <w:t>(Zinc</w:t>
      </w:r>
      <w:r>
        <w:rPr>
          <w:spacing w:val="30"/>
          <w:sz w:val="24"/>
        </w:rPr>
        <w:t> </w:t>
      </w:r>
      <w:r>
        <w:rPr>
          <w:sz w:val="24"/>
        </w:rPr>
        <w:t>CAL.)</w:t>
      </w:r>
      <w:r>
        <w:rPr>
          <w:spacing w:val="35"/>
          <w:sz w:val="24"/>
        </w:rPr>
        <w:t> </w:t>
      </w:r>
      <w:r>
        <w:rPr>
          <w:sz w:val="24"/>
        </w:rPr>
        <w:t>-</w:t>
      </w:r>
      <w:r>
        <w:rPr>
          <w:spacing w:val="33"/>
          <w:sz w:val="24"/>
        </w:rPr>
        <w:t> </w:t>
      </w:r>
      <w:r>
        <w:rPr>
          <w:sz w:val="24"/>
        </w:rPr>
        <w:t>200µg/dL</w:t>
      </w:r>
      <w:r>
        <w:rPr>
          <w:spacing w:val="30"/>
          <w:sz w:val="24"/>
        </w:rPr>
        <w:t> </w:t>
      </w:r>
      <w:r>
        <w:rPr>
          <w:sz w:val="24"/>
        </w:rPr>
        <w:t>-</w:t>
      </w:r>
      <w:r>
        <w:rPr>
          <w:spacing w:val="28"/>
          <w:sz w:val="24"/>
        </w:rPr>
        <w:t> </w:t>
      </w:r>
      <w:r>
        <w:rPr>
          <w:sz w:val="24"/>
        </w:rPr>
        <w:t>CHEMELEX,</w:t>
      </w:r>
      <w:r>
        <w:rPr>
          <w:spacing w:val="-57"/>
          <w:sz w:val="24"/>
        </w:rPr>
        <w:t> </w:t>
      </w:r>
      <w:r>
        <w:rPr>
          <w:sz w:val="24"/>
        </w:rPr>
        <w:t>SOUTH</w:t>
      </w:r>
      <w:r>
        <w:rPr>
          <w:spacing w:val="1"/>
          <w:sz w:val="24"/>
        </w:rPr>
        <w:t> </w:t>
      </w:r>
      <w:r>
        <w:rPr>
          <w:sz w:val="24"/>
        </w:rPr>
        <w:t>AFRICA</w:t>
      </w:r>
    </w:p>
    <w:p>
      <w:pPr>
        <w:pStyle w:val="ListParagraph"/>
        <w:numPr>
          <w:ilvl w:val="0"/>
          <w:numId w:val="28"/>
        </w:numPr>
        <w:tabs>
          <w:tab w:pos="2259" w:val="left" w:leader="none"/>
          <w:tab w:pos="2260" w:val="left" w:leader="none"/>
        </w:tabs>
        <w:spacing w:line="355" w:lineRule="auto" w:before="210" w:after="0"/>
        <w:ind w:left="2260" w:right="1443" w:hanging="740"/>
        <w:jc w:val="left"/>
        <w:rPr>
          <w:sz w:val="24"/>
        </w:rPr>
      </w:pPr>
      <w:r>
        <w:rPr>
          <w:sz w:val="24"/>
        </w:rPr>
        <w:t>Acetate</w:t>
      </w:r>
      <w:r>
        <w:rPr>
          <w:spacing w:val="21"/>
          <w:sz w:val="24"/>
        </w:rPr>
        <w:t> </w:t>
      </w:r>
      <w:r>
        <w:rPr>
          <w:sz w:val="24"/>
        </w:rPr>
        <w:t>(</w:t>
      </w:r>
      <w:r>
        <w:rPr>
          <w:spacing w:val="24"/>
          <w:sz w:val="24"/>
        </w:rPr>
        <w:t> </w:t>
      </w:r>
      <w:r>
        <w:rPr>
          <w:sz w:val="24"/>
        </w:rPr>
        <w:t>Copper</w:t>
      </w:r>
      <w:r>
        <w:rPr>
          <w:spacing w:val="19"/>
          <w:sz w:val="24"/>
        </w:rPr>
        <w:t> </w:t>
      </w:r>
      <w:r>
        <w:rPr>
          <w:sz w:val="24"/>
        </w:rPr>
        <w:t>buffer-pH-4.7)-</w:t>
      </w:r>
      <w:r>
        <w:rPr>
          <w:spacing w:val="20"/>
          <w:sz w:val="24"/>
        </w:rPr>
        <w:t> </w:t>
      </w:r>
      <w:r>
        <w:rPr>
          <w:sz w:val="24"/>
        </w:rPr>
        <w:t>1mmol/L</w:t>
      </w:r>
      <w:r>
        <w:rPr>
          <w:spacing w:val="21"/>
          <w:sz w:val="24"/>
        </w:rPr>
        <w:t> </w:t>
      </w:r>
      <w:r>
        <w:rPr>
          <w:sz w:val="24"/>
        </w:rPr>
        <w:t>-</w:t>
      </w:r>
      <w:r>
        <w:rPr>
          <w:spacing w:val="24"/>
          <w:sz w:val="24"/>
        </w:rPr>
        <w:t> </w:t>
      </w:r>
      <w:r>
        <w:rPr>
          <w:sz w:val="24"/>
        </w:rPr>
        <w:t>CHEMELEX,</w:t>
      </w:r>
      <w:r>
        <w:rPr>
          <w:spacing w:val="25"/>
          <w:sz w:val="24"/>
        </w:rPr>
        <w:t> </w:t>
      </w:r>
      <w:r>
        <w:rPr>
          <w:sz w:val="24"/>
        </w:rPr>
        <w:t>SOUTH</w:t>
      </w:r>
      <w:r>
        <w:rPr>
          <w:spacing w:val="22"/>
          <w:sz w:val="24"/>
        </w:rPr>
        <w:t> </w:t>
      </w:r>
      <w:r>
        <w:rPr>
          <w:sz w:val="24"/>
        </w:rPr>
        <w:t>AFRICA</w:t>
      </w:r>
      <w:r>
        <w:rPr>
          <w:spacing w:val="17"/>
          <w:sz w:val="24"/>
        </w:rPr>
        <w:t> </w:t>
      </w:r>
      <w:r>
        <w:rPr>
          <w:sz w:val="24"/>
        </w:rPr>
        <w:t>–</w:t>
      </w:r>
      <w:r>
        <w:rPr>
          <w:spacing w:val="-57"/>
          <w:sz w:val="24"/>
        </w:rPr>
        <w:t> </w:t>
      </w:r>
      <w:r>
        <w:rPr>
          <w:sz w:val="24"/>
        </w:rPr>
        <w:t>LKBSDTT39</w:t>
      </w:r>
    </w:p>
    <w:p>
      <w:pPr>
        <w:spacing w:after="0" w:line="355" w:lineRule="auto"/>
        <w:jc w:val="left"/>
        <w:rPr>
          <w:sz w:val="24"/>
        </w:rPr>
        <w:sectPr>
          <w:pgSz w:w="12240" w:h="15840"/>
          <w:pgMar w:header="0" w:footer="1017" w:top="1320" w:bottom="1200" w:left="620" w:right="0"/>
        </w:sectPr>
      </w:pPr>
    </w:p>
    <w:p>
      <w:pPr>
        <w:pStyle w:val="ListParagraph"/>
        <w:numPr>
          <w:ilvl w:val="0"/>
          <w:numId w:val="28"/>
        </w:numPr>
        <w:tabs>
          <w:tab w:pos="2259" w:val="left" w:leader="none"/>
          <w:tab w:pos="2260" w:val="left" w:leader="none"/>
        </w:tabs>
        <w:spacing w:line="240" w:lineRule="auto" w:before="72" w:after="0"/>
        <w:ind w:left="2260" w:right="0" w:hanging="605"/>
        <w:jc w:val="left"/>
        <w:rPr>
          <w:sz w:val="24"/>
        </w:rPr>
      </w:pPr>
      <w:r>
        <w:rPr>
          <w:sz w:val="24"/>
        </w:rPr>
        <w:t>3,</w:t>
      </w:r>
      <w:r>
        <w:rPr>
          <w:spacing w:val="7"/>
          <w:sz w:val="24"/>
        </w:rPr>
        <w:t> </w:t>
      </w:r>
      <w:r>
        <w:rPr>
          <w:sz w:val="24"/>
        </w:rPr>
        <w:t>5-</w:t>
      </w:r>
      <w:r>
        <w:rPr>
          <w:spacing w:val="3"/>
          <w:sz w:val="24"/>
        </w:rPr>
        <w:t> </w:t>
      </w:r>
      <w:r>
        <w:rPr>
          <w:sz w:val="24"/>
        </w:rPr>
        <w:t>[4-(3,</w:t>
      </w:r>
      <w:r>
        <w:rPr>
          <w:spacing w:val="7"/>
          <w:sz w:val="24"/>
        </w:rPr>
        <w:t> </w:t>
      </w:r>
      <w:r>
        <w:rPr>
          <w:sz w:val="24"/>
        </w:rPr>
        <w:t>5-dibromo-2-pyridylazo)-N-ethyl-N.sulfo-</w:t>
      </w:r>
      <w:r>
        <w:rPr>
          <w:spacing w:val="7"/>
          <w:sz w:val="24"/>
        </w:rPr>
        <w:t> </w:t>
      </w:r>
      <w:r>
        <w:rPr>
          <w:sz w:val="24"/>
        </w:rPr>
        <w:t>propylaniline</w:t>
      </w:r>
      <w:r>
        <w:rPr>
          <w:spacing w:val="5"/>
          <w:sz w:val="24"/>
        </w:rPr>
        <w:t> </w:t>
      </w:r>
      <w:r>
        <w:rPr>
          <w:sz w:val="24"/>
        </w:rPr>
        <w:t>–</w:t>
      </w:r>
      <w:r>
        <w:rPr>
          <w:spacing w:val="6"/>
          <w:sz w:val="24"/>
        </w:rPr>
        <w:t> </w:t>
      </w:r>
      <w:r>
        <w:rPr>
          <w:sz w:val="24"/>
        </w:rPr>
        <w:t>(3,5-</w:t>
      </w:r>
      <w:r>
        <w:rPr>
          <w:spacing w:val="7"/>
          <w:sz w:val="24"/>
        </w:rPr>
        <w:t> </w:t>
      </w:r>
      <w:r>
        <w:rPr>
          <w:sz w:val="24"/>
        </w:rPr>
        <w:t>DiBr-</w:t>
      </w:r>
    </w:p>
    <w:p>
      <w:pPr>
        <w:pStyle w:val="BodyText"/>
        <w:spacing w:before="132"/>
        <w:ind w:left="2260"/>
      </w:pPr>
      <w:r>
        <w:rPr/>
        <w:t>PAESA)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colour -</w:t>
      </w:r>
      <w:r>
        <w:rPr>
          <w:spacing w:val="-4"/>
        </w:rPr>
        <w:t> </w:t>
      </w:r>
      <w:r>
        <w:rPr/>
        <w:t>0.4mmol/L</w:t>
      </w:r>
      <w:r>
        <w:rPr>
          <w:spacing w:val="-4"/>
        </w:rPr>
        <w:t> </w:t>
      </w:r>
      <w:r>
        <w:rPr/>
        <w:t>- CHEMELEX, SOUTH</w:t>
      </w:r>
      <w:r>
        <w:rPr>
          <w:spacing w:val="-1"/>
        </w:rPr>
        <w:t> </w:t>
      </w:r>
      <w:r>
        <w:rPr/>
        <w:t>AFRICA</w:t>
      </w:r>
      <w:r>
        <w:rPr>
          <w:spacing w:val="-8"/>
        </w:rPr>
        <w:t> </w:t>
      </w:r>
      <w:r>
        <w:rPr/>
        <w:t>–</w:t>
      </w:r>
      <w:r>
        <w:rPr>
          <w:spacing w:val="-1"/>
        </w:rPr>
        <w:t> </w:t>
      </w:r>
      <w:r>
        <w:rPr/>
        <w:t>Ref.:</w:t>
      </w:r>
      <w:r>
        <w:rPr>
          <w:spacing w:val="-2"/>
        </w:rPr>
        <w:t> </w:t>
      </w:r>
      <w:r>
        <w:rPr/>
        <w:t>30205</w:t>
      </w:r>
    </w:p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0"/>
          <w:numId w:val="28"/>
        </w:numPr>
        <w:tabs>
          <w:tab w:pos="2259" w:val="left" w:leader="none"/>
          <w:tab w:pos="2260" w:val="left" w:leader="none"/>
        </w:tabs>
        <w:spacing w:line="355" w:lineRule="auto" w:before="0" w:after="0"/>
        <w:ind w:left="2260" w:right="1441" w:hanging="538"/>
        <w:jc w:val="left"/>
        <w:rPr>
          <w:sz w:val="24"/>
        </w:rPr>
      </w:pPr>
      <w:r>
        <w:rPr>
          <w:sz w:val="24"/>
        </w:rPr>
        <w:t>Copper</w:t>
      </w:r>
      <w:r>
        <w:rPr>
          <w:spacing w:val="11"/>
          <w:sz w:val="24"/>
        </w:rPr>
        <w:t> </w:t>
      </w:r>
      <w:r>
        <w:rPr>
          <w:sz w:val="24"/>
        </w:rPr>
        <w:t>aqueous</w:t>
      </w:r>
      <w:r>
        <w:rPr>
          <w:spacing w:val="6"/>
          <w:sz w:val="24"/>
        </w:rPr>
        <w:t> </w:t>
      </w:r>
      <w:r>
        <w:rPr>
          <w:sz w:val="24"/>
        </w:rPr>
        <w:t>primary</w:t>
      </w:r>
      <w:r>
        <w:rPr>
          <w:spacing w:val="4"/>
          <w:sz w:val="24"/>
        </w:rPr>
        <w:t> </w:t>
      </w:r>
      <w:r>
        <w:rPr>
          <w:sz w:val="24"/>
        </w:rPr>
        <w:t>solution</w:t>
      </w:r>
      <w:r>
        <w:rPr>
          <w:spacing w:val="4"/>
          <w:sz w:val="24"/>
        </w:rPr>
        <w:t> </w:t>
      </w:r>
      <w:r>
        <w:rPr>
          <w:sz w:val="24"/>
        </w:rPr>
        <w:t>(Copper</w:t>
      </w:r>
      <w:r>
        <w:rPr>
          <w:spacing w:val="10"/>
          <w:sz w:val="24"/>
        </w:rPr>
        <w:t> </w:t>
      </w:r>
      <w:r>
        <w:rPr>
          <w:sz w:val="24"/>
        </w:rPr>
        <w:t>CAL.)-</w:t>
      </w:r>
      <w:r>
        <w:rPr>
          <w:spacing w:val="10"/>
          <w:sz w:val="24"/>
        </w:rPr>
        <w:t> </w:t>
      </w:r>
      <w:r>
        <w:rPr>
          <w:sz w:val="24"/>
        </w:rPr>
        <w:t>100µg/Dl</w:t>
      </w:r>
      <w:r>
        <w:rPr>
          <w:spacing w:val="59"/>
          <w:sz w:val="24"/>
        </w:rPr>
        <w:t> </w:t>
      </w:r>
      <w:r>
        <w:rPr>
          <w:sz w:val="24"/>
        </w:rPr>
        <w:t>-</w:t>
      </w:r>
      <w:r>
        <w:rPr>
          <w:spacing w:val="10"/>
          <w:sz w:val="24"/>
        </w:rPr>
        <w:t> </w:t>
      </w:r>
      <w:r>
        <w:rPr>
          <w:sz w:val="24"/>
        </w:rPr>
        <w:t>CHEMELEX,</w:t>
      </w:r>
      <w:r>
        <w:rPr>
          <w:spacing w:val="-57"/>
          <w:sz w:val="24"/>
        </w:rPr>
        <w:t> </w:t>
      </w:r>
      <w:r>
        <w:rPr>
          <w:sz w:val="24"/>
        </w:rPr>
        <w:t>SOUTH</w:t>
      </w:r>
      <w:r>
        <w:rPr>
          <w:spacing w:val="1"/>
          <w:sz w:val="24"/>
        </w:rPr>
        <w:t> </w:t>
      </w:r>
      <w:r>
        <w:rPr>
          <w:sz w:val="24"/>
        </w:rPr>
        <w:t>AFRICA</w:t>
      </w:r>
    </w:p>
    <w:p>
      <w:pPr>
        <w:pStyle w:val="ListParagraph"/>
        <w:numPr>
          <w:ilvl w:val="0"/>
          <w:numId w:val="28"/>
        </w:numPr>
        <w:tabs>
          <w:tab w:pos="2259" w:val="left" w:leader="none"/>
          <w:tab w:pos="2260" w:val="left" w:leader="none"/>
        </w:tabs>
        <w:spacing w:line="240" w:lineRule="auto" w:before="211" w:after="0"/>
        <w:ind w:left="2260" w:right="0" w:hanging="605"/>
        <w:jc w:val="left"/>
        <w:rPr>
          <w:sz w:val="24"/>
        </w:rPr>
      </w:pPr>
      <w:r>
        <w:rPr>
          <w:sz w:val="24"/>
        </w:rPr>
        <w:t>Acetate</w:t>
      </w:r>
      <w:r>
        <w:rPr>
          <w:spacing w:val="27"/>
          <w:sz w:val="24"/>
        </w:rPr>
        <w:t> </w:t>
      </w:r>
      <w:r>
        <w:rPr>
          <w:sz w:val="24"/>
        </w:rPr>
        <w:t>(Iron</w:t>
      </w:r>
      <w:r>
        <w:rPr>
          <w:spacing w:val="25"/>
          <w:sz w:val="24"/>
        </w:rPr>
        <w:t> </w:t>
      </w:r>
      <w:r>
        <w:rPr>
          <w:sz w:val="24"/>
        </w:rPr>
        <w:t>buffer-</w:t>
      </w:r>
      <w:r>
        <w:rPr>
          <w:spacing w:val="30"/>
          <w:sz w:val="24"/>
        </w:rPr>
        <w:t> </w:t>
      </w:r>
      <w:r>
        <w:rPr>
          <w:sz w:val="24"/>
        </w:rPr>
        <w:t>pH</w:t>
      </w:r>
      <w:r>
        <w:rPr>
          <w:spacing w:val="29"/>
          <w:sz w:val="24"/>
        </w:rPr>
        <w:t> </w:t>
      </w:r>
      <w:r>
        <w:rPr>
          <w:sz w:val="24"/>
        </w:rPr>
        <w:t>4.9)-</w:t>
      </w:r>
      <w:r>
        <w:rPr>
          <w:spacing w:val="31"/>
          <w:sz w:val="24"/>
        </w:rPr>
        <w:t> </w:t>
      </w:r>
      <w:r>
        <w:rPr>
          <w:sz w:val="24"/>
        </w:rPr>
        <w:t>100mmol/L</w:t>
      </w:r>
      <w:r>
        <w:rPr>
          <w:spacing w:val="27"/>
          <w:sz w:val="24"/>
        </w:rPr>
        <w:t> </w:t>
      </w:r>
      <w:r>
        <w:rPr>
          <w:sz w:val="24"/>
        </w:rPr>
        <w:t>-</w:t>
      </w:r>
      <w:r>
        <w:rPr>
          <w:spacing w:val="31"/>
          <w:sz w:val="24"/>
        </w:rPr>
        <w:t> </w:t>
      </w:r>
      <w:r>
        <w:rPr>
          <w:sz w:val="24"/>
        </w:rPr>
        <w:t>CHEMELEX,</w:t>
      </w:r>
      <w:r>
        <w:rPr>
          <w:spacing w:val="31"/>
          <w:sz w:val="24"/>
        </w:rPr>
        <w:t> </w:t>
      </w:r>
      <w:r>
        <w:rPr>
          <w:sz w:val="24"/>
        </w:rPr>
        <w:t>SOUTH</w:t>
      </w:r>
      <w:r>
        <w:rPr>
          <w:spacing w:val="28"/>
          <w:sz w:val="24"/>
        </w:rPr>
        <w:t> </w:t>
      </w:r>
      <w:r>
        <w:rPr>
          <w:sz w:val="24"/>
        </w:rPr>
        <w:t>AFRICA</w:t>
      </w:r>
      <w:r>
        <w:rPr>
          <w:spacing w:val="23"/>
          <w:sz w:val="24"/>
        </w:rPr>
        <w:t> </w:t>
      </w:r>
      <w:r>
        <w:rPr>
          <w:sz w:val="24"/>
        </w:rPr>
        <w:t>–</w:t>
      </w:r>
    </w:p>
    <w:p>
      <w:pPr>
        <w:pStyle w:val="BodyText"/>
        <w:spacing w:before="137"/>
        <w:ind w:left="2260"/>
      </w:pPr>
      <w:r>
        <w:rPr/>
        <w:t>LKBSDTT24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28"/>
        </w:numPr>
        <w:tabs>
          <w:tab w:pos="2259" w:val="left" w:leader="none"/>
          <w:tab w:pos="2260" w:val="left" w:leader="none"/>
        </w:tabs>
        <w:spacing w:line="360" w:lineRule="auto" w:before="0" w:after="0"/>
        <w:ind w:left="2260" w:right="1437" w:hanging="672"/>
        <w:jc w:val="left"/>
        <w:rPr>
          <w:sz w:val="24"/>
        </w:rPr>
      </w:pPr>
      <w:r>
        <w:rPr>
          <w:sz w:val="24"/>
        </w:rPr>
        <w:t>Iron aqueous primary standard (Ferrozine)-</w:t>
      </w:r>
      <w:r>
        <w:rPr>
          <w:spacing w:val="1"/>
          <w:sz w:val="24"/>
        </w:rPr>
        <w:t> </w:t>
      </w:r>
      <w:r>
        <w:rPr>
          <w:sz w:val="24"/>
        </w:rPr>
        <w:t>40mmol/L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CHEMELEX,</w:t>
      </w:r>
      <w:r>
        <w:rPr>
          <w:spacing w:val="1"/>
          <w:sz w:val="24"/>
        </w:rPr>
        <w:t> </w:t>
      </w:r>
      <w:r>
        <w:rPr>
          <w:sz w:val="24"/>
        </w:rPr>
        <w:t>SOUTH</w:t>
      </w:r>
      <w:r>
        <w:rPr>
          <w:spacing w:val="-57"/>
          <w:sz w:val="24"/>
        </w:rPr>
        <w:t> </w:t>
      </w:r>
      <w:r>
        <w:rPr>
          <w:sz w:val="24"/>
        </w:rPr>
        <w:t>AFRICA</w:t>
      </w:r>
    </w:p>
    <w:p>
      <w:pPr>
        <w:pStyle w:val="ListParagraph"/>
        <w:numPr>
          <w:ilvl w:val="0"/>
          <w:numId w:val="28"/>
        </w:numPr>
        <w:tabs>
          <w:tab w:pos="2259" w:val="left" w:leader="none"/>
          <w:tab w:pos="2260" w:val="left" w:leader="none"/>
        </w:tabs>
        <w:spacing w:line="240" w:lineRule="auto" w:before="200" w:after="0"/>
        <w:ind w:left="2260" w:right="0" w:hanging="740"/>
        <w:jc w:val="left"/>
        <w:rPr>
          <w:sz w:val="24"/>
        </w:rPr>
      </w:pPr>
      <w:r>
        <w:rPr>
          <w:sz w:val="24"/>
        </w:rPr>
        <w:t>Bleach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28"/>
        </w:numPr>
        <w:tabs>
          <w:tab w:pos="2259" w:val="left" w:leader="none"/>
          <w:tab w:pos="2260" w:val="left" w:leader="none"/>
        </w:tabs>
        <w:spacing w:line="240" w:lineRule="auto" w:before="0" w:after="0"/>
        <w:ind w:left="2260" w:right="0" w:hanging="725"/>
        <w:jc w:val="left"/>
        <w:rPr>
          <w:sz w:val="24"/>
        </w:rPr>
      </w:pPr>
      <w:r>
        <w:rPr>
          <w:sz w:val="24"/>
        </w:rPr>
        <w:t>Distilled</w:t>
      </w:r>
      <w:r>
        <w:rPr>
          <w:spacing w:val="-2"/>
          <w:sz w:val="24"/>
        </w:rPr>
        <w:t> </w:t>
      </w:r>
      <w:r>
        <w:rPr>
          <w:sz w:val="24"/>
        </w:rPr>
        <w:t>water</w:t>
      </w:r>
    </w:p>
    <w:p>
      <w:pPr>
        <w:pStyle w:val="BodyText"/>
        <w:spacing w:before="4"/>
        <w:rPr>
          <w:sz w:val="29"/>
        </w:rPr>
      </w:pPr>
    </w:p>
    <w:p>
      <w:pPr>
        <w:pStyle w:val="Heading1"/>
        <w:numPr>
          <w:ilvl w:val="1"/>
          <w:numId w:val="29"/>
        </w:numPr>
        <w:tabs>
          <w:tab w:pos="1180" w:val="left" w:leader="none"/>
        </w:tabs>
        <w:spacing w:line="240" w:lineRule="auto" w:before="1" w:after="0"/>
        <w:ind w:left="1179" w:right="0" w:hanging="360"/>
        <w:jc w:val="left"/>
      </w:pPr>
      <w:r>
        <w:rPr/>
        <w:t>Methods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 w:before="1"/>
        <w:ind w:left="820" w:right="1440"/>
        <w:jc w:val="both"/>
      </w:pPr>
      <w:r>
        <w:rPr/>
        <w:t>This was a retrospective and prospective case controlled study at the Ahmadu Bello University</w:t>
      </w:r>
      <w:r>
        <w:rPr>
          <w:spacing w:val="1"/>
        </w:rPr>
        <w:t> </w:t>
      </w:r>
      <w:r>
        <w:rPr/>
        <w:t>Teaching</w:t>
      </w:r>
      <w:r>
        <w:rPr>
          <w:spacing w:val="34"/>
        </w:rPr>
        <w:t> </w:t>
      </w:r>
      <w:r>
        <w:rPr/>
        <w:t>Hospital</w:t>
      </w:r>
      <w:r>
        <w:rPr>
          <w:spacing w:val="21"/>
        </w:rPr>
        <w:t> </w:t>
      </w:r>
      <w:r>
        <w:rPr/>
        <w:t>(ABUTH),</w:t>
      </w:r>
      <w:r>
        <w:rPr>
          <w:spacing w:val="32"/>
        </w:rPr>
        <w:t> </w:t>
      </w:r>
      <w:r>
        <w:rPr/>
        <w:t>Zaria,</w:t>
      </w:r>
      <w:r>
        <w:rPr>
          <w:spacing w:val="32"/>
        </w:rPr>
        <w:t> </w:t>
      </w:r>
      <w:r>
        <w:rPr/>
        <w:t>Nigeria.</w:t>
      </w:r>
      <w:r>
        <w:rPr>
          <w:spacing w:val="32"/>
        </w:rPr>
        <w:t> </w:t>
      </w:r>
      <w:r>
        <w:rPr/>
        <w:t>The</w:t>
      </w:r>
      <w:r>
        <w:rPr>
          <w:spacing w:val="29"/>
        </w:rPr>
        <w:t> </w:t>
      </w:r>
      <w:r>
        <w:rPr/>
        <w:t>study,</w:t>
      </w:r>
      <w:r>
        <w:rPr>
          <w:spacing w:val="32"/>
        </w:rPr>
        <w:t> </w:t>
      </w:r>
      <w:r>
        <w:rPr/>
        <w:t>which</w:t>
      </w:r>
      <w:r>
        <w:rPr>
          <w:spacing w:val="30"/>
        </w:rPr>
        <w:t> </w:t>
      </w:r>
      <w:r>
        <w:rPr/>
        <w:t>was</w:t>
      </w:r>
      <w:r>
        <w:rPr>
          <w:spacing w:val="32"/>
        </w:rPr>
        <w:t> </w:t>
      </w:r>
      <w:r>
        <w:rPr/>
        <w:t>approved</w:t>
      </w:r>
      <w:r>
        <w:rPr>
          <w:spacing w:val="34"/>
        </w:rPr>
        <w:t> </w:t>
      </w:r>
      <w:r>
        <w:rPr/>
        <w:t>by</w:t>
      </w:r>
      <w:r>
        <w:rPr>
          <w:spacing w:val="25"/>
        </w:rPr>
        <w:t> </w:t>
      </w:r>
      <w:r>
        <w:rPr/>
        <w:t>the</w:t>
      </w:r>
      <w:r>
        <w:rPr>
          <w:spacing w:val="29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and ethics committee of the hospital, lasted for a period of 12 months. Ninety patients attending</w:t>
      </w:r>
      <w:r>
        <w:rPr>
          <w:spacing w:val="1"/>
        </w:rPr>
        <w:t> </w:t>
      </w:r>
      <w:r>
        <w:rPr/>
        <w:t>sickle cell clinic in the haematology department of ABUTH, who met the research criteria were</w:t>
      </w:r>
      <w:r>
        <w:rPr>
          <w:spacing w:val="1"/>
        </w:rPr>
        <w:t> </w:t>
      </w:r>
      <w:r>
        <w:rPr/>
        <w:t>enrolled after consent (both verbally and by signing the consent forms). Of these, 45 were in</w:t>
      </w:r>
      <w:r>
        <w:rPr>
          <w:spacing w:val="1"/>
        </w:rPr>
        <w:t> </w:t>
      </w:r>
      <w:r>
        <w:rPr/>
        <w:t>crises and 45 were in steady state. The control group consisted of 45 apparently well volunteers</w:t>
      </w:r>
      <w:r>
        <w:rPr>
          <w:spacing w:val="1"/>
        </w:rPr>
        <w:t> </w:t>
      </w:r>
      <w:r>
        <w:rPr/>
        <w:t>whose haemoglobin genotype was AA. Both the SCD patients in steady state and the HbAA</w:t>
      </w:r>
      <w:r>
        <w:rPr>
          <w:spacing w:val="1"/>
        </w:rPr>
        <w:t> </w:t>
      </w:r>
      <w:r>
        <w:rPr/>
        <w:t>volunteers were selected such that they were matched for age and sex with the SCD patients in</w:t>
      </w:r>
      <w:r>
        <w:rPr>
          <w:spacing w:val="1"/>
        </w:rPr>
        <w:t> </w:t>
      </w:r>
      <w:r>
        <w:rPr/>
        <w:t>crises. A detailed history of each subject was obtained from the subjects, their care-givers, and</w:t>
      </w:r>
      <w:r>
        <w:rPr>
          <w:spacing w:val="1"/>
        </w:rPr>
        <w:t> </w:t>
      </w:r>
      <w:r>
        <w:rPr/>
        <w:t>from the patients’ records/folders. The history included the age at diagnosis of each SCD patient,</w:t>
      </w:r>
      <w:r>
        <w:rPr>
          <w:spacing w:val="-57"/>
        </w:rPr>
        <w:t> </w:t>
      </w:r>
      <w:r>
        <w:rPr/>
        <w:t>number of blood transfusions per year, co-morbid illness experienced by each subject, and a</w:t>
      </w:r>
      <w:r>
        <w:rPr>
          <w:spacing w:val="1"/>
        </w:rPr>
        <w:t> </w:t>
      </w:r>
      <w:r>
        <w:rPr/>
        <w:t>detailed drug use</w:t>
      </w:r>
      <w:r>
        <w:rPr>
          <w:spacing w:val="1"/>
        </w:rPr>
        <w:t> </w:t>
      </w:r>
      <w:r>
        <w:rPr/>
        <w:t>history of each subject</w:t>
      </w:r>
      <w:r>
        <w:rPr>
          <w:spacing w:val="1"/>
        </w:rPr>
        <w:t> </w:t>
      </w:r>
      <w:r>
        <w:rPr/>
        <w:t>in the study. Data generated</w:t>
      </w:r>
      <w:r>
        <w:rPr>
          <w:spacing w:val="60"/>
        </w:rPr>
        <w:t> </w:t>
      </w:r>
      <w:r>
        <w:rPr/>
        <w:t>for all subjects was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</w:t>
      </w:r>
      <w:r>
        <w:rPr>
          <w:spacing w:val="2"/>
        </w:rPr>
        <w:t> </w:t>
      </w:r>
      <w:r>
        <w:rPr/>
        <w:t>Microsoft</w:t>
      </w:r>
      <w:r>
        <w:rPr>
          <w:spacing w:val="3"/>
        </w:rPr>
        <w:t> </w:t>
      </w:r>
      <w:r>
        <w:rPr/>
        <w:t>Excel</w:t>
      </w:r>
      <w:r>
        <w:rPr>
          <w:spacing w:val="-7"/>
        </w:rPr>
        <w:t> </w:t>
      </w:r>
      <w:r>
        <w:rPr/>
        <w:t>2007.</w:t>
      </w:r>
    </w:p>
    <w:p>
      <w:pPr>
        <w:pStyle w:val="BodyText"/>
        <w:spacing w:line="360" w:lineRule="auto" w:before="200"/>
        <w:ind w:left="820" w:right="1437"/>
        <w:jc w:val="both"/>
      </w:pPr>
      <w:r>
        <w:rPr/>
        <w:t>Five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venepuncture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preparations. Two</w:t>
      </w:r>
      <w:r>
        <w:rPr>
          <w:spacing w:val="1"/>
        </w:rPr>
        <w:t> </w:t>
      </w:r>
      <w:r>
        <w:rPr/>
        <w:t>ml of blood was transferred into</w:t>
      </w:r>
      <w:r>
        <w:rPr>
          <w:spacing w:val="1"/>
        </w:rPr>
        <w:t> </w:t>
      </w:r>
      <w:r>
        <w:rPr/>
        <w:t>a sodium ethylene-diamine-tetra-acetate</w:t>
      </w:r>
      <w:r>
        <w:rPr>
          <w:spacing w:val="1"/>
        </w:rPr>
        <w:t> </w:t>
      </w:r>
      <w:r>
        <w:rPr/>
        <w:t>(EDTA)</w:t>
      </w:r>
      <w:r>
        <w:rPr>
          <w:spacing w:val="44"/>
        </w:rPr>
        <w:t> </w:t>
      </w:r>
      <w:r>
        <w:rPr/>
        <w:t>bottle</w:t>
      </w:r>
      <w:r>
        <w:rPr>
          <w:spacing w:val="47"/>
        </w:rPr>
        <w:t> </w:t>
      </w:r>
      <w:r>
        <w:rPr/>
        <w:t>for</w:t>
      </w:r>
      <w:r>
        <w:rPr>
          <w:spacing w:val="45"/>
        </w:rPr>
        <w:t> </w:t>
      </w:r>
      <w:r>
        <w:rPr/>
        <w:t>determination</w:t>
      </w:r>
      <w:r>
        <w:rPr>
          <w:spacing w:val="38"/>
        </w:rPr>
        <w:t> </w:t>
      </w:r>
      <w:r>
        <w:rPr/>
        <w:t>of</w:t>
      </w:r>
      <w:r>
        <w:rPr>
          <w:spacing w:val="40"/>
        </w:rPr>
        <w:t> </w:t>
      </w:r>
      <w:r>
        <w:rPr/>
        <w:t>full</w:t>
      </w:r>
      <w:r>
        <w:rPr>
          <w:spacing w:val="44"/>
        </w:rPr>
        <w:t> </w:t>
      </w:r>
      <w:r>
        <w:rPr/>
        <w:t>blood</w:t>
      </w:r>
      <w:r>
        <w:rPr>
          <w:spacing w:val="42"/>
        </w:rPr>
        <w:t> </w:t>
      </w:r>
      <w:r>
        <w:rPr/>
        <w:t>count</w:t>
      </w:r>
      <w:r>
        <w:rPr>
          <w:spacing w:val="48"/>
        </w:rPr>
        <w:t> </w:t>
      </w:r>
      <w:r>
        <w:rPr/>
        <w:t>(platelet</w:t>
      </w:r>
      <w:r>
        <w:rPr>
          <w:spacing w:val="48"/>
        </w:rPr>
        <w:t> </w:t>
      </w:r>
      <w:r>
        <w:rPr/>
        <w:t>count,</w:t>
      </w:r>
      <w:r>
        <w:rPr>
          <w:spacing w:val="45"/>
        </w:rPr>
        <w:t> </w:t>
      </w:r>
      <w:r>
        <w:rPr/>
        <w:t>white</w:t>
      </w:r>
      <w:r>
        <w:rPr>
          <w:spacing w:val="42"/>
        </w:rPr>
        <w:t> </w:t>
      </w:r>
      <w:r>
        <w:rPr/>
        <w:t>blood</w:t>
      </w:r>
      <w:r>
        <w:rPr>
          <w:spacing w:val="42"/>
        </w:rPr>
        <w:t> </w:t>
      </w:r>
      <w:r>
        <w:rPr/>
        <w:t>cell</w:t>
      </w:r>
      <w:r>
        <w:rPr>
          <w:spacing w:val="39"/>
        </w:rPr>
        <w:t> </w:t>
      </w:r>
      <w:r>
        <w:rPr/>
        <w:t>count,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60" w:lineRule="auto" w:before="72"/>
        <w:ind w:left="820" w:right="1437"/>
        <w:jc w:val="both"/>
      </w:pPr>
      <w:r>
        <w:rPr/>
        <w:t>neutrophil</w:t>
      </w:r>
      <w:r>
        <w:rPr>
          <w:spacing w:val="1"/>
        </w:rPr>
        <w:t> </w:t>
      </w:r>
      <w:r>
        <w:rPr/>
        <w:t>count,</w:t>
      </w:r>
      <w:r>
        <w:rPr>
          <w:spacing w:val="1"/>
        </w:rPr>
        <w:t> </w:t>
      </w:r>
      <w:r>
        <w:rPr/>
        <w:t>lymphocyte</w:t>
      </w:r>
      <w:r>
        <w:rPr>
          <w:spacing w:val="1"/>
        </w:rPr>
        <w:t> </w:t>
      </w:r>
      <w:r>
        <w:rPr/>
        <w:t>count,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packed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volume)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procedure. The remaining three ml was transferred into plain bottles previously washed clean of</w:t>
      </w:r>
      <w:r>
        <w:rPr>
          <w:spacing w:val="1"/>
        </w:rPr>
        <w:t> </w:t>
      </w:r>
      <w:r>
        <w:rPr/>
        <w:t>possible micronutrient contamination by leaving them soaked in 10% nitric acid for 24 hours and</w:t>
      </w:r>
      <w:r>
        <w:rPr>
          <w:spacing w:val="-57"/>
        </w:rPr>
        <w:t> </w:t>
      </w:r>
      <w:r>
        <w:rPr/>
        <w:t>rinsed three times with deionised water. The blood was then centrifuged at 1500 rpm for 10</w:t>
      </w:r>
      <w:r>
        <w:rPr>
          <w:spacing w:val="1"/>
        </w:rPr>
        <w:t> </w:t>
      </w:r>
      <w:r>
        <w:rPr/>
        <w:t>minutes.</w:t>
      </w:r>
      <w:r>
        <w:rPr>
          <w:spacing w:val="1"/>
        </w:rPr>
        <w:t> </w:t>
      </w:r>
      <w:r>
        <w:rPr/>
        <w:t>The plasma was removed with a</w:t>
      </w:r>
      <w:r>
        <w:rPr>
          <w:spacing w:val="1"/>
        </w:rPr>
        <w:t> </w:t>
      </w:r>
      <w:r>
        <w:rPr/>
        <w:t>micropipette prepared by previously washing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10% nitric acid and thoroughly rinsed with deionised water as described</w:t>
      </w:r>
      <w:r>
        <w:rPr>
          <w:spacing w:val="1"/>
        </w:rPr>
        <w:t> </w:t>
      </w:r>
      <w:r>
        <w:rPr/>
        <w:t>for the bottles</w:t>
      </w:r>
      <w:r>
        <w:rPr>
          <w:spacing w:val="60"/>
        </w:rPr>
        <w:t> </w:t>
      </w:r>
      <w:r>
        <w:rPr/>
        <w:t>above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transferred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plain</w:t>
      </w:r>
      <w:r>
        <w:rPr>
          <w:spacing w:val="1"/>
        </w:rPr>
        <w:t> </w:t>
      </w:r>
      <w:r>
        <w:rPr/>
        <w:t>bottle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above.</w:t>
      </w:r>
      <w:r>
        <w:rPr>
          <w:spacing w:val="1"/>
        </w:rPr>
        <w:t> </w:t>
      </w:r>
      <w:r>
        <w:rPr/>
        <w:t>Residual</w:t>
      </w:r>
      <w:r>
        <w:rPr>
          <w:spacing w:val="1"/>
        </w:rPr>
        <w:t> </w:t>
      </w:r>
      <w:r>
        <w:rPr/>
        <w:t>RBCs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 genotype using solubility test followed by haemoglobin electrophoresis; while, the</w:t>
      </w:r>
      <w:r>
        <w:rPr>
          <w:spacing w:val="1"/>
        </w:rPr>
        <w:t> </w:t>
      </w:r>
      <w:r>
        <w:rPr/>
        <w:t>plasma was stored at 2-8ºC pending analysis (within seven days). All haemolysed samples were</w:t>
      </w:r>
      <w:r>
        <w:rPr>
          <w:spacing w:val="1"/>
        </w:rPr>
        <w:t> </w:t>
      </w:r>
      <w:r>
        <w:rPr/>
        <w:t>discarded. Before the analysis, the plasma samples were allowed to come to room temperature</w:t>
      </w:r>
      <w:r>
        <w:rPr>
          <w:spacing w:val="1"/>
        </w:rPr>
        <w:t> </w:t>
      </w:r>
      <w:r>
        <w:rPr/>
        <w:t>and</w:t>
      </w:r>
      <w:r>
        <w:rPr>
          <w:spacing w:val="26"/>
        </w:rPr>
        <w:t> </w:t>
      </w:r>
      <w:r>
        <w:rPr/>
        <w:t>each</w:t>
      </w:r>
      <w:r>
        <w:rPr>
          <w:spacing w:val="27"/>
        </w:rPr>
        <w:t> </w:t>
      </w:r>
      <w:r>
        <w:rPr/>
        <w:t>mixed</w:t>
      </w:r>
      <w:r>
        <w:rPr>
          <w:spacing w:val="30"/>
        </w:rPr>
        <w:t> </w:t>
      </w:r>
      <w:r>
        <w:rPr/>
        <w:t>by</w:t>
      </w:r>
      <w:r>
        <w:rPr>
          <w:spacing w:val="22"/>
        </w:rPr>
        <w:t> </w:t>
      </w:r>
      <w:r>
        <w:rPr/>
        <w:t>gently</w:t>
      </w:r>
      <w:r>
        <w:rPr>
          <w:spacing w:val="26"/>
        </w:rPr>
        <w:t> </w:t>
      </w:r>
      <w:r>
        <w:rPr/>
        <w:t>inverting</w:t>
      </w:r>
      <w:r>
        <w:rPr>
          <w:spacing w:val="27"/>
        </w:rPr>
        <w:t> </w:t>
      </w:r>
      <w:r>
        <w:rPr/>
        <w:t>the</w:t>
      </w:r>
      <w:r>
        <w:rPr>
          <w:spacing w:val="25"/>
        </w:rPr>
        <w:t> </w:t>
      </w:r>
      <w:r>
        <w:rPr/>
        <w:t>tube</w:t>
      </w:r>
      <w:r>
        <w:rPr>
          <w:spacing w:val="31"/>
        </w:rPr>
        <w:t> </w:t>
      </w:r>
      <w:r>
        <w:rPr/>
        <w:t>four</w:t>
      </w:r>
      <w:r>
        <w:rPr>
          <w:spacing w:val="22"/>
        </w:rPr>
        <w:t> </w:t>
      </w:r>
      <w:r>
        <w:rPr/>
        <w:t>times.</w:t>
      </w:r>
      <w:r>
        <w:rPr>
          <w:spacing w:val="29"/>
        </w:rPr>
        <w:t> </w:t>
      </w:r>
      <w:r>
        <w:rPr/>
        <w:t>Plasma</w:t>
      </w:r>
      <w:r>
        <w:rPr>
          <w:spacing w:val="30"/>
        </w:rPr>
        <w:t> </w:t>
      </w:r>
      <w:r>
        <w:rPr/>
        <w:t>magnesium,</w:t>
      </w:r>
      <w:r>
        <w:rPr>
          <w:spacing w:val="29"/>
        </w:rPr>
        <w:t> </w:t>
      </w:r>
      <w:r>
        <w:rPr/>
        <w:t>zinc,</w:t>
      </w:r>
      <w:r>
        <w:rPr>
          <w:spacing w:val="28"/>
        </w:rPr>
        <w:t> </w:t>
      </w:r>
      <w:r>
        <w:rPr/>
        <w:t>copper</w:t>
      </w:r>
      <w:r>
        <w:rPr>
          <w:spacing w:val="27"/>
        </w:rPr>
        <w:t> </w:t>
      </w:r>
      <w:r>
        <w:rPr/>
        <w:t>and</w:t>
      </w:r>
      <w:r>
        <w:rPr>
          <w:spacing w:val="-57"/>
        </w:rPr>
        <w:t> </w:t>
      </w:r>
      <w:r>
        <w:rPr/>
        <w:t>iron</w:t>
      </w:r>
      <w:r>
        <w:rPr>
          <w:spacing w:val="1"/>
        </w:rPr>
        <w:t> </w:t>
      </w:r>
      <w:r>
        <w:rPr/>
        <w:t>levels</w:t>
      </w:r>
      <w:r>
        <w:rPr>
          <w:spacing w:val="-1"/>
        </w:rPr>
        <w:t> </w:t>
      </w:r>
      <w:r>
        <w:rPr/>
        <w:t>were determined</w:t>
      </w:r>
      <w:r>
        <w:rPr>
          <w:spacing w:val="1"/>
        </w:rPr>
        <w:t> </w:t>
      </w:r>
      <w:r>
        <w:rPr/>
        <w:t>using</w:t>
      </w:r>
      <w:r>
        <w:rPr>
          <w:spacing w:val="2"/>
        </w:rPr>
        <w:t> </w:t>
      </w:r>
      <w:r>
        <w:rPr/>
        <w:t>a Beckman</w:t>
      </w:r>
      <w:r>
        <w:rPr>
          <w:spacing w:val="-4"/>
        </w:rPr>
        <w:t> </w:t>
      </w:r>
      <w:r>
        <w:rPr/>
        <w:t>Coulter</w:t>
      </w:r>
      <w:r>
        <w:rPr>
          <w:spacing w:val="-2"/>
        </w:rPr>
        <w:t> </w:t>
      </w:r>
      <w:r>
        <w:rPr/>
        <w:t>DU</w:t>
      </w:r>
      <w:r>
        <w:rPr>
          <w:spacing w:val="2"/>
        </w:rPr>
        <w:t> </w:t>
      </w:r>
      <w:r>
        <w:rPr/>
        <w:t>520</w:t>
      </w:r>
      <w:r>
        <w:rPr>
          <w:spacing w:val="-4"/>
        </w:rPr>
        <w:t> </w:t>
      </w:r>
      <w:r>
        <w:rPr/>
        <w:t>colorimeter.</w:t>
      </w:r>
    </w:p>
    <w:p>
      <w:pPr>
        <w:pStyle w:val="Heading1"/>
        <w:numPr>
          <w:ilvl w:val="2"/>
          <w:numId w:val="29"/>
        </w:numPr>
        <w:tabs>
          <w:tab w:pos="1482" w:val="left" w:leader="none"/>
        </w:tabs>
        <w:spacing w:line="240" w:lineRule="auto" w:before="202" w:after="0"/>
        <w:ind w:left="1481" w:right="0" w:hanging="662"/>
        <w:jc w:val="both"/>
      </w:pPr>
      <w:r>
        <w:rPr/>
        <w:t>Preparation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Reagents</w:t>
      </w:r>
    </w:p>
    <w:p>
      <w:pPr>
        <w:pStyle w:val="BodyText"/>
        <w:rPr>
          <w:b/>
          <w:sz w:val="29"/>
        </w:rPr>
      </w:pPr>
    </w:p>
    <w:p>
      <w:pPr>
        <w:pStyle w:val="Heading2"/>
        <w:numPr>
          <w:ilvl w:val="3"/>
          <w:numId w:val="29"/>
        </w:numPr>
        <w:tabs>
          <w:tab w:pos="1664" w:val="left" w:leader="none"/>
        </w:tabs>
        <w:spacing w:line="240" w:lineRule="auto" w:before="0" w:after="0"/>
        <w:ind w:left="1663" w:right="0" w:hanging="844"/>
        <w:jc w:val="both"/>
      </w:pPr>
      <w:r>
        <w:rPr/>
        <w:t>Magnesium:</w:t>
      </w:r>
    </w:p>
    <w:p>
      <w:pPr>
        <w:pStyle w:val="BodyText"/>
        <w:spacing w:before="5"/>
        <w:rPr>
          <w:b/>
          <w:i/>
          <w:sz w:val="29"/>
        </w:rPr>
      </w:pPr>
    </w:p>
    <w:p>
      <w:pPr>
        <w:pStyle w:val="BodyText"/>
        <w:spacing w:line="360" w:lineRule="auto"/>
        <w:ind w:left="820" w:right="1433"/>
        <w:jc w:val="both"/>
      </w:pPr>
      <w:r>
        <w:rPr/>
        <w:t>The working reagent (WR) was prepared by mixing equal volumes of magnesium buffer and</w:t>
      </w:r>
      <w:r>
        <w:rPr>
          <w:spacing w:val="1"/>
        </w:rPr>
        <w:t> </w:t>
      </w:r>
      <w:r>
        <w:rPr/>
        <w:t>calgamite. The WR is stable for 4 days when stored at 2-8ºC or for 24 hours at room temperature</w:t>
      </w:r>
      <w:r>
        <w:rPr>
          <w:spacing w:val="1"/>
        </w:rPr>
        <w:t> </w:t>
      </w:r>
      <w:r>
        <w:rPr/>
        <w:t>(15-25 ºC). Magnesium CAL (the standard) is stable when stored in a tightly closed bottle at 2-8</w:t>
      </w:r>
      <w:r>
        <w:rPr>
          <w:spacing w:val="1"/>
        </w:rPr>
        <w:t> </w:t>
      </w:r>
      <w:r>
        <w:rPr/>
        <w:t>ºC;</w:t>
      </w:r>
      <w:r>
        <w:rPr>
          <w:spacing w:val="25"/>
        </w:rPr>
        <w:t> </w:t>
      </w:r>
      <w:r>
        <w:rPr/>
        <w:t>care</w:t>
      </w:r>
      <w:r>
        <w:rPr>
          <w:spacing w:val="33"/>
        </w:rPr>
        <w:t> </w:t>
      </w:r>
      <w:r>
        <w:rPr/>
        <w:t>was</w:t>
      </w:r>
      <w:r>
        <w:rPr>
          <w:spacing w:val="31"/>
        </w:rPr>
        <w:t> </w:t>
      </w:r>
      <w:r>
        <w:rPr/>
        <w:t>taken</w:t>
      </w:r>
      <w:r>
        <w:rPr>
          <w:spacing w:val="25"/>
        </w:rPr>
        <w:t> </w:t>
      </w:r>
      <w:r>
        <w:rPr/>
        <w:t>during</w:t>
      </w:r>
      <w:r>
        <w:rPr>
          <w:spacing w:val="34"/>
        </w:rPr>
        <w:t> </w:t>
      </w:r>
      <w:r>
        <w:rPr/>
        <w:t>its</w:t>
      </w:r>
      <w:r>
        <w:rPr>
          <w:spacing w:val="27"/>
        </w:rPr>
        <w:t> </w:t>
      </w:r>
      <w:r>
        <w:rPr/>
        <w:t>use</w:t>
      </w:r>
      <w:r>
        <w:rPr>
          <w:spacing w:val="29"/>
        </w:rPr>
        <w:t> </w:t>
      </w:r>
      <w:r>
        <w:rPr/>
        <w:t>due</w:t>
      </w:r>
      <w:r>
        <w:rPr>
          <w:spacing w:val="29"/>
        </w:rPr>
        <w:t> </w:t>
      </w:r>
      <w:r>
        <w:rPr/>
        <w:t>to</w:t>
      </w:r>
      <w:r>
        <w:rPr>
          <w:spacing w:val="33"/>
        </w:rPr>
        <w:t> </w:t>
      </w:r>
      <w:r>
        <w:rPr/>
        <w:t>its</w:t>
      </w:r>
      <w:r>
        <w:rPr>
          <w:spacing w:val="28"/>
        </w:rPr>
        <w:t> </w:t>
      </w:r>
      <w:r>
        <w:rPr/>
        <w:t>ease</w:t>
      </w:r>
      <w:r>
        <w:rPr>
          <w:spacing w:val="33"/>
        </w:rPr>
        <w:t> </w:t>
      </w:r>
      <w:r>
        <w:rPr/>
        <w:t>of</w:t>
      </w:r>
      <w:r>
        <w:rPr>
          <w:spacing w:val="21"/>
        </w:rPr>
        <w:t> </w:t>
      </w:r>
      <w:r>
        <w:rPr/>
        <w:t>contamination,</w:t>
      </w:r>
      <w:r>
        <w:rPr>
          <w:spacing w:val="32"/>
        </w:rPr>
        <w:t> </w:t>
      </w:r>
      <w:r>
        <w:rPr/>
        <w:t>and</w:t>
      </w:r>
      <w:r>
        <w:rPr>
          <w:spacing w:val="34"/>
        </w:rPr>
        <w:t> </w:t>
      </w:r>
      <w:r>
        <w:rPr/>
        <w:t>it</w:t>
      </w:r>
      <w:r>
        <w:rPr>
          <w:spacing w:val="39"/>
        </w:rPr>
        <w:t> </w:t>
      </w:r>
      <w:r>
        <w:rPr/>
        <w:t>was</w:t>
      </w:r>
      <w:r>
        <w:rPr>
          <w:spacing w:val="32"/>
        </w:rPr>
        <w:t> </w:t>
      </w:r>
      <w:r>
        <w:rPr/>
        <w:t>protected</w:t>
      </w:r>
      <w:r>
        <w:rPr>
          <w:spacing w:val="33"/>
        </w:rPr>
        <w:t> </w:t>
      </w:r>
      <w:r>
        <w:rPr/>
        <w:t>from</w:t>
      </w:r>
      <w:r>
        <w:rPr>
          <w:spacing w:val="-57"/>
        </w:rPr>
        <w:t> </w:t>
      </w:r>
      <w:r>
        <w:rPr/>
        <w:t>light.</w:t>
      </w:r>
    </w:p>
    <w:p>
      <w:pPr>
        <w:pStyle w:val="Heading2"/>
        <w:numPr>
          <w:ilvl w:val="3"/>
          <w:numId w:val="29"/>
        </w:numPr>
        <w:tabs>
          <w:tab w:pos="1664" w:val="left" w:leader="none"/>
        </w:tabs>
        <w:spacing w:line="240" w:lineRule="auto" w:before="200" w:after="0"/>
        <w:ind w:left="1663" w:right="0" w:hanging="844"/>
        <w:jc w:val="both"/>
      </w:pPr>
      <w:r>
        <w:rPr/>
        <w:t>Zinc:</w:t>
      </w:r>
    </w:p>
    <w:p>
      <w:pPr>
        <w:pStyle w:val="BodyText"/>
        <w:spacing w:before="5"/>
        <w:rPr>
          <w:b/>
          <w:i/>
          <w:sz w:val="29"/>
        </w:rPr>
      </w:pPr>
    </w:p>
    <w:p>
      <w:pPr>
        <w:pStyle w:val="BodyText"/>
        <w:spacing w:line="360" w:lineRule="auto"/>
        <w:ind w:left="820" w:right="1442"/>
        <w:jc w:val="both"/>
      </w:pPr>
      <w:r>
        <w:rPr/>
        <w:t>The WR was prepared by dissolving 5ml of ascorbic acid powder in 1ml of zinc buffer. It is</w:t>
      </w:r>
      <w:r>
        <w:rPr>
          <w:spacing w:val="1"/>
        </w:rPr>
        <w:t> </w:t>
      </w:r>
      <w:r>
        <w:rPr/>
        <w:t>stable after reconstitution for 30 days at 2-8ºC; when stored tightly closed. 5-Br-PAPS is ready to</w:t>
      </w:r>
      <w:r>
        <w:rPr>
          <w:spacing w:val="-57"/>
        </w:rPr>
        <w:t> </w:t>
      </w:r>
      <w:r>
        <w:rPr/>
        <w:t>use and is stable for 90 days at 2-8 ºC. Zinc CAL (the standard) should be handled with care 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ease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contamination.</w:t>
      </w:r>
    </w:p>
    <w:p>
      <w:pPr>
        <w:pStyle w:val="Heading2"/>
        <w:numPr>
          <w:ilvl w:val="3"/>
          <w:numId w:val="29"/>
        </w:numPr>
        <w:tabs>
          <w:tab w:pos="1722" w:val="left" w:leader="none"/>
        </w:tabs>
        <w:spacing w:line="240" w:lineRule="auto" w:before="202" w:after="0"/>
        <w:ind w:left="1721" w:right="0" w:hanging="902"/>
        <w:jc w:val="both"/>
      </w:pPr>
      <w:r>
        <w:rPr/>
        <w:t>Copper:</w:t>
      </w:r>
    </w:p>
    <w:p>
      <w:pPr>
        <w:pStyle w:val="BodyText"/>
        <w:spacing w:before="5"/>
        <w:rPr>
          <w:b/>
          <w:i/>
          <w:sz w:val="29"/>
        </w:rPr>
      </w:pPr>
    </w:p>
    <w:p>
      <w:pPr>
        <w:pStyle w:val="BodyText"/>
        <w:spacing w:line="360" w:lineRule="auto"/>
        <w:ind w:left="820" w:right="1439"/>
        <w:jc w:val="both"/>
      </w:pPr>
      <w:r>
        <w:rPr/>
        <w:t>The WR was prepared by dissolving 5ml of ascorbic acid in 1ml of the copper buffer. WR is</w:t>
      </w:r>
      <w:r>
        <w:rPr>
          <w:spacing w:val="1"/>
        </w:rPr>
        <w:t> </w:t>
      </w:r>
      <w:r>
        <w:rPr/>
        <w:t>stable up to 15 days after reconstitution when stored at 2-8ºC in a tightly closed container. The 3,</w:t>
      </w:r>
      <w:r>
        <w:rPr>
          <w:spacing w:val="-57"/>
        </w:rPr>
        <w:t> </w:t>
      </w:r>
      <w:r>
        <w:rPr/>
        <w:t>5-DiBr-PAESA</w:t>
      </w:r>
      <w:r>
        <w:rPr>
          <w:spacing w:val="14"/>
        </w:rPr>
        <w:t> </w:t>
      </w:r>
      <w:r>
        <w:rPr/>
        <w:t>is</w:t>
      </w:r>
      <w:r>
        <w:rPr>
          <w:spacing w:val="12"/>
        </w:rPr>
        <w:t> </w:t>
      </w:r>
      <w:r>
        <w:rPr/>
        <w:t>ready</w:t>
      </w:r>
      <w:r>
        <w:rPr>
          <w:spacing w:val="14"/>
        </w:rPr>
        <w:t> </w:t>
      </w:r>
      <w:r>
        <w:rPr/>
        <w:t>for</w:t>
      </w:r>
      <w:r>
        <w:rPr>
          <w:spacing w:val="16"/>
        </w:rPr>
        <w:t> </w:t>
      </w:r>
      <w:r>
        <w:rPr/>
        <w:t>use</w:t>
      </w:r>
      <w:r>
        <w:rPr>
          <w:spacing w:val="14"/>
        </w:rPr>
        <w:t> </w:t>
      </w:r>
      <w:r>
        <w:rPr/>
        <w:t>and</w:t>
      </w:r>
      <w:r>
        <w:rPr>
          <w:spacing w:val="19"/>
        </w:rPr>
        <w:t> </w:t>
      </w:r>
      <w:r>
        <w:rPr/>
        <w:t>is</w:t>
      </w:r>
      <w:r>
        <w:rPr>
          <w:spacing w:val="17"/>
        </w:rPr>
        <w:t> </w:t>
      </w:r>
      <w:r>
        <w:rPr/>
        <w:t>stable</w:t>
      </w:r>
      <w:r>
        <w:rPr>
          <w:spacing w:val="18"/>
        </w:rPr>
        <w:t> </w:t>
      </w:r>
      <w:r>
        <w:rPr/>
        <w:t>for</w:t>
      </w:r>
      <w:r>
        <w:rPr>
          <w:spacing w:val="16"/>
        </w:rPr>
        <w:t> </w:t>
      </w:r>
      <w:r>
        <w:rPr/>
        <w:t>up</w:t>
      </w:r>
      <w:r>
        <w:rPr>
          <w:spacing w:val="14"/>
        </w:rPr>
        <w:t> </w:t>
      </w:r>
      <w:r>
        <w:rPr/>
        <w:t>to</w:t>
      </w:r>
      <w:r>
        <w:rPr>
          <w:spacing w:val="19"/>
        </w:rPr>
        <w:t> </w:t>
      </w:r>
      <w:r>
        <w:rPr/>
        <w:t>90</w:t>
      </w:r>
      <w:r>
        <w:rPr>
          <w:spacing w:val="14"/>
        </w:rPr>
        <w:t> </w:t>
      </w:r>
      <w:r>
        <w:rPr/>
        <w:t>days</w:t>
      </w:r>
      <w:r>
        <w:rPr>
          <w:spacing w:val="18"/>
        </w:rPr>
        <w:t> </w:t>
      </w:r>
      <w:r>
        <w:rPr/>
        <w:t>after</w:t>
      </w:r>
      <w:r>
        <w:rPr>
          <w:spacing w:val="16"/>
        </w:rPr>
        <w:t> </w:t>
      </w:r>
      <w:r>
        <w:rPr/>
        <w:t>opening</w:t>
      </w:r>
      <w:r>
        <w:rPr>
          <w:spacing w:val="19"/>
        </w:rPr>
        <w:t> </w:t>
      </w:r>
      <w:r>
        <w:rPr/>
        <w:t>when</w:t>
      </w:r>
      <w:r>
        <w:rPr>
          <w:spacing w:val="10"/>
        </w:rPr>
        <w:t> </w:t>
      </w:r>
      <w:r>
        <w:rPr/>
        <w:t>stored</w:t>
      </w:r>
      <w:r>
        <w:rPr>
          <w:spacing w:val="14"/>
        </w:rPr>
        <w:t> </w:t>
      </w:r>
      <w:r>
        <w:rPr/>
        <w:t>at</w:t>
      </w:r>
      <w:r>
        <w:rPr>
          <w:spacing w:val="19"/>
        </w:rPr>
        <w:t> </w:t>
      </w:r>
      <w:r>
        <w:rPr/>
        <w:t>2-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55" w:lineRule="auto" w:before="72"/>
        <w:ind w:left="820" w:right="1450"/>
        <w:jc w:val="both"/>
      </w:pPr>
      <w:r>
        <w:rPr/>
        <w:t>8ºC and recapped immediately after use. Copper CAL. (the standard) is also ready for use and</w:t>
      </w:r>
      <w:r>
        <w:rPr>
          <w:spacing w:val="1"/>
        </w:rPr>
        <w:t> </w:t>
      </w:r>
      <w:r>
        <w:rPr/>
        <w:t>should</w:t>
      </w:r>
      <w:r>
        <w:rPr>
          <w:spacing w:val="6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carefully</w:t>
      </w:r>
      <w:r>
        <w:rPr>
          <w:spacing w:val="-3"/>
        </w:rPr>
        <w:t> </w:t>
      </w:r>
      <w:r>
        <w:rPr/>
        <w:t>cause of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ease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contamination.</w:t>
      </w:r>
    </w:p>
    <w:p>
      <w:pPr>
        <w:pStyle w:val="Heading2"/>
        <w:numPr>
          <w:ilvl w:val="3"/>
          <w:numId w:val="29"/>
        </w:numPr>
        <w:tabs>
          <w:tab w:pos="1722" w:val="left" w:leader="none"/>
        </w:tabs>
        <w:spacing w:line="240" w:lineRule="auto" w:before="210" w:after="0"/>
        <w:ind w:left="1721" w:right="0" w:hanging="902"/>
        <w:jc w:val="both"/>
      </w:pPr>
      <w:r>
        <w:rPr/>
        <w:t>Iron:</w:t>
      </w:r>
    </w:p>
    <w:p>
      <w:pPr>
        <w:pStyle w:val="BodyText"/>
        <w:spacing w:before="5"/>
        <w:rPr>
          <w:b/>
          <w:i/>
          <w:sz w:val="29"/>
        </w:rPr>
      </w:pPr>
    </w:p>
    <w:p>
      <w:pPr>
        <w:pStyle w:val="BodyText"/>
        <w:spacing w:line="360" w:lineRule="auto"/>
        <w:ind w:left="820" w:right="1439"/>
        <w:jc w:val="both"/>
      </w:pPr>
      <w:r>
        <w:rPr/>
        <w:t>The WR was prepared by dissolving the contents of 1m of ascorbic acid in 5ml of iron buffer.</w:t>
      </w:r>
      <w:r>
        <w:rPr>
          <w:spacing w:val="1"/>
        </w:rPr>
        <w:t> </w:t>
      </w:r>
      <w:r>
        <w:rPr/>
        <w:t>WR is stable for three months at 2-8ºC or for one month at 15-25ºC. Iron CAL. (the standard)</w:t>
      </w:r>
      <w:r>
        <w:rPr>
          <w:spacing w:val="1"/>
        </w:rPr>
        <w:t> </w:t>
      </w:r>
      <w:r>
        <w:rPr/>
        <w:t>should be used with great care due to its ease of contamination. All the reagents should be stored</w:t>
      </w:r>
      <w:r>
        <w:rPr>
          <w:spacing w:val="1"/>
        </w:rPr>
        <w:t> </w:t>
      </w:r>
      <w:r>
        <w:rPr/>
        <w:t>tightly</w:t>
      </w:r>
      <w:r>
        <w:rPr>
          <w:spacing w:val="-9"/>
        </w:rPr>
        <w:t> </w:t>
      </w:r>
      <w:r>
        <w:rPr/>
        <w:t>closed</w:t>
      </w:r>
      <w:r>
        <w:rPr>
          <w:spacing w:val="2"/>
        </w:rPr>
        <w:t> </w:t>
      </w:r>
      <w:r>
        <w:rPr/>
        <w:t>at</w:t>
      </w:r>
      <w:r>
        <w:rPr>
          <w:spacing w:val="7"/>
        </w:rPr>
        <w:t> </w:t>
      </w:r>
      <w:r>
        <w:rPr/>
        <w:t>2-8ºC and</w:t>
      </w:r>
      <w:r>
        <w:rPr>
          <w:spacing w:val="2"/>
        </w:rPr>
        <w:t> </w:t>
      </w:r>
      <w:r>
        <w:rPr/>
        <w:t>protected</w:t>
      </w:r>
      <w:r>
        <w:rPr>
          <w:spacing w:val="2"/>
        </w:rPr>
        <w:t> </w:t>
      </w:r>
      <w:r>
        <w:rPr/>
        <w:t>from</w:t>
      </w:r>
      <w:r>
        <w:rPr>
          <w:spacing w:val="-3"/>
        </w:rPr>
        <w:t> </w:t>
      </w:r>
      <w:r>
        <w:rPr/>
        <w:t>light.</w:t>
      </w:r>
    </w:p>
    <w:p>
      <w:pPr>
        <w:pStyle w:val="Heading1"/>
        <w:numPr>
          <w:ilvl w:val="2"/>
          <w:numId w:val="29"/>
        </w:numPr>
        <w:tabs>
          <w:tab w:pos="1482" w:val="left" w:leader="none"/>
        </w:tabs>
        <w:spacing w:line="240" w:lineRule="auto" w:before="202" w:after="0"/>
        <w:ind w:left="1481" w:right="0" w:hanging="662"/>
        <w:jc w:val="both"/>
      </w:pPr>
      <w:r>
        <w:rPr/>
        <w:t>Quantitative</w:t>
      </w:r>
      <w:r>
        <w:rPr>
          <w:spacing w:val="-9"/>
        </w:rPr>
        <w:t> </w:t>
      </w: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micronutrients: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55" w:lineRule="auto" w:before="1"/>
        <w:ind w:left="820" w:right="1443"/>
        <w:jc w:val="both"/>
      </w:pPr>
      <w:r>
        <w:rPr/>
        <w:t>Simple serum or plasma level assessment is what is usually feasible as a biochemical indicator in</w:t>
      </w:r>
      <w:r>
        <w:rPr>
          <w:spacing w:val="-57"/>
        </w:rPr>
        <w:t> </w:t>
      </w:r>
      <w:r>
        <w:rPr/>
        <w:t>population</w:t>
      </w:r>
      <w:r>
        <w:rPr>
          <w:spacing w:val="-4"/>
        </w:rPr>
        <w:t> </w:t>
      </w:r>
      <w:r>
        <w:rPr/>
        <w:t>based</w:t>
      </w:r>
      <w:r>
        <w:rPr>
          <w:spacing w:val="1"/>
        </w:rPr>
        <w:t> </w:t>
      </w:r>
      <w:r>
        <w:rPr/>
        <w:t>assessment</w:t>
      </w:r>
      <w:r>
        <w:rPr>
          <w:spacing w:val="3"/>
        </w:rPr>
        <w:t> </w:t>
      </w:r>
      <w:r>
        <w:rPr/>
        <w:t>of micronutrients (Bhan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3"/>
        </w:rPr>
        <w:t> </w:t>
      </w:r>
      <w:r>
        <w:rPr/>
        <w:t>2001).</w:t>
      </w:r>
    </w:p>
    <w:p>
      <w:pPr>
        <w:pStyle w:val="Heading2"/>
        <w:numPr>
          <w:ilvl w:val="3"/>
          <w:numId w:val="29"/>
        </w:numPr>
        <w:tabs>
          <w:tab w:pos="1665" w:val="left" w:leader="none"/>
        </w:tabs>
        <w:spacing w:line="240" w:lineRule="auto" w:before="210" w:after="0"/>
        <w:ind w:left="1664" w:right="0" w:hanging="845"/>
        <w:jc w:val="both"/>
      </w:pPr>
      <w:r>
        <w:rPr/>
        <w:t>Magnesium</w:t>
      </w:r>
    </w:p>
    <w:p>
      <w:pPr>
        <w:pStyle w:val="BodyText"/>
        <w:spacing w:before="5"/>
        <w:rPr>
          <w:b/>
          <w:i/>
          <w:sz w:val="29"/>
        </w:rPr>
      </w:pPr>
    </w:p>
    <w:p>
      <w:pPr>
        <w:pStyle w:val="BodyText"/>
        <w:spacing w:line="355" w:lineRule="auto"/>
        <w:ind w:left="820" w:right="1448"/>
        <w:jc w:val="both"/>
      </w:pPr>
      <w:r>
        <w:rPr>
          <w:b/>
        </w:rPr>
        <w:t>Theory</w:t>
      </w:r>
      <w:r>
        <w:rPr/>
        <w:t>: In alkaline solution, magnesium forms a purple coloured complex with calgamite. The</w:t>
      </w:r>
      <w:r>
        <w:rPr>
          <w:spacing w:val="1"/>
        </w:rPr>
        <w:t> </w:t>
      </w:r>
      <w:r>
        <w:rPr/>
        <w:t>intensity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colour</w:t>
      </w:r>
      <w:r>
        <w:rPr>
          <w:spacing w:val="1"/>
        </w:rPr>
        <w:t> </w:t>
      </w:r>
      <w:r>
        <w:rPr/>
        <w:t>formed</w:t>
      </w:r>
      <w:r>
        <w:rPr>
          <w:spacing w:val="5"/>
        </w:rPr>
        <w:t> </w:t>
      </w:r>
      <w:r>
        <w:rPr/>
        <w:t>is</w:t>
      </w:r>
      <w:r>
        <w:rPr>
          <w:spacing w:val="-3"/>
        </w:rPr>
        <w:t> </w:t>
      </w:r>
      <w:r>
        <w:rPr/>
        <w:t>proportional</w:t>
      </w:r>
      <w:r>
        <w:rPr>
          <w:spacing w:val="-8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3"/>
        </w:rPr>
        <w:t> </w:t>
      </w:r>
      <w:r>
        <w:rPr/>
        <w:t>magnesium</w:t>
      </w:r>
      <w:r>
        <w:rPr>
          <w:spacing w:val="-4"/>
        </w:rPr>
        <w:t> </w:t>
      </w:r>
      <w:r>
        <w:rPr/>
        <w:t>concentration in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sample.</w:t>
      </w:r>
    </w:p>
    <w:p>
      <w:pPr>
        <w:pStyle w:val="BodyText"/>
        <w:spacing w:before="210"/>
        <w:ind w:left="820"/>
      </w:pPr>
      <w:r>
        <w:rPr>
          <w:b/>
        </w:rPr>
        <w:t>Assay</w:t>
      </w:r>
      <w:r>
        <w:rPr>
          <w:b/>
          <w:spacing w:val="-1"/>
        </w:rPr>
        <w:t> </w:t>
      </w:r>
      <w:r>
        <w:rPr>
          <w:b/>
        </w:rPr>
        <w:t>conditions:</w:t>
      </w:r>
      <w:r>
        <w:rPr>
          <w:b/>
          <w:spacing w:val="8"/>
        </w:rPr>
        <w:t> </w:t>
      </w:r>
      <w:r>
        <w:rPr/>
        <w:t>Wavelength</w:t>
      </w:r>
      <w:r>
        <w:rPr>
          <w:spacing w:val="-5"/>
        </w:rPr>
        <w:t> </w:t>
      </w:r>
      <w:r>
        <w:rPr/>
        <w:t>– 520nm</w:t>
      </w:r>
      <w:r>
        <w:rPr>
          <w:spacing w:val="-4"/>
        </w:rPr>
        <w:t> </w:t>
      </w:r>
      <w:r>
        <w:rPr/>
        <w:t>(500-550nm),</w:t>
      </w:r>
      <w:r>
        <w:rPr>
          <w:spacing w:val="1"/>
        </w:rPr>
        <w:t> </w:t>
      </w:r>
      <w:r>
        <w:rPr/>
        <w:t>Cuvette</w:t>
      </w:r>
      <w:r>
        <w:rPr>
          <w:spacing w:val="1"/>
        </w:rPr>
        <w:t> </w:t>
      </w:r>
      <w:r>
        <w:rPr/>
        <w:t>– 1.0</w:t>
      </w:r>
      <w:r>
        <w:rPr>
          <w:spacing w:val="-1"/>
        </w:rPr>
        <w:t> </w:t>
      </w:r>
      <w:r>
        <w:rPr/>
        <w:t>cm</w:t>
      </w:r>
      <w:r>
        <w:rPr>
          <w:spacing w:val="1"/>
        </w:rPr>
        <w:t> </w:t>
      </w:r>
      <w:r>
        <w:rPr/>
        <w:t>light</w:t>
      </w:r>
      <w:r>
        <w:rPr>
          <w:spacing w:val="5"/>
        </w:rPr>
        <w:t> </w:t>
      </w:r>
      <w:r>
        <w:rPr/>
        <w:t>path,</w:t>
      </w:r>
      <w:r>
        <w:rPr>
          <w:spacing w:val="1"/>
        </w:rPr>
        <w:t> </w:t>
      </w:r>
      <w:r>
        <w:rPr/>
        <w:t>Temperature</w:t>
      </w:r>
    </w:p>
    <w:p>
      <w:pPr>
        <w:pStyle w:val="BodyText"/>
        <w:spacing w:before="132"/>
        <w:ind w:left="820"/>
      </w:pPr>
      <w:r>
        <w:rPr/>
        <w:t>-</w:t>
      </w:r>
      <w:r>
        <w:rPr>
          <w:spacing w:val="5"/>
        </w:rPr>
        <w:t> </w:t>
      </w:r>
      <w:r>
        <w:rPr/>
        <w:t>37</w:t>
      </w:r>
      <w:r>
        <w:rPr>
          <w:spacing w:val="-3"/>
        </w:rPr>
        <w:t> </w:t>
      </w:r>
      <w:r>
        <w:rPr/>
        <w:t>ºC</w:t>
      </w:r>
      <w:r>
        <w:rPr>
          <w:spacing w:val="-3"/>
        </w:rPr>
        <w:t> </w:t>
      </w:r>
      <w:r>
        <w:rPr/>
        <w:t>or 15-25</w:t>
      </w:r>
      <w:r>
        <w:rPr>
          <w:spacing w:val="-2"/>
        </w:rPr>
        <w:t> </w:t>
      </w:r>
      <w:r>
        <w:rPr/>
        <w:t>ºC</w:t>
      </w:r>
    </w:p>
    <w:p>
      <w:pPr>
        <w:pStyle w:val="BodyText"/>
        <w:spacing w:before="10"/>
        <w:rPr>
          <w:sz w:val="29"/>
        </w:rPr>
      </w:pPr>
    </w:p>
    <w:p>
      <w:pPr>
        <w:pStyle w:val="Heading1"/>
        <w:spacing w:before="0"/>
        <w:jc w:val="left"/>
      </w:pPr>
      <w:r>
        <w:rPr/>
        <w:t>Method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34"/>
        <w:jc w:val="both"/>
      </w:pPr>
      <w:r>
        <w:rPr/>
        <w:t>The</w:t>
      </w:r>
      <w:r>
        <w:rPr>
          <w:spacing w:val="28"/>
        </w:rPr>
        <w:t> </w:t>
      </w:r>
      <w:r>
        <w:rPr/>
        <w:t>spectrophotometer</w:t>
      </w:r>
      <w:r>
        <w:rPr>
          <w:spacing w:val="26"/>
        </w:rPr>
        <w:t> </w:t>
      </w:r>
      <w:r>
        <w:rPr/>
        <w:t>was</w:t>
      </w:r>
      <w:r>
        <w:rPr>
          <w:spacing w:val="26"/>
        </w:rPr>
        <w:t> </w:t>
      </w:r>
      <w:r>
        <w:rPr/>
        <w:t>adjusted</w:t>
      </w:r>
      <w:r>
        <w:rPr>
          <w:spacing w:val="25"/>
        </w:rPr>
        <w:t> </w:t>
      </w:r>
      <w:r>
        <w:rPr/>
        <w:t>to</w:t>
      </w:r>
      <w:r>
        <w:rPr>
          <w:spacing w:val="30"/>
        </w:rPr>
        <w:t> </w:t>
      </w:r>
      <w:r>
        <w:rPr/>
        <w:t>zero</w:t>
      </w:r>
      <w:r>
        <w:rPr>
          <w:spacing w:val="29"/>
        </w:rPr>
        <w:t> </w:t>
      </w:r>
      <w:r>
        <w:rPr/>
        <w:t>with</w:t>
      </w:r>
      <w:r>
        <w:rPr>
          <w:spacing w:val="25"/>
        </w:rPr>
        <w:t> </w:t>
      </w:r>
      <w:r>
        <w:rPr/>
        <w:t>distilled</w:t>
      </w:r>
      <w:r>
        <w:rPr>
          <w:spacing w:val="30"/>
        </w:rPr>
        <w:t> </w:t>
      </w:r>
      <w:r>
        <w:rPr/>
        <w:t>water.</w:t>
      </w:r>
      <w:r>
        <w:rPr>
          <w:spacing w:val="26"/>
        </w:rPr>
        <w:t> </w:t>
      </w:r>
      <w:r>
        <w:rPr/>
        <w:t>1ml</w:t>
      </w:r>
      <w:r>
        <w:rPr>
          <w:spacing w:val="21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28"/>
        </w:rPr>
        <w:t> </w:t>
      </w:r>
      <w:r>
        <w:rPr/>
        <w:t>WR</w:t>
      </w:r>
      <w:r>
        <w:rPr>
          <w:spacing w:val="24"/>
        </w:rPr>
        <w:t> </w:t>
      </w:r>
      <w:r>
        <w:rPr/>
        <w:t>was</w:t>
      </w:r>
      <w:r>
        <w:rPr>
          <w:spacing w:val="23"/>
        </w:rPr>
        <w:t> </w:t>
      </w:r>
      <w:r>
        <w:rPr/>
        <w:t>pipetted</w:t>
      </w:r>
      <w:r>
        <w:rPr>
          <w:spacing w:val="-58"/>
        </w:rPr>
        <w:t> </w:t>
      </w:r>
      <w:r>
        <w:rPr/>
        <w:t>into each of three cuvettes (blank, standard, and sample). 10µL of magnesium CAL. was pipetted</w:t>
      </w:r>
      <w:r>
        <w:rPr>
          <w:spacing w:val="-57"/>
        </w:rPr>
        <w:t> </w:t>
      </w:r>
      <w:r>
        <w:rPr/>
        <w:t>into the second cuvette (standard), while 10µL of the sample was pipetted into the third cuvette</w:t>
      </w:r>
      <w:r>
        <w:rPr>
          <w:spacing w:val="1"/>
        </w:rPr>
        <w:t> </w:t>
      </w:r>
      <w:r>
        <w:rPr/>
        <w:t>(sample).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cuvette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mixed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incubated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room</w:t>
      </w:r>
      <w:r>
        <w:rPr>
          <w:spacing w:val="1"/>
        </w:rPr>
        <w:t> </w:t>
      </w:r>
      <w:r>
        <w:rPr/>
        <w:t>temperature or 3 minutes at 37 ºC. The absorbance (A) of the sample and standard against the</w:t>
      </w:r>
      <w:r>
        <w:rPr>
          <w:spacing w:val="1"/>
        </w:rPr>
        <w:t> </w:t>
      </w:r>
      <w:r>
        <w:rPr/>
        <w:t>blank was read and recorded, and the concentration of magnesium in the sample in mg/dL was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using</w:t>
      </w:r>
    </w:p>
    <w:p>
      <w:pPr>
        <w:pStyle w:val="ListParagraph"/>
        <w:numPr>
          <w:ilvl w:val="4"/>
          <w:numId w:val="29"/>
        </w:numPr>
        <w:tabs>
          <w:tab w:pos="1704" w:val="left" w:leader="none"/>
        </w:tabs>
        <w:spacing w:line="240" w:lineRule="auto" w:before="122" w:after="0"/>
        <w:ind w:left="1703" w:right="0" w:hanging="395"/>
        <w:jc w:val="both"/>
        <w:rPr>
          <w:sz w:val="24"/>
        </w:rPr>
      </w:pPr>
      <w:r>
        <w:rPr/>
        <w:pict>
          <v:shape style="position:absolute;margin-left:95.279999pt;margin-top:26.382347pt;width:65.3pt;height:.1pt;mso-position-horizontal-relative:page;mso-position-vertical-relative:paragraph;z-index:-15724032;mso-wrap-distance-left:0;mso-wrap-distance-right:0" coordorigin="1906,528" coordsize="1306,0" path="m1906,528l3211,528e" filled="false" stroked="true" strokeweight=".71999pt" strokecolor="#000000">
            <v:path arrowok="t"/>
            <v:stroke dashstyle="solid"/>
            <w10:wrap type="topAndBottom"/>
          </v:shape>
        </w:pict>
      </w:r>
      <w:r>
        <w:rPr>
          <w:sz w:val="24"/>
        </w:rPr>
        <w:t>sample</w:t>
      </w:r>
      <w:r>
        <w:rPr>
          <w:spacing w:val="96"/>
          <w:sz w:val="24"/>
        </w:rPr>
        <w:t> </w:t>
      </w:r>
      <w:r>
        <w:rPr>
          <w:rFonts w:ascii="Cambria Math" w:hAnsi="Cambria Math"/>
          <w:sz w:val="24"/>
        </w:rPr>
        <w:t>×</w:t>
      </w:r>
      <w:r>
        <w:rPr>
          <w:rFonts w:ascii="Cambria Math" w:hAnsi="Cambria Math"/>
          <w:spacing w:val="91"/>
          <w:sz w:val="24"/>
        </w:rPr>
        <w:t> </w:t>
      </w:r>
      <w:r>
        <w:rPr>
          <w:sz w:val="24"/>
        </w:rPr>
        <w:t>2(calibrator</w:t>
      </w:r>
      <w:r>
        <w:rPr>
          <w:spacing w:val="-5"/>
          <w:sz w:val="24"/>
        </w:rPr>
        <w:t> </w:t>
      </w:r>
      <w:r>
        <w:rPr>
          <w:sz w:val="24"/>
        </w:rPr>
        <w:t>concentration)</w:t>
      </w:r>
    </w:p>
    <w:p>
      <w:pPr>
        <w:pStyle w:val="BodyText"/>
        <w:spacing w:before="75"/>
        <w:ind w:left="1309"/>
        <w:jc w:val="both"/>
      </w:pPr>
      <w:r>
        <w:rPr/>
        <w:t>(A)</w:t>
      </w:r>
      <w:r>
        <w:rPr>
          <w:spacing w:val="-1"/>
        </w:rPr>
        <w:t> </w:t>
      </w:r>
      <w:r>
        <w:rPr/>
        <w:t>standard</w:t>
      </w:r>
    </w:p>
    <w:p>
      <w:pPr>
        <w:spacing w:after="0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Heading2"/>
        <w:numPr>
          <w:ilvl w:val="3"/>
          <w:numId w:val="29"/>
        </w:numPr>
        <w:tabs>
          <w:tab w:pos="1603" w:val="left" w:leader="none"/>
        </w:tabs>
        <w:spacing w:line="240" w:lineRule="auto" w:before="72" w:after="0"/>
        <w:ind w:left="1602" w:right="0" w:hanging="783"/>
        <w:jc w:val="left"/>
      </w:pPr>
      <w:r>
        <w:rPr/>
        <w:t>Zinc</w:t>
      </w:r>
    </w:p>
    <w:p>
      <w:pPr>
        <w:pStyle w:val="BodyText"/>
        <w:spacing w:before="4"/>
        <w:rPr>
          <w:b/>
          <w:i/>
          <w:sz w:val="29"/>
        </w:rPr>
      </w:pPr>
    </w:p>
    <w:p>
      <w:pPr>
        <w:pStyle w:val="BodyText"/>
        <w:spacing w:line="357" w:lineRule="auto" w:before="1"/>
        <w:ind w:left="820" w:right="1445"/>
        <w:jc w:val="both"/>
      </w:pPr>
      <w:r>
        <w:rPr>
          <w:b/>
        </w:rPr>
        <w:t>Theory: </w:t>
      </w:r>
      <w:r>
        <w:rPr/>
        <w:t>At pH 8.6 in buffered medium, zinc forms a stable coloured complex with specific</w:t>
      </w:r>
      <w:r>
        <w:rPr>
          <w:spacing w:val="1"/>
        </w:rPr>
        <w:t> </w:t>
      </w:r>
      <w:r>
        <w:rPr/>
        <w:t>complexant 5-Br-PAPS. The intensity of the colour formed is proportional to the amount of zinc</w:t>
      </w:r>
      <w:r>
        <w:rPr>
          <w:spacing w:val="1"/>
        </w:rPr>
        <w:t> </w:t>
      </w:r>
      <w:r>
        <w:rPr/>
        <w:t>present</w:t>
      </w:r>
      <w:r>
        <w:rPr>
          <w:spacing w:val="1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sample.</w:t>
      </w:r>
    </w:p>
    <w:p>
      <w:pPr>
        <w:spacing w:line="271" w:lineRule="auto" w:before="206"/>
        <w:ind w:left="820" w:right="1435" w:firstLine="0"/>
        <w:jc w:val="both"/>
        <w:rPr>
          <w:sz w:val="24"/>
        </w:rPr>
      </w:pPr>
      <w:r>
        <w:rPr>
          <w:b/>
          <w:sz w:val="24"/>
        </w:rPr>
        <w:t>Assay conditions: </w:t>
      </w:r>
      <w:r>
        <w:rPr>
          <w:sz w:val="24"/>
        </w:rPr>
        <w:t>Wavelength- 560 nm (550-580 nm)</w:t>
      </w:r>
      <w:r>
        <w:rPr>
          <w:b/>
          <w:sz w:val="24"/>
        </w:rPr>
        <w:t>, </w:t>
      </w:r>
      <w:r>
        <w:rPr>
          <w:sz w:val="24"/>
        </w:rPr>
        <w:t>Cuvette- 1cm light path</w:t>
      </w:r>
      <w:r>
        <w:rPr>
          <w:b/>
          <w:sz w:val="24"/>
        </w:rPr>
        <w:t>, </w:t>
      </w:r>
      <w:r>
        <w:rPr>
          <w:sz w:val="24"/>
        </w:rPr>
        <w:t>Temperature-</w:t>
      </w:r>
      <w:r>
        <w:rPr>
          <w:spacing w:val="1"/>
          <w:sz w:val="24"/>
        </w:rPr>
        <w:t> </w:t>
      </w:r>
      <w:r>
        <w:rPr>
          <w:sz w:val="24"/>
        </w:rPr>
        <w:t>25/30/37</w:t>
      </w:r>
      <w:r>
        <w:rPr>
          <w:spacing w:val="2"/>
          <w:sz w:val="24"/>
        </w:rPr>
        <w:t> </w:t>
      </w:r>
      <w:r>
        <w:rPr>
          <w:sz w:val="24"/>
        </w:rPr>
        <w:t>ºC</w:t>
      </w:r>
    </w:p>
    <w:p>
      <w:pPr>
        <w:pStyle w:val="Heading1"/>
        <w:spacing w:before="211"/>
        <w:jc w:val="left"/>
      </w:pPr>
      <w:r>
        <w:rPr/>
        <w:t>Method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 w:after="10"/>
        <w:ind w:left="820" w:right="1437"/>
        <w:jc w:val="both"/>
      </w:pPr>
      <w:r>
        <w:rPr/>
        <w:pict>
          <v:shape style="position:absolute;margin-left:72pt;margin-top:145.229767pt;width:29pt;height:13.3pt;mso-position-horizontal-relative:page;mso-position-vertical-relative:paragraph;z-index:-20265472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spacing w:val="-2"/>
                    </w:rPr>
                    <w:t>using:</w:t>
                  </w:r>
                </w:p>
              </w:txbxContent>
            </v:textbox>
            <w10:wrap type="none"/>
          </v:shape>
        </w:pict>
      </w:r>
      <w:r>
        <w:rPr/>
        <w:t>The spectrophotometer was adjusted to the zero mark with distilled water. 1ml each of the</w:t>
      </w:r>
      <w:r>
        <w:rPr>
          <w:spacing w:val="1"/>
        </w:rPr>
        <w:t> </w:t>
      </w:r>
      <w:r>
        <w:rPr/>
        <w:t>working reagent was pipetted into each of 3 cuvettes – blank, standard, and sample. 50µL of</w:t>
      </w:r>
      <w:r>
        <w:rPr>
          <w:spacing w:val="1"/>
        </w:rPr>
        <w:t> </w:t>
      </w:r>
      <w:r>
        <w:rPr/>
        <w:t>distilled water, 50µL of zinc CAL. (standard), and 50µL of the sample was pipetted respectively</w:t>
      </w:r>
      <w:r>
        <w:rPr>
          <w:spacing w:val="1"/>
        </w:rPr>
        <w:t> </w:t>
      </w:r>
      <w:r>
        <w:rPr/>
        <w:t>into each of the 3 cuvettes, and their contents mixed. The absorbance (A</w:t>
      </w:r>
      <w:r>
        <w:rPr>
          <w:vertAlign w:val="subscript"/>
        </w:rPr>
        <w:t>1</w:t>
      </w:r>
      <w:r>
        <w:rPr>
          <w:vertAlign w:val="baseline"/>
        </w:rPr>
        <w:t>) of the sample against</w:t>
      </w:r>
      <w:r>
        <w:rPr>
          <w:spacing w:val="1"/>
          <w:vertAlign w:val="baseline"/>
        </w:rPr>
        <w:t> </w:t>
      </w:r>
      <w:r>
        <w:rPr>
          <w:vertAlign w:val="baseline"/>
        </w:rPr>
        <w:t>the blank was read and recorded. 100µL each of 5-Br-PAPS was then pipetted respectively into</w:t>
      </w:r>
      <w:r>
        <w:rPr>
          <w:spacing w:val="1"/>
          <w:vertAlign w:val="baseline"/>
        </w:rPr>
        <w:t> </w:t>
      </w:r>
      <w:r>
        <w:rPr>
          <w:vertAlign w:val="baseline"/>
        </w:rPr>
        <w:t>each of the 3 cuvettes, and their contents mixed. The absorbance (A</w:t>
      </w:r>
      <w:r>
        <w:rPr>
          <w:vertAlign w:val="subscript"/>
        </w:rPr>
        <w:t>2</w:t>
      </w:r>
      <w:r>
        <w:rPr>
          <w:vertAlign w:val="baseline"/>
        </w:rPr>
        <w:t>) of the sample and standard</w:t>
      </w:r>
      <w:r>
        <w:rPr>
          <w:spacing w:val="-57"/>
          <w:vertAlign w:val="baseline"/>
        </w:rPr>
        <w:t> </w:t>
      </w:r>
      <w:r>
        <w:rPr>
          <w:vertAlign w:val="baseline"/>
        </w:rPr>
        <w:t>against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blank</w:t>
      </w:r>
      <w:r>
        <w:rPr>
          <w:spacing w:val="6"/>
          <w:vertAlign w:val="baseline"/>
        </w:rPr>
        <w:t> </w:t>
      </w:r>
      <w:r>
        <w:rPr>
          <w:vertAlign w:val="baseline"/>
        </w:rPr>
        <w:t>was</w:t>
      </w:r>
      <w:r>
        <w:rPr>
          <w:spacing w:val="3"/>
          <w:vertAlign w:val="baseline"/>
        </w:rPr>
        <w:t> </w:t>
      </w:r>
      <w:r>
        <w:rPr>
          <w:vertAlign w:val="baseline"/>
        </w:rPr>
        <w:t>read</w:t>
      </w:r>
      <w:r>
        <w:rPr>
          <w:spacing w:val="10"/>
          <w:vertAlign w:val="baseline"/>
        </w:rPr>
        <w:t> </w:t>
      </w:r>
      <w:r>
        <w:rPr>
          <w:vertAlign w:val="baseline"/>
        </w:rPr>
        <w:t>and</w:t>
      </w:r>
      <w:r>
        <w:rPr>
          <w:spacing w:val="6"/>
          <w:vertAlign w:val="baseline"/>
        </w:rPr>
        <w:t> </w:t>
      </w:r>
      <w:r>
        <w:rPr>
          <w:vertAlign w:val="baseline"/>
        </w:rPr>
        <w:t>recorded.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zinc</w:t>
      </w:r>
      <w:r>
        <w:rPr>
          <w:spacing w:val="9"/>
          <w:vertAlign w:val="baseline"/>
        </w:rPr>
        <w:t> </w:t>
      </w:r>
      <w:r>
        <w:rPr>
          <w:vertAlign w:val="baseline"/>
        </w:rPr>
        <w:t>in</w:t>
      </w:r>
      <w:r>
        <w:rPr>
          <w:spacing w:val="6"/>
          <w:vertAlign w:val="baseline"/>
        </w:rPr>
        <w:t> </w:t>
      </w:r>
      <w:r>
        <w:rPr>
          <w:vertAlign w:val="baseline"/>
        </w:rPr>
        <w:t>µg/dL</w:t>
      </w:r>
      <w:r>
        <w:rPr>
          <w:spacing w:val="3"/>
          <w:vertAlign w:val="baseline"/>
        </w:rPr>
        <w:t> </w:t>
      </w:r>
      <w:r>
        <w:rPr>
          <w:vertAlign w:val="baseline"/>
        </w:rPr>
        <w:t>was</w:t>
      </w:r>
      <w:r>
        <w:rPr>
          <w:spacing w:val="4"/>
          <w:vertAlign w:val="baseline"/>
        </w:rPr>
        <w:t> </w:t>
      </w:r>
      <w:r>
        <w:rPr>
          <w:vertAlign w:val="baseline"/>
        </w:rPr>
        <w:t>then calculated</w:t>
      </w:r>
    </w:p>
    <w:p>
      <w:pPr>
        <w:pStyle w:val="BodyText"/>
        <w:ind w:left="743"/>
        <w:rPr>
          <w:sz w:val="20"/>
        </w:rPr>
      </w:pPr>
      <w:r>
        <w:rPr>
          <w:sz w:val="20"/>
        </w:rPr>
        <w:pict>
          <v:group style="width:282.75pt;height:51.4pt;mso-position-horizontal-relative:char;mso-position-vertical-relative:line" coordorigin="0,0" coordsize="5655,1028">
            <v:rect style="position:absolute;left:0;top:0;width:5655;height:1028" filled="true" fillcolor="#ffffff" stroked="false">
              <v:fill type="solid"/>
            </v:rect>
            <v:line style="position:absolute" from="154,523" to="1848,523" stroked="true" strokeweight=".71999pt" strokecolor="#000000">
              <v:stroke dashstyle="solid"/>
            </v:line>
            <v:shape style="position:absolute;left:0;top:0;width:5655;height:1028" type="#_x0000_t202" filled="false" stroked="false">
              <v:textbox inset="0,0,0,0">
                <w:txbxContent>
                  <w:p>
                    <w:pPr>
                      <w:tabs>
                        <w:tab w:pos="2327" w:val="left" w:leader="none"/>
                      </w:tabs>
                      <w:spacing w:before="64"/>
                      <w:ind w:left="24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</w:t>
                    </w:r>
                    <w:r>
                      <w:rPr>
                        <w:sz w:val="24"/>
                        <w:vertAlign w:val="subscript"/>
                      </w:rPr>
                      <w:t>2</w:t>
                    </w:r>
                    <w:r>
                      <w:rPr>
                        <w:sz w:val="24"/>
                        <w:vertAlign w:val="baseline"/>
                      </w:rPr>
                      <w:t>-A</w:t>
                    </w:r>
                    <w:r>
                      <w:rPr>
                        <w:sz w:val="24"/>
                        <w:vertAlign w:val="subscript"/>
                      </w:rPr>
                      <w:t>1</w:t>
                    </w:r>
                    <w:r>
                      <w:rPr>
                        <w:sz w:val="24"/>
                        <w:vertAlign w:val="baseline"/>
                      </w:rPr>
                      <w:t>)</w:t>
                    </w:r>
                    <w:r>
                      <w:rPr>
                        <w:spacing w:val="-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sample</w:t>
                    </w:r>
                    <w:r>
                      <w:rPr>
                        <w:spacing w:val="103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/>
                        <w:sz w:val="24"/>
                        <w:vertAlign w:val="baseline"/>
                      </w:rPr>
                      <w:t>×</w:t>
                      <w:tab/>
                    </w:r>
                    <w:r>
                      <w:rPr>
                        <w:sz w:val="24"/>
                        <w:vertAlign w:val="baseline"/>
                      </w:rPr>
                      <w:t>200</w:t>
                    </w:r>
                    <w:r>
                      <w:rPr>
                        <w:spacing w:val="-9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(standard</w:t>
                    </w:r>
                    <w:r>
                      <w:rPr>
                        <w:spacing w:val="-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concentration)</w:t>
                    </w:r>
                  </w:p>
                  <w:p>
                    <w:pPr>
                      <w:spacing w:before="237"/>
                      <w:ind w:left="14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</w:t>
                    </w:r>
                    <w:r>
                      <w:rPr>
                        <w:sz w:val="24"/>
                        <w:vertAlign w:val="subscript"/>
                      </w:rPr>
                      <w:t>2</w:t>
                    </w:r>
                    <w:r>
                      <w:rPr>
                        <w:sz w:val="24"/>
                        <w:vertAlign w:val="baseline"/>
                      </w:rPr>
                      <w:t>-A</w:t>
                    </w:r>
                    <w:r>
                      <w:rPr>
                        <w:sz w:val="24"/>
                        <w:vertAlign w:val="subscript"/>
                      </w:rPr>
                      <w:t>1</w:t>
                    </w:r>
                    <w:r>
                      <w:rPr>
                        <w:sz w:val="24"/>
                        <w:vertAlign w:val="baseline"/>
                      </w:rPr>
                      <w:t>)</w:t>
                    </w:r>
                    <w:r>
                      <w:rPr>
                        <w:spacing w:val="-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standard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2"/>
        <w:numPr>
          <w:ilvl w:val="3"/>
          <w:numId w:val="29"/>
        </w:numPr>
        <w:tabs>
          <w:tab w:pos="1665" w:val="left" w:leader="none"/>
        </w:tabs>
        <w:spacing w:line="240" w:lineRule="auto" w:before="165" w:after="0"/>
        <w:ind w:left="1664" w:right="0" w:hanging="845"/>
        <w:jc w:val="left"/>
      </w:pPr>
      <w:r>
        <w:rPr/>
        <w:t>Copper</w:t>
      </w:r>
    </w:p>
    <w:p>
      <w:pPr>
        <w:pStyle w:val="BodyText"/>
        <w:spacing w:before="5"/>
        <w:rPr>
          <w:b/>
          <w:i/>
          <w:sz w:val="29"/>
        </w:rPr>
      </w:pPr>
    </w:p>
    <w:p>
      <w:pPr>
        <w:pStyle w:val="BodyText"/>
        <w:spacing w:line="357" w:lineRule="auto"/>
        <w:ind w:left="820" w:right="1440"/>
        <w:jc w:val="both"/>
      </w:pPr>
      <w:r>
        <w:rPr>
          <w:b/>
        </w:rPr>
        <w:t>Theory: </w:t>
      </w:r>
      <w:r>
        <w:rPr/>
        <w:t>At pH 4.7 in a buffered medium, copper is released from ceruloplasmine complex and</w:t>
      </w:r>
      <w:r>
        <w:rPr>
          <w:spacing w:val="1"/>
        </w:rPr>
        <w:t> </w:t>
      </w:r>
      <w:r>
        <w:rPr/>
        <w:t>forms a stable coloured complex with the specific complexant 3, 5-DiBr-PAESA; the colour</w:t>
      </w:r>
      <w:r>
        <w:rPr>
          <w:spacing w:val="1"/>
        </w:rPr>
        <w:t> </w:t>
      </w:r>
      <w:r>
        <w:rPr/>
        <w:t>intensity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proportional</w:t>
      </w:r>
      <w:r>
        <w:rPr>
          <w:spacing w:val="-8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copper</w:t>
      </w:r>
      <w:r>
        <w:rPr>
          <w:spacing w:val="2"/>
        </w:rPr>
        <w:t> </w:t>
      </w:r>
      <w:r>
        <w:rPr/>
        <w:t>present</w:t>
      </w:r>
      <w:r>
        <w:rPr>
          <w:spacing w:val="6"/>
        </w:rPr>
        <w:t> </w:t>
      </w:r>
      <w:r>
        <w:rPr/>
        <w:t>in</w:t>
      </w:r>
      <w:r>
        <w:rPr>
          <w:spacing w:val="-4"/>
        </w:rPr>
        <w:t> </w:t>
      </w:r>
      <w:r>
        <w:rPr/>
        <w:t>the sample.</w:t>
      </w:r>
    </w:p>
    <w:p>
      <w:pPr>
        <w:spacing w:line="355" w:lineRule="auto" w:before="206"/>
        <w:ind w:left="820" w:right="1439" w:firstLine="0"/>
        <w:jc w:val="both"/>
        <w:rPr>
          <w:sz w:val="24"/>
        </w:rPr>
      </w:pPr>
      <w:r>
        <w:rPr>
          <w:b/>
          <w:sz w:val="24"/>
        </w:rPr>
        <w:t>Assay conditions: </w:t>
      </w:r>
      <w:r>
        <w:rPr>
          <w:sz w:val="24"/>
        </w:rPr>
        <w:t>Wavelength - 582 nm (570-590nm)</w:t>
      </w:r>
      <w:r>
        <w:rPr>
          <w:b/>
          <w:sz w:val="24"/>
        </w:rPr>
        <w:t>, </w:t>
      </w:r>
      <w:r>
        <w:rPr>
          <w:sz w:val="24"/>
        </w:rPr>
        <w:t>Cuvette - 1cm light path</w:t>
      </w:r>
      <w:r>
        <w:rPr>
          <w:b/>
          <w:sz w:val="24"/>
        </w:rPr>
        <w:t>, </w:t>
      </w:r>
      <w:r>
        <w:rPr>
          <w:sz w:val="24"/>
        </w:rPr>
        <w:t>Temperature -</w:t>
      </w:r>
      <w:r>
        <w:rPr>
          <w:spacing w:val="1"/>
          <w:sz w:val="24"/>
        </w:rPr>
        <w:t> </w:t>
      </w:r>
      <w:r>
        <w:rPr>
          <w:sz w:val="24"/>
        </w:rPr>
        <w:t>37</w:t>
      </w:r>
      <w:r>
        <w:rPr>
          <w:spacing w:val="2"/>
          <w:sz w:val="24"/>
        </w:rPr>
        <w:t> </w:t>
      </w:r>
      <w:r>
        <w:rPr>
          <w:sz w:val="24"/>
        </w:rPr>
        <w:t>ºC</w:t>
      </w:r>
    </w:p>
    <w:p>
      <w:pPr>
        <w:pStyle w:val="Heading1"/>
        <w:spacing w:before="210"/>
        <w:jc w:val="left"/>
      </w:pPr>
      <w:r>
        <w:rPr/>
        <w:t>Method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40"/>
        <w:jc w:val="both"/>
      </w:pPr>
      <w:r>
        <w:rPr/>
        <w:t>The</w:t>
      </w:r>
      <w:r>
        <w:rPr>
          <w:spacing w:val="1"/>
        </w:rPr>
        <w:t> </w:t>
      </w:r>
      <w:r>
        <w:rPr/>
        <w:t>reagents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reach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spectrophotometer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adjusted to zero with distilled water. 3 cuvettes were used: one for the blank, the second for the</w:t>
      </w:r>
      <w:r>
        <w:rPr>
          <w:spacing w:val="1"/>
        </w:rPr>
        <w:t> </w:t>
      </w:r>
      <w:r>
        <w:rPr/>
        <w:t>standard</w:t>
      </w:r>
      <w:r>
        <w:rPr>
          <w:spacing w:val="5"/>
        </w:rPr>
        <w:t> </w:t>
      </w:r>
      <w:r>
        <w:rPr/>
        <w:t>(copper</w:t>
      </w:r>
      <w:r>
        <w:rPr>
          <w:spacing w:val="6"/>
        </w:rPr>
        <w:t> </w:t>
      </w:r>
      <w:r>
        <w:rPr/>
        <w:t>CAL.)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third</w:t>
      </w:r>
      <w:r>
        <w:rPr>
          <w:spacing w:val="9"/>
        </w:rPr>
        <w:t> </w:t>
      </w:r>
      <w:r>
        <w:rPr/>
        <w:t>for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sample.</w:t>
      </w:r>
      <w:r>
        <w:rPr>
          <w:spacing w:val="7"/>
        </w:rPr>
        <w:t> </w:t>
      </w:r>
      <w:r>
        <w:rPr/>
        <w:t>1ml</w:t>
      </w:r>
      <w:r>
        <w:rPr>
          <w:spacing w:val="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9"/>
        </w:rPr>
        <w:t> </w:t>
      </w:r>
      <w:r>
        <w:rPr/>
        <w:t>WR</w:t>
      </w:r>
      <w:r>
        <w:rPr>
          <w:spacing w:val="4"/>
        </w:rPr>
        <w:t> </w:t>
      </w:r>
      <w:r>
        <w:rPr/>
        <w:t>was</w:t>
      </w:r>
      <w:r>
        <w:rPr>
          <w:spacing w:val="3"/>
        </w:rPr>
        <w:t> </w:t>
      </w:r>
      <w:r>
        <w:rPr/>
        <w:t>pipette</w:t>
      </w:r>
      <w:r>
        <w:rPr>
          <w:spacing w:val="4"/>
        </w:rPr>
        <w:t> </w:t>
      </w:r>
      <w:r>
        <w:rPr/>
        <w:t>into</w:t>
      </w:r>
      <w:r>
        <w:rPr>
          <w:spacing w:val="9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57"/>
        </w:rPr>
        <w:t> </w:t>
      </w:r>
      <w:r>
        <w:rPr/>
        <w:t>3</w:t>
      </w:r>
      <w:r>
        <w:rPr>
          <w:spacing w:val="9"/>
        </w:rPr>
        <w:t> </w:t>
      </w:r>
      <w:r>
        <w:rPr/>
        <w:t>cuvettes,</w:t>
      </w:r>
      <w:r>
        <w:rPr>
          <w:spacing w:val="8"/>
        </w:rPr>
        <w:t> </w:t>
      </w:r>
      <w:r>
        <w:rPr/>
        <w:t>then,</w:t>
      </w:r>
      <w:r>
        <w:rPr>
          <w:spacing w:val="13"/>
        </w:rPr>
        <w:t> </w:t>
      </w:r>
      <w:r>
        <w:rPr/>
        <w:t>5mls</w:t>
      </w:r>
      <w:r>
        <w:rPr>
          <w:spacing w:val="12"/>
        </w:rPr>
        <w:t> </w:t>
      </w:r>
      <w:r>
        <w:rPr/>
        <w:t>each</w:t>
      </w:r>
      <w:r>
        <w:rPr>
          <w:spacing w:val="10"/>
        </w:rPr>
        <w:t> </w:t>
      </w:r>
      <w:r>
        <w:rPr/>
        <w:t>of</w:t>
      </w:r>
      <w:r>
        <w:rPr>
          <w:spacing w:val="7"/>
        </w:rPr>
        <w:t> </w:t>
      </w:r>
      <w:r>
        <w:rPr/>
        <w:t>distilled</w:t>
      </w:r>
      <w:r>
        <w:rPr>
          <w:spacing w:val="10"/>
        </w:rPr>
        <w:t> </w:t>
      </w:r>
      <w:r>
        <w:rPr/>
        <w:t>water,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standard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the</w:t>
      </w:r>
      <w:r>
        <w:rPr>
          <w:spacing w:val="14"/>
        </w:rPr>
        <w:t> </w:t>
      </w:r>
      <w:r>
        <w:rPr/>
        <w:t>sample</w:t>
      </w:r>
      <w:r>
        <w:rPr>
          <w:spacing w:val="14"/>
        </w:rPr>
        <w:t> </w:t>
      </w:r>
      <w:r>
        <w:rPr/>
        <w:t>was</w:t>
      </w:r>
      <w:r>
        <w:rPr>
          <w:spacing w:val="7"/>
        </w:rPr>
        <w:t> </w:t>
      </w:r>
      <w:r>
        <w:rPr/>
        <w:t>pipette</w:t>
      </w:r>
      <w:r>
        <w:rPr>
          <w:spacing w:val="10"/>
        </w:rPr>
        <w:t> </w:t>
      </w:r>
      <w:r>
        <w:rPr/>
        <w:t>into</w:t>
      </w:r>
      <w:r>
        <w:rPr>
          <w:spacing w:val="15"/>
        </w:rPr>
        <w:t> </w:t>
      </w:r>
      <w:r>
        <w:rPr/>
        <w:t>each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60" w:lineRule="auto" w:before="72"/>
        <w:ind w:left="820" w:right="1434"/>
        <w:jc w:val="both"/>
      </w:pPr>
      <w:r>
        <w:rPr/>
        <w:t>of the 3 cuvettes respectively. The contents of each cuvette were mixed and the absorbance A</w:t>
      </w:r>
      <w:r>
        <w:rPr>
          <w:vertAlign w:val="subscript"/>
        </w:rPr>
        <w:t>1</w:t>
      </w:r>
      <w:r>
        <w:rPr>
          <w:vertAlign w:val="baseline"/>
        </w:rPr>
        <w:t> of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sample against the blank was read and recorded. 5mls of 3, 5-DiBr-PAESA was then pipetted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added into each of the 3 cuvettes. The contents were mixed and incubated at 37 ºC for 4-5</w:t>
      </w:r>
      <w:r>
        <w:rPr>
          <w:spacing w:val="1"/>
          <w:vertAlign w:val="baseline"/>
        </w:rPr>
        <w:t> </w:t>
      </w:r>
      <w:r>
        <w:rPr>
          <w:vertAlign w:val="baseline"/>
        </w:rPr>
        <w:t>minutes. The absorbance A</w:t>
      </w:r>
      <w:r>
        <w:rPr>
          <w:vertAlign w:val="subscript"/>
        </w:rPr>
        <w:t>2</w:t>
      </w:r>
      <w:r>
        <w:rPr>
          <w:vertAlign w:val="baseline"/>
        </w:rPr>
        <w:t> of the sample and the standard against the blank was read and</w:t>
      </w:r>
      <w:r>
        <w:rPr>
          <w:spacing w:val="1"/>
          <w:vertAlign w:val="baseline"/>
        </w:rPr>
        <w:t> </w:t>
      </w:r>
      <w:r>
        <w:rPr>
          <w:vertAlign w:val="baseline"/>
        </w:rPr>
        <w:t>recorded.</w:t>
      </w:r>
    </w:p>
    <w:p>
      <w:pPr>
        <w:pStyle w:val="BodyText"/>
        <w:spacing w:line="460" w:lineRule="auto" w:before="195"/>
        <w:ind w:left="1698" w:right="3786" w:hanging="879"/>
        <w:jc w:val="both"/>
      </w:pPr>
      <w:r>
        <w:rPr/>
        <w:t>The</w:t>
      </w:r>
      <w:r>
        <w:rPr>
          <w:spacing w:val="-2"/>
        </w:rPr>
        <w:t> </w:t>
      </w:r>
      <w:r>
        <w:rPr/>
        <w:t>quantity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copper in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sample</w:t>
      </w:r>
      <w:r>
        <w:rPr>
          <w:spacing w:val="4"/>
        </w:rPr>
        <w:t> </w:t>
      </w:r>
      <w:r>
        <w:rPr/>
        <w:t>in</w:t>
      </w:r>
      <w:r>
        <w:rPr>
          <w:spacing w:val="-5"/>
        </w:rPr>
        <w:t> </w:t>
      </w:r>
      <w:r>
        <w:rPr/>
        <w:t>µg/dL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then</w:t>
      </w:r>
      <w:r>
        <w:rPr>
          <w:spacing w:val="-5"/>
        </w:rPr>
        <w:t> </w:t>
      </w:r>
      <w:r>
        <w:rPr/>
        <w:t>calculated</w:t>
      </w:r>
      <w:r>
        <w:rPr>
          <w:spacing w:val="4"/>
        </w:rPr>
        <w:t> </w:t>
      </w:r>
      <w:r>
        <w:rPr/>
        <w:t>using:</w:t>
      </w:r>
      <w:r>
        <w:rPr>
          <w:spacing w:val="-58"/>
        </w:rPr>
        <w:t> </w:t>
      </w:r>
      <w:r>
        <w:rPr/>
        <w:t>(A</w:t>
      </w:r>
      <w:r>
        <w:rPr>
          <w:vertAlign w:val="subscript"/>
        </w:rPr>
        <w:t>2</w:t>
      </w:r>
      <w:r>
        <w:rPr>
          <w:vertAlign w:val="baseline"/>
        </w:rPr>
        <w:t>-A</w:t>
      </w:r>
      <w:r>
        <w:rPr>
          <w:vertAlign w:val="subscript"/>
        </w:rPr>
        <w:t>1</w:t>
      </w:r>
      <w:r>
        <w:rPr>
          <w:vertAlign w:val="baseline"/>
        </w:rPr>
        <w:t>)</w:t>
      </w:r>
      <w:r>
        <w:rPr>
          <w:spacing w:val="3"/>
          <w:vertAlign w:val="baseline"/>
        </w:rPr>
        <w:t> </w:t>
      </w:r>
      <w:r>
        <w:rPr>
          <w:vertAlign w:val="baseline"/>
        </w:rPr>
        <w:t>sample</w:t>
      </w:r>
      <w:r>
        <w:rPr>
          <w:spacing w:val="2"/>
          <w:vertAlign w:val="baseline"/>
        </w:rPr>
        <w:t> </w:t>
      </w:r>
      <w:r>
        <w:rPr>
          <w:rFonts w:ascii="Cambria Math" w:hAnsi="Cambria Math"/>
          <w:vertAlign w:val="baseline"/>
        </w:rPr>
        <w:t>×</w:t>
      </w:r>
      <w:r>
        <w:rPr>
          <w:rFonts w:ascii="Cambria Math" w:hAnsi="Cambria Math"/>
          <w:spacing w:val="47"/>
          <w:vertAlign w:val="baseline"/>
        </w:rPr>
        <w:t> </w:t>
      </w:r>
      <w:r>
        <w:rPr>
          <w:vertAlign w:val="baseline"/>
        </w:rPr>
        <w:t>100</w:t>
      </w:r>
    </w:p>
    <w:p>
      <w:pPr>
        <w:pStyle w:val="BodyText"/>
        <w:spacing w:line="252" w:lineRule="exact"/>
        <w:ind w:left="1698"/>
      </w:pPr>
      <w:r>
        <w:rPr/>
        <w:t>(A</w:t>
      </w:r>
      <w:r>
        <w:rPr>
          <w:vertAlign w:val="subscript"/>
        </w:rPr>
        <w:t>2</w:t>
      </w:r>
      <w:r>
        <w:rPr>
          <w:vertAlign w:val="baseline"/>
        </w:rPr>
        <w:t>-A</w:t>
      </w:r>
      <w:r>
        <w:rPr>
          <w:vertAlign w:val="subscript"/>
        </w:rPr>
        <w:t>1</w:t>
      </w:r>
      <w:r>
        <w:rPr>
          <w:vertAlign w:val="baseline"/>
        </w:rPr>
        <w:t>)</w:t>
      </w:r>
      <w:r>
        <w:rPr>
          <w:spacing w:val="-2"/>
          <w:vertAlign w:val="baseline"/>
        </w:rPr>
        <w:t> </w:t>
      </w:r>
      <w:r>
        <w:rPr>
          <w:vertAlign w:val="baseline"/>
        </w:rPr>
        <w:t>standard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Heading2"/>
        <w:numPr>
          <w:ilvl w:val="3"/>
          <w:numId w:val="29"/>
        </w:numPr>
        <w:tabs>
          <w:tab w:pos="1665" w:val="left" w:leader="none"/>
        </w:tabs>
        <w:spacing w:line="240" w:lineRule="auto" w:before="90" w:after="0"/>
        <w:ind w:left="1664" w:right="0" w:hanging="845"/>
        <w:jc w:val="left"/>
      </w:pPr>
      <w:r>
        <w:rPr/>
        <w:t>Iron</w:t>
      </w:r>
    </w:p>
    <w:p>
      <w:pPr>
        <w:pStyle w:val="BodyText"/>
        <w:spacing w:before="4"/>
        <w:rPr>
          <w:b/>
          <w:i/>
          <w:sz w:val="29"/>
        </w:rPr>
      </w:pPr>
    </w:p>
    <w:p>
      <w:pPr>
        <w:pStyle w:val="BodyText"/>
        <w:spacing w:line="357" w:lineRule="auto" w:before="1"/>
        <w:ind w:left="820" w:right="1441"/>
        <w:jc w:val="both"/>
      </w:pPr>
      <w:r>
        <w:rPr>
          <w:b/>
        </w:rPr>
        <w:t>Theory: </w:t>
      </w:r>
      <w:r>
        <w:rPr/>
        <w:t>In a weakly acidic medium, iron is dissociated from transferring-iron complex. This</w:t>
      </w:r>
      <w:r>
        <w:rPr>
          <w:spacing w:val="1"/>
        </w:rPr>
        <w:t> </w:t>
      </w:r>
      <w:r>
        <w:rPr/>
        <w:t>liberated iron (Fe</w:t>
      </w:r>
      <w:r>
        <w:rPr>
          <w:vertAlign w:val="superscript"/>
        </w:rPr>
        <w:t>3+</w:t>
      </w:r>
      <w:r>
        <w:rPr>
          <w:vertAlign w:val="baseline"/>
        </w:rPr>
        <w:t>) is reduced by ascorbic acid into bivalent ferrous ions (Fe</w:t>
      </w:r>
      <w:r>
        <w:rPr>
          <w:vertAlign w:val="superscript"/>
        </w:rPr>
        <w:t>2+</w:t>
      </w:r>
      <w:r>
        <w:rPr>
          <w:vertAlign w:val="baseline"/>
        </w:rPr>
        <w:t>) which forms a</w:t>
      </w:r>
      <w:r>
        <w:rPr>
          <w:spacing w:val="1"/>
          <w:vertAlign w:val="baseline"/>
        </w:rPr>
        <w:t> </w:t>
      </w:r>
      <w:r>
        <w:rPr>
          <w:vertAlign w:val="baseline"/>
        </w:rPr>
        <w:t>coloured complex with ferrozine. The intensity of the colour formed is proportional to the iron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sample.</w:t>
      </w:r>
    </w:p>
    <w:p>
      <w:pPr>
        <w:spacing w:line="355" w:lineRule="auto" w:before="208"/>
        <w:ind w:left="820" w:right="1439" w:firstLine="0"/>
        <w:jc w:val="both"/>
        <w:rPr>
          <w:sz w:val="24"/>
        </w:rPr>
      </w:pPr>
      <w:r>
        <w:rPr>
          <w:b/>
          <w:sz w:val="24"/>
        </w:rPr>
        <w:t>Assay conditions: </w:t>
      </w:r>
      <w:r>
        <w:rPr>
          <w:sz w:val="24"/>
        </w:rPr>
        <w:t>Wave length – 562nm (530-590)</w:t>
      </w:r>
      <w:r>
        <w:rPr>
          <w:b/>
          <w:sz w:val="24"/>
        </w:rPr>
        <w:t>, </w:t>
      </w:r>
      <w:r>
        <w:rPr>
          <w:sz w:val="24"/>
        </w:rPr>
        <w:t>Cuvette – 1cm light path</w:t>
      </w:r>
      <w:r>
        <w:rPr>
          <w:b/>
          <w:sz w:val="24"/>
        </w:rPr>
        <w:t>, </w:t>
      </w:r>
      <w:r>
        <w:rPr>
          <w:sz w:val="24"/>
        </w:rPr>
        <w:t>Temperature -</w:t>
      </w:r>
      <w:r>
        <w:rPr>
          <w:spacing w:val="1"/>
          <w:sz w:val="24"/>
        </w:rPr>
        <w:t> </w:t>
      </w:r>
      <w:r>
        <w:rPr>
          <w:sz w:val="24"/>
        </w:rPr>
        <w:t>37ºC</w:t>
      </w:r>
    </w:p>
    <w:p>
      <w:pPr>
        <w:pStyle w:val="Heading1"/>
        <w:spacing w:before="210"/>
        <w:jc w:val="left"/>
      </w:pPr>
      <w:r>
        <w:rPr/>
        <w:t>Method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42"/>
        <w:jc w:val="both"/>
      </w:pPr>
      <w:r>
        <w:rPr/>
        <w:t>The spectrophotometer was adjusted to the zero with distilled water. 1ml of the working reagent</w:t>
      </w:r>
      <w:r>
        <w:rPr>
          <w:spacing w:val="1"/>
        </w:rPr>
        <w:t> </w:t>
      </w:r>
      <w:r>
        <w:rPr/>
        <w:t>(WR) was pipetted into each of 4 cuvettes: WR blank, calibrator, sample blank, and sample.</w:t>
      </w:r>
      <w:r>
        <w:rPr>
          <w:spacing w:val="1"/>
        </w:rPr>
        <w:t> </w:t>
      </w:r>
      <w:r>
        <w:rPr/>
        <w:t>1drop of ferrozine and 200µL of distilled water was pipetted into the first cuvette, 1 drop of R.3</w:t>
      </w:r>
      <w:r>
        <w:rPr>
          <w:spacing w:val="1"/>
        </w:rPr>
        <w:t> </w:t>
      </w:r>
      <w:r>
        <w:rPr/>
        <w:t>and 200µL of iron CAL. (standard) was pipetted into the second cuvette, 200µL of the sample</w:t>
      </w:r>
      <w:r>
        <w:rPr>
          <w:spacing w:val="1"/>
        </w:rPr>
        <w:t> </w:t>
      </w:r>
      <w:r>
        <w:rPr/>
        <w:t>was pipetted into the third cuvette, and 1 drop of ferrozine and 200µL of the sample was added</w:t>
      </w:r>
      <w:r>
        <w:rPr>
          <w:spacing w:val="1"/>
        </w:rPr>
        <w:t> </w:t>
      </w:r>
      <w:r>
        <w:rPr/>
        <w:t>into the last cuvette. The contents of each cuvette was mixed and incubated for 5 minutes at 37ºC</w:t>
      </w:r>
      <w:r>
        <w:rPr>
          <w:spacing w:val="-57"/>
        </w:rPr>
        <w:t> </w:t>
      </w:r>
      <w:r>
        <w:rPr/>
        <w:t>(or</w:t>
      </w:r>
      <w:r>
        <w:rPr>
          <w:spacing w:val="2"/>
        </w:rPr>
        <w:t> </w:t>
      </w:r>
      <w:r>
        <w:rPr/>
        <w:t>for</w:t>
      </w:r>
      <w:r>
        <w:rPr>
          <w:spacing w:val="3"/>
        </w:rPr>
        <w:t> </w:t>
      </w:r>
      <w:r>
        <w:rPr/>
        <w:t>10</w:t>
      </w:r>
      <w:r>
        <w:rPr>
          <w:spacing w:val="-3"/>
        </w:rPr>
        <w:t> </w:t>
      </w:r>
      <w:r>
        <w:rPr/>
        <w:t>minutes</w:t>
      </w:r>
      <w:r>
        <w:rPr>
          <w:spacing w:val="2"/>
        </w:rPr>
        <w:t> </w:t>
      </w:r>
      <w:r>
        <w:rPr/>
        <w:t>at</w:t>
      </w:r>
      <w:r>
        <w:rPr>
          <w:spacing w:val="2"/>
        </w:rPr>
        <w:t> </w:t>
      </w:r>
      <w:r>
        <w:rPr/>
        <w:t>15-25ºC).</w:t>
      </w:r>
    </w:p>
    <w:p>
      <w:pPr>
        <w:pStyle w:val="BodyText"/>
        <w:spacing w:before="198"/>
        <w:ind w:left="820"/>
        <w:jc w:val="both"/>
      </w:pPr>
      <w:r>
        <w:rPr/>
        <w:t>The</w:t>
      </w:r>
      <w:r>
        <w:rPr>
          <w:spacing w:val="-3"/>
        </w:rPr>
        <w:t> </w:t>
      </w:r>
      <w:r>
        <w:rPr/>
        <w:t>absorbance</w:t>
      </w:r>
      <w:r>
        <w:rPr>
          <w:spacing w:val="-3"/>
        </w:rPr>
        <w:t> </w:t>
      </w:r>
      <w:r>
        <w:rPr/>
        <w:t>(A)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calibrator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sample</w:t>
      </w:r>
      <w:r>
        <w:rPr>
          <w:spacing w:val="-3"/>
        </w:rPr>
        <w:t> </w:t>
      </w:r>
      <w:r>
        <w:rPr/>
        <w:t>against</w:t>
      </w:r>
      <w:r>
        <w:rPr>
          <w:spacing w:val="2"/>
        </w:rPr>
        <w:t> </w:t>
      </w:r>
      <w:r>
        <w:rPr/>
        <w:t>WR</w:t>
      </w:r>
      <w:r>
        <w:rPr>
          <w:spacing w:val="-3"/>
        </w:rPr>
        <w:t> </w:t>
      </w:r>
      <w:r>
        <w:rPr/>
        <w:t>blank</w:t>
      </w:r>
      <w:r>
        <w:rPr>
          <w:spacing w:val="-2"/>
        </w:rPr>
        <w:t> </w:t>
      </w:r>
      <w:r>
        <w:rPr/>
        <w:t>was</w:t>
      </w:r>
      <w:r>
        <w:rPr>
          <w:spacing w:val="-4"/>
        </w:rPr>
        <w:t> </w:t>
      </w:r>
      <w:r>
        <w:rPr/>
        <w:t>read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recorded.</w:t>
      </w:r>
    </w:p>
    <w:p>
      <w:pPr>
        <w:pStyle w:val="BodyText"/>
        <w:rPr>
          <w:sz w:val="29"/>
        </w:rPr>
      </w:pPr>
    </w:p>
    <w:p>
      <w:pPr>
        <w:pStyle w:val="BodyText"/>
        <w:ind w:left="820"/>
        <w:jc w:val="both"/>
      </w:pPr>
      <w:r>
        <w:rPr/>
        <w:pict>
          <v:shape style="position:absolute;margin-left:300.480011pt;margin-top:63.163128pt;width:11.15pt;height:11.05pt;mso-position-horizontal-relative:page;mso-position-vertical-relative:paragraph;z-index:-20264448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pacing w:val="-1"/>
                      <w:sz w:val="22"/>
                    </w:rPr>
                    <w:t>64</w:t>
                  </w:r>
                </w:p>
              </w:txbxContent>
            </v:textbox>
            <w10:wrap type="none"/>
          </v:shape>
        </w:pict>
      </w:r>
      <w:r>
        <w:rPr/>
        <w:t>The</w:t>
      </w:r>
      <w:r>
        <w:rPr>
          <w:spacing w:val="-1"/>
        </w:rPr>
        <w:t> </w:t>
      </w:r>
      <w:r>
        <w:rPr/>
        <w:t>quantity</w:t>
      </w:r>
      <w:r>
        <w:rPr>
          <w:spacing w:val="-10"/>
        </w:rPr>
        <w:t> </w:t>
      </w:r>
      <w:r>
        <w:rPr/>
        <w:t>of</w:t>
      </w:r>
      <w:r>
        <w:rPr>
          <w:spacing w:val="-3"/>
        </w:rPr>
        <w:t> </w:t>
      </w:r>
      <w:r>
        <w:rPr/>
        <w:t>iron</w:t>
      </w:r>
      <w:r>
        <w:rPr>
          <w:spacing w:val="1"/>
        </w:rPr>
        <w:t> </w:t>
      </w:r>
      <w:r>
        <w:rPr/>
        <w:t>in</w:t>
      </w:r>
      <w:r>
        <w:rPr>
          <w:spacing w:val="-5"/>
        </w:rPr>
        <w:t> </w:t>
      </w:r>
      <w:r>
        <w:rPr/>
        <w:t>µg/dL</w:t>
      </w:r>
      <w:r>
        <w:rPr>
          <w:spacing w:val="-2"/>
        </w:rPr>
        <w:t> </w:t>
      </w:r>
      <w:r>
        <w:rPr/>
        <w:t>will</w:t>
      </w:r>
      <w:r>
        <w:rPr>
          <w:spacing w:val="-8"/>
        </w:rPr>
        <w:t> </w:t>
      </w:r>
      <w:r>
        <w:rPr/>
        <w:t>then be</w:t>
      </w:r>
      <w:r>
        <w:rPr>
          <w:spacing w:val="-1"/>
        </w:rPr>
        <w:t> </w:t>
      </w:r>
      <w:r>
        <w:rPr/>
        <w:t>calculated using:</w:t>
      </w:r>
    </w:p>
    <w:p>
      <w:pPr>
        <w:pStyle w:val="BodyText"/>
        <w:spacing w:before="9"/>
        <w:rPr>
          <w:sz w:val="13"/>
        </w:rPr>
      </w:pPr>
      <w:r>
        <w:rPr/>
        <w:pict>
          <v:group style="position:absolute;margin-left:76.559998pt;margin-top:9.874365pt;width:333.6pt;height:45.15pt;mso-position-horizontal-relative:page;mso-position-vertical-relative:paragraph;z-index:-15722496;mso-wrap-distance-left:0;mso-wrap-distance-right:0" coordorigin="1531,197" coordsize="6672,903">
            <v:rect style="position:absolute;left:1531;top:197;width:6672;height:903" filled="true" fillcolor="#ffffff" stroked="false">
              <v:fill type="solid"/>
            </v:rect>
            <v:line style="position:absolute" from="1723,677" to="4603,677" stroked="true" strokeweight=".71999pt" strokecolor="#000000">
              <v:stroke dashstyle="solid"/>
            </v:line>
            <v:shape style="position:absolute;left:1531;top:197;width:6672;height:903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30"/>
                      </w:numPr>
                      <w:tabs>
                        <w:tab w:pos="476" w:val="left" w:leader="none"/>
                        <w:tab w:pos="3542" w:val="left" w:leader="none"/>
                      </w:tabs>
                      <w:spacing w:before="64"/>
                      <w:ind w:left="475" w:right="0" w:hanging="332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sample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–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(A)sample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blank</w:t>
                    </w:r>
                    <w:r>
                      <w:rPr>
                        <w:spacing w:val="104"/>
                        <w:sz w:val="24"/>
                      </w:rPr>
                      <w:t> </w:t>
                    </w:r>
                    <w:r>
                      <w:rPr>
                        <w:rFonts w:ascii="Cambria Math" w:hAnsi="Cambria Math"/>
                        <w:sz w:val="24"/>
                      </w:rPr>
                      <w:t>×</w:t>
                      <w:tab/>
                    </w:r>
                    <w:r>
                      <w:rPr>
                        <w:sz w:val="24"/>
                      </w:rPr>
                      <w:t>100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(calibrator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concentration)</w:t>
                    </w:r>
                  </w:p>
                  <w:p>
                    <w:pPr>
                      <w:numPr>
                        <w:ilvl w:val="1"/>
                        <w:numId w:val="30"/>
                      </w:numPr>
                      <w:tabs>
                        <w:tab w:pos="1258" w:val="left" w:leader="none"/>
                      </w:tabs>
                      <w:spacing w:before="237"/>
                      <w:ind w:left="1257" w:right="0" w:hanging="332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standard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footerReference w:type="default" r:id="rId11"/>
          <w:pgSz w:w="12240" w:h="15840"/>
          <w:pgMar w:footer="0" w:header="0" w:top="1360" w:bottom="280" w:left="620" w:right="0"/>
        </w:sectPr>
      </w:pPr>
    </w:p>
    <w:p>
      <w:pPr>
        <w:pStyle w:val="Heading1"/>
        <w:numPr>
          <w:ilvl w:val="1"/>
          <w:numId w:val="29"/>
        </w:numPr>
        <w:tabs>
          <w:tab w:pos="5144" w:val="left" w:leader="none"/>
          <w:tab w:pos="5145" w:val="left" w:leader="none"/>
        </w:tabs>
        <w:spacing w:line="240" w:lineRule="auto" w:before="72" w:after="0"/>
        <w:ind w:left="5144" w:right="0" w:hanging="663"/>
        <w:jc w:val="left"/>
      </w:pPr>
      <w:r>
        <w:rPr/>
        <w:t>Data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 w:before="1"/>
        <w:ind w:left="820" w:right="1442"/>
        <w:jc w:val="both"/>
      </w:pPr>
      <w:r>
        <w:rPr/>
        <w:t>Data was generated and analysed using Microsoft Excel 2007. Frequency distributions were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 categorical</w:t>
      </w:r>
      <w:r>
        <w:rPr>
          <w:spacing w:val="1"/>
        </w:rPr>
        <w:t> </w:t>
      </w:r>
      <w:r>
        <w:rPr/>
        <w:t>variables.</w:t>
      </w:r>
      <w:r>
        <w:rPr>
          <w:spacing w:val="1"/>
        </w:rPr>
        <w:t> </w:t>
      </w:r>
      <w:r>
        <w:rPr/>
        <w:t>Statistical significance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assessed using one-way analysis of variance (ANOVA), while Student </w:t>
      </w:r>
      <w:r>
        <w:rPr>
          <w:i/>
        </w:rPr>
        <w:t>t</w:t>
      </w:r>
      <w:r>
        <w:rPr/>
        <w:t>-test was used where</w:t>
      </w:r>
      <w:r>
        <w:rPr>
          <w:spacing w:val="1"/>
        </w:rPr>
        <w:t> </w:t>
      </w:r>
      <w:r>
        <w:rPr/>
        <w:t>there was two means. Differences between values were accepted as statistically significant where</w:t>
      </w:r>
      <w:r>
        <w:rPr>
          <w:spacing w:val="-57"/>
        </w:rPr>
        <w:t> </w:t>
      </w:r>
      <w:r>
        <w:rPr/>
        <w:t>probability was less than 0.05. Data was presented as means </w:t>
      </w:r>
      <w:r>
        <w:rPr>
          <w:rFonts w:ascii="Cambria Math" w:hAnsi="Cambria Math"/>
        </w:rPr>
        <w:t>± </w:t>
      </w:r>
      <w:r>
        <w:rPr/>
        <w:t>standard error of means as well as</w:t>
      </w:r>
      <w:r>
        <w:rPr>
          <w:spacing w:val="-57"/>
        </w:rPr>
        <w:t> </w:t>
      </w:r>
      <w:r>
        <w:rPr/>
        <w:t>in</w:t>
      </w:r>
      <w:r>
        <w:rPr>
          <w:spacing w:val="-4"/>
        </w:rPr>
        <w:t> </w:t>
      </w:r>
      <w:r>
        <w:rPr/>
        <w:t>tables and</w:t>
      </w:r>
      <w:r>
        <w:rPr>
          <w:spacing w:val="2"/>
        </w:rPr>
        <w:t> </w:t>
      </w:r>
      <w:r>
        <w:rPr/>
        <w:t>charts.</w:t>
      </w:r>
    </w:p>
    <w:p>
      <w:pPr>
        <w:spacing w:after="0" w:line="360" w:lineRule="auto"/>
        <w:jc w:val="both"/>
        <w:sectPr>
          <w:footerReference w:type="default" r:id="rId12"/>
          <w:pgSz w:w="12240" w:h="15840"/>
          <w:pgMar w:footer="1017" w:header="0" w:top="1360" w:bottom="1200" w:left="620" w:right="0"/>
          <w:pgNumType w:start="65"/>
        </w:sectPr>
      </w:pPr>
    </w:p>
    <w:p>
      <w:pPr>
        <w:pStyle w:val="Heading1"/>
        <w:spacing w:line="535" w:lineRule="auto"/>
        <w:ind w:left="4823" w:right="5445"/>
        <w:jc w:val="center"/>
      </w:pPr>
      <w:r>
        <w:rPr>
          <w:spacing w:val="-1"/>
        </w:rPr>
        <w:t>CHAPTER </w:t>
      </w:r>
      <w:r>
        <w:rPr/>
        <w:t>4</w:t>
      </w:r>
      <w:r>
        <w:rPr>
          <w:spacing w:val="-57"/>
        </w:rPr>
        <w:t> </w:t>
      </w:r>
      <w:r>
        <w:rPr/>
        <w:t>RESULTS</w:t>
      </w:r>
    </w:p>
    <w:p>
      <w:pPr>
        <w:pStyle w:val="ListParagraph"/>
        <w:numPr>
          <w:ilvl w:val="1"/>
          <w:numId w:val="31"/>
        </w:numPr>
        <w:tabs>
          <w:tab w:pos="1228" w:val="left" w:leader="none"/>
        </w:tabs>
        <w:spacing w:line="355" w:lineRule="auto" w:before="2" w:after="0"/>
        <w:ind w:left="820" w:right="1445" w:firstLine="0"/>
        <w:jc w:val="both"/>
        <w:rPr>
          <w:b/>
          <w:sz w:val="24"/>
        </w:rPr>
      </w:pPr>
      <w:r>
        <w:rPr>
          <w:b/>
          <w:sz w:val="24"/>
        </w:rPr>
        <w:t>Relative Incidence of Sickle Cell Diseases, Biodata and Anthropological Findings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Study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Group</w:t>
      </w:r>
    </w:p>
    <w:p>
      <w:pPr>
        <w:pStyle w:val="BodyText"/>
        <w:spacing w:line="360" w:lineRule="auto" w:before="206"/>
        <w:ind w:left="820" w:right="1444"/>
        <w:jc w:val="both"/>
      </w:pPr>
      <w:r>
        <w:rPr/>
        <w:t>The most common type of Sickle Cell Disease (SCD) in this study was the homozygous HbSS</w:t>
      </w:r>
      <w:r>
        <w:rPr>
          <w:spacing w:val="1"/>
        </w:rPr>
        <w:t> </w:t>
      </w:r>
      <w:r>
        <w:rPr/>
        <w:t>variant (70%), followed by the HbSS + F variant (23%), and the least common variant was the</w:t>
      </w:r>
      <w:r>
        <w:rPr>
          <w:spacing w:val="1"/>
        </w:rPr>
        <w:t> </w:t>
      </w:r>
      <w:r>
        <w:rPr/>
        <w:t>HbSC (7%) - (Figure 4.1). The study population was made up of 71(53%) males and 64(47%)</w:t>
      </w:r>
      <w:r>
        <w:rPr>
          <w:spacing w:val="1"/>
        </w:rPr>
        <w:t> </w:t>
      </w:r>
      <w:r>
        <w:rPr/>
        <w:t>females; 84(62%) were single and 51(38%) were married; while 82(60%) were Muslims and</w:t>
      </w:r>
      <w:r>
        <w:rPr>
          <w:spacing w:val="1"/>
        </w:rPr>
        <w:t> </w:t>
      </w:r>
      <w:r>
        <w:rPr/>
        <w:t>53(40%)</w:t>
      </w:r>
      <w:r>
        <w:rPr>
          <w:spacing w:val="-2"/>
        </w:rPr>
        <w:t> </w:t>
      </w:r>
      <w:r>
        <w:rPr/>
        <w:t>were</w:t>
      </w:r>
      <w:r>
        <w:rPr>
          <w:spacing w:val="1"/>
        </w:rPr>
        <w:t> </w:t>
      </w:r>
      <w:r>
        <w:rPr/>
        <w:t>Christians (Table</w:t>
      </w:r>
      <w:r>
        <w:rPr>
          <w:spacing w:val="1"/>
        </w:rPr>
        <w:t> </w:t>
      </w:r>
      <w:r>
        <w:rPr/>
        <w:t>4.1).</w:t>
      </w:r>
    </w:p>
    <w:p>
      <w:pPr>
        <w:pStyle w:val="BodyText"/>
        <w:spacing w:line="357" w:lineRule="auto" w:before="201"/>
        <w:ind w:left="820" w:right="1439"/>
        <w:jc w:val="both"/>
      </w:pPr>
      <w:r>
        <w:rPr/>
        <w:t>The mean age of the sickle cell disease patients in crises was 23.44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1"/>
        </w:rPr>
        <w:t> </w:t>
      </w:r>
      <w:r>
        <w:rPr/>
        <w:t>0.58 years; while the mean</w:t>
      </w:r>
      <w:r>
        <w:rPr>
          <w:spacing w:val="-57"/>
        </w:rPr>
        <w:t> </w:t>
      </w:r>
      <w:r>
        <w:rPr/>
        <w:t>age of sickle cell disease patients in steady state was 23.17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1"/>
        </w:rPr>
        <w:t> </w:t>
      </w:r>
      <w:r>
        <w:rPr/>
        <w:t>0.57years; and the mean age of the</w:t>
      </w:r>
      <w:r>
        <w:rPr>
          <w:spacing w:val="-57"/>
        </w:rPr>
        <w:t> </w:t>
      </w:r>
      <w:r>
        <w:rPr/>
        <w:t>control group of individuals with genotype HbAA was 23.98 </w:t>
      </w:r>
      <w:r>
        <w:rPr>
          <w:rFonts w:ascii="Cambria Math" w:hAnsi="Cambria Math"/>
        </w:rPr>
        <w:t>± </w:t>
      </w:r>
      <w:r>
        <w:rPr/>
        <w:t>0.44years. At p &lt; 0.05; there was</w:t>
      </w:r>
      <w:r>
        <w:rPr>
          <w:spacing w:val="-57"/>
        </w:rPr>
        <w:t> </w:t>
      </w:r>
      <w:r>
        <w:rPr/>
        <w:t>no</w:t>
      </w:r>
      <w:r>
        <w:rPr>
          <w:spacing w:val="5"/>
        </w:rPr>
        <w:t> </w:t>
      </w:r>
      <w:r>
        <w:rPr/>
        <w:t>statistically</w:t>
      </w:r>
      <w:r>
        <w:rPr>
          <w:spacing w:val="-4"/>
        </w:rPr>
        <w:t> </w:t>
      </w:r>
      <w:r>
        <w:rPr/>
        <w:t>significant</w:t>
      </w:r>
      <w:r>
        <w:rPr>
          <w:spacing w:val="5"/>
        </w:rPr>
        <w:t> </w:t>
      </w:r>
      <w:r>
        <w:rPr/>
        <w:t>difference between</w:t>
      </w:r>
      <w:r>
        <w:rPr>
          <w:spacing w:val="-5"/>
        </w:rPr>
        <w:t> </w:t>
      </w:r>
      <w:r>
        <w:rPr/>
        <w:t>the mean</w:t>
      </w:r>
      <w:r>
        <w:rPr>
          <w:spacing w:val="-5"/>
        </w:rPr>
        <w:t> </w:t>
      </w:r>
      <w:r>
        <w:rPr/>
        <w:t>ages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all</w:t>
      </w:r>
      <w:r>
        <w:rPr>
          <w:spacing w:val="-4"/>
        </w:rPr>
        <w:t> </w:t>
      </w:r>
      <w:r>
        <w:rPr/>
        <w:t>the groups</w:t>
      </w:r>
      <w:r>
        <w:rPr>
          <w:spacing w:val="-6"/>
        </w:rPr>
        <w:t> </w:t>
      </w:r>
      <w:r>
        <w:rPr/>
        <w:t>(Table</w:t>
      </w:r>
      <w:r>
        <w:rPr>
          <w:spacing w:val="-1"/>
        </w:rPr>
        <w:t> </w:t>
      </w:r>
      <w:r>
        <w:rPr/>
        <w:t>4.2)</w:t>
      </w:r>
    </w:p>
    <w:p>
      <w:pPr>
        <w:pStyle w:val="BodyText"/>
        <w:spacing w:line="357" w:lineRule="auto" w:before="213"/>
        <w:ind w:left="820" w:right="1436"/>
        <w:jc w:val="both"/>
      </w:pPr>
      <w:r>
        <w:rPr/>
        <w:t>The mean weight of the sickle cell disease patients in crises was 51.59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1"/>
        </w:rPr>
        <w:t> </w:t>
      </w:r>
      <w:r>
        <w:rPr/>
        <w:t>1.26kg; while the mean</w:t>
      </w:r>
      <w:r>
        <w:rPr>
          <w:spacing w:val="-57"/>
        </w:rPr>
        <w:t> </w:t>
      </w:r>
      <w:r>
        <w:rPr/>
        <w:t>weight of sickle cell disease patients in steady state was 52.43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1"/>
        </w:rPr>
        <w:t> </w:t>
      </w:r>
      <w:r>
        <w:rPr/>
        <w:t>1.34kg; and the mean weight of</w:t>
      </w:r>
      <w:r>
        <w:rPr>
          <w:spacing w:val="-57"/>
        </w:rPr>
        <w:t> </w:t>
      </w:r>
      <w:r>
        <w:rPr/>
        <w:t>individuals with genotype HbAA was 62.27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1"/>
        </w:rPr>
        <w:t> </w:t>
      </w:r>
      <w:r>
        <w:rPr/>
        <w:t>1.45kg. At P &lt; 0.05; there was a statistically</w:t>
      </w:r>
      <w:r>
        <w:rPr>
          <w:spacing w:val="1"/>
        </w:rPr>
        <w:t> </w:t>
      </w:r>
      <w:r>
        <w:rPr/>
        <w:t>significant difference between the weights of both SCD groups compared with the HbAA group</w:t>
      </w:r>
      <w:r>
        <w:rPr>
          <w:spacing w:val="1"/>
        </w:rPr>
        <w:t> </w:t>
      </w:r>
      <w:r>
        <w:rPr/>
        <w:t>(Table 4.2).</w:t>
      </w:r>
    </w:p>
    <w:p>
      <w:pPr>
        <w:pStyle w:val="BodyText"/>
        <w:spacing w:before="204"/>
        <w:ind w:left="820"/>
        <w:jc w:val="both"/>
      </w:pPr>
      <w:r>
        <w:rPr/>
        <w:t>Occupation,</w:t>
      </w:r>
      <w:r>
        <w:rPr>
          <w:spacing w:val="1"/>
        </w:rPr>
        <w:t> </w:t>
      </w:r>
      <w:r>
        <w:rPr/>
        <w:t>tribe,</w:t>
      </w:r>
      <w:r>
        <w:rPr>
          <w:spacing w:val="2"/>
        </w:rPr>
        <w:t> </w:t>
      </w:r>
      <w:r>
        <w:rPr/>
        <w:t>and educational</w:t>
      </w:r>
      <w:r>
        <w:rPr>
          <w:spacing w:val="1"/>
        </w:rPr>
        <w:t> </w:t>
      </w:r>
      <w:r>
        <w:rPr/>
        <w:t>level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10"/>
        </w:rPr>
        <w:t> </w:t>
      </w:r>
      <w:r>
        <w:rPr/>
        <w:t>group can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seen</w:t>
      </w:r>
      <w:r>
        <w:rPr>
          <w:spacing w:val="-1"/>
        </w:rPr>
        <w:t> </w:t>
      </w:r>
      <w:r>
        <w:rPr/>
        <w:t>in</w:t>
      </w:r>
      <w:r>
        <w:rPr>
          <w:spacing w:val="-5"/>
        </w:rPr>
        <w:t> </w:t>
      </w:r>
      <w:r>
        <w:rPr/>
        <w:t>Tables</w:t>
      </w:r>
      <w:r>
        <w:rPr>
          <w:spacing w:val="-2"/>
        </w:rPr>
        <w:t> </w:t>
      </w:r>
      <w:r>
        <w:rPr/>
        <w:t>4.3.</w:t>
      </w:r>
    </w:p>
    <w:p>
      <w:pPr>
        <w:spacing w:after="0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spacing w:before="32"/>
        <w:ind w:left="1372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15.919998pt;margin-top:7.521511pt;width:323.3pt;height:223.95pt;mso-position-horizontal-relative:page;mso-position-vertical-relative:paragraph;z-index:15735808" coordorigin="2318,150" coordsize="6466,4479">
            <v:shape style="position:absolute;left:3446;top:712;width:4877;height:3855" coordorigin="3446,712" coordsize="4877,3855" path="m4056,4178l3446,4178,3446,4566,4056,4566,4056,4178xm6192,712l5582,712,5582,4566,6192,4566,6192,712xm8323,3299l7714,3299,7714,4566,8323,4566,8323,3299xe" filled="true" fillcolor="#bf4f4c" stroked="false">
              <v:path arrowok="t"/>
              <v:fill type="solid"/>
            </v:shape>
            <v:shape style="position:absolute;left:2318;top:150;width:6466;height:4479" coordorigin="2318,150" coordsize="6466,4479" path="m8784,4566l8779,4566,8779,4557,2390,4557,2390,160,2381,160,2381,150,2318,150,2318,165,2376,165,2376,702,2318,702,2318,717,2376,717,2376,1254,2318,1254,2318,1269,2376,1269,2376,1802,2318,1802,2318,1816,2376,1816,2376,2354,2318,2354,2318,2368,2376,2368,2376,2906,2318,2906,2318,2920,2376,2920,2376,3453,2318,3453,2318,3467,2376,3467,2376,4005,2318,4005,2318,4019,2376,4019,2376,4557,2318,4557,2318,4571,2371,4571,2371,4629,2386,4629,2386,4571,4507,4571,4507,4629,4522,4629,4522,4571,6638,4571,6638,4629,6653,4629,6653,4571,8770,4571,8770,4629,8784,4629,8784,4566xe" filled="true" fillcolor="#858585" stroked="false">
              <v:path arrowok="t"/>
              <v:fill type="solid"/>
            </v:shape>
            <v:shape style="position:absolute;left:5784;top:416;width:2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7920;top:3004;width:2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23</w:t>
                    </w:r>
                  </w:p>
                </w:txbxContent>
              </v:textbox>
              <w10:wrap type="none"/>
            </v:shape>
            <v:shape style="position:absolute;left:3700;top:3887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80</w:t>
      </w:r>
    </w:p>
    <w:p>
      <w:pPr>
        <w:pStyle w:val="BodyText"/>
        <w:spacing w:before="11"/>
        <w:rPr>
          <w:rFonts w:ascii="Calibri"/>
          <w:sz w:val="19"/>
        </w:rPr>
      </w:pPr>
    </w:p>
    <w:p>
      <w:pPr>
        <w:spacing w:before="61"/>
        <w:ind w:left="137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70</w:t>
      </w:r>
    </w:p>
    <w:p>
      <w:pPr>
        <w:pStyle w:val="BodyText"/>
        <w:spacing w:before="2"/>
        <w:rPr>
          <w:rFonts w:ascii="Calibri"/>
          <w:sz w:val="20"/>
        </w:rPr>
      </w:pPr>
    </w:p>
    <w:p>
      <w:pPr>
        <w:spacing w:before="61"/>
        <w:ind w:left="137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60</w:t>
      </w:r>
    </w:p>
    <w:p>
      <w:pPr>
        <w:pStyle w:val="BodyText"/>
        <w:spacing w:before="3"/>
        <w:rPr>
          <w:rFonts w:ascii="Calibri"/>
          <w:sz w:val="20"/>
        </w:rPr>
      </w:pPr>
    </w:p>
    <w:p>
      <w:pPr>
        <w:spacing w:before="61"/>
        <w:ind w:left="1372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85.520073pt;margin-top:12.512411pt;width:12.1pt;height:49.3pt;mso-position-horizontal-relative:page;mso-position-vertical-relative:paragraph;z-index:15736320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Percentage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50</w:t>
      </w:r>
    </w:p>
    <w:p>
      <w:pPr>
        <w:pStyle w:val="BodyText"/>
        <w:spacing w:before="10"/>
        <w:rPr>
          <w:rFonts w:ascii="Calibri"/>
          <w:sz w:val="19"/>
        </w:rPr>
      </w:pPr>
    </w:p>
    <w:p>
      <w:pPr>
        <w:spacing w:before="61"/>
        <w:ind w:left="137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</w:t>
      </w:r>
    </w:p>
    <w:p>
      <w:pPr>
        <w:pStyle w:val="BodyText"/>
        <w:spacing w:before="3"/>
        <w:rPr>
          <w:rFonts w:ascii="Calibri"/>
          <w:sz w:val="20"/>
        </w:rPr>
      </w:pPr>
    </w:p>
    <w:p>
      <w:pPr>
        <w:spacing w:before="61"/>
        <w:ind w:left="137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30</w:t>
      </w:r>
    </w:p>
    <w:p>
      <w:pPr>
        <w:pStyle w:val="BodyText"/>
        <w:spacing w:before="3"/>
        <w:rPr>
          <w:rFonts w:ascii="Calibri"/>
          <w:sz w:val="20"/>
        </w:rPr>
      </w:pPr>
    </w:p>
    <w:p>
      <w:pPr>
        <w:spacing w:before="61"/>
        <w:ind w:left="137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pStyle w:val="BodyText"/>
        <w:spacing w:before="10"/>
        <w:rPr>
          <w:rFonts w:ascii="Calibri"/>
          <w:sz w:val="19"/>
        </w:rPr>
      </w:pPr>
    </w:p>
    <w:p>
      <w:pPr>
        <w:spacing w:before="61"/>
        <w:ind w:left="137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</w:t>
      </w:r>
    </w:p>
    <w:p>
      <w:pPr>
        <w:pStyle w:val="BodyText"/>
        <w:spacing w:before="2"/>
        <w:rPr>
          <w:rFonts w:ascii="Calibri"/>
          <w:sz w:val="20"/>
        </w:rPr>
      </w:pPr>
    </w:p>
    <w:p>
      <w:pPr>
        <w:spacing w:before="61"/>
        <w:ind w:left="1477" w:right="0" w:firstLine="0"/>
        <w:jc w:val="left"/>
        <w:rPr>
          <w:rFonts w:ascii="Calibri"/>
          <w:sz w:val="20"/>
        </w:rPr>
      </w:pPr>
      <w:r>
        <w:rPr>
          <w:rFonts w:ascii="Calibri"/>
          <w:w w:val="100"/>
          <w:sz w:val="20"/>
        </w:rPr>
        <w:t>0</w:t>
      </w:r>
    </w:p>
    <w:p>
      <w:pPr>
        <w:tabs>
          <w:tab w:pos="2140" w:val="left" w:leader="none"/>
          <w:tab w:pos="4175" w:val="left" w:leader="none"/>
        </w:tabs>
        <w:spacing w:before="16"/>
        <w:ind w:left="0" w:right="1604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HbSC</w:t>
        <w:tab/>
        <w:t>HbSS</w:t>
        <w:tab/>
        <w:t>HbSS+F</w:t>
      </w:r>
    </w:p>
    <w:p>
      <w:pPr>
        <w:spacing w:before="58"/>
        <w:ind w:left="545" w:right="2242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Genotype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3"/>
        <w:rPr>
          <w:rFonts w:ascii="Calibri"/>
          <w:b/>
          <w:sz w:val="20"/>
        </w:rPr>
      </w:pPr>
    </w:p>
    <w:p>
      <w:pPr>
        <w:pStyle w:val="Heading1"/>
        <w:spacing w:before="90"/>
        <w:jc w:val="left"/>
      </w:pPr>
      <w:r>
        <w:rPr/>
        <w:t>Figure</w:t>
      </w:r>
      <w:r>
        <w:rPr>
          <w:spacing w:val="-1"/>
        </w:rPr>
        <w:t> </w:t>
      </w:r>
      <w:r>
        <w:rPr/>
        <w:t>4.1:</w:t>
      </w:r>
      <w:r>
        <w:rPr>
          <w:spacing w:val="1"/>
        </w:rPr>
        <w:t> </w:t>
      </w:r>
      <w:r>
        <w:rPr/>
        <w:t>Variants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Sickle Cell</w:t>
      </w:r>
      <w:r>
        <w:rPr>
          <w:spacing w:val="-4"/>
        </w:rPr>
        <w:t> </w:t>
      </w:r>
      <w:r>
        <w:rPr/>
        <w:t>Disease of</w:t>
      </w:r>
      <w:r>
        <w:rPr>
          <w:spacing w:val="-3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Study</w:t>
      </w:r>
    </w:p>
    <w:p>
      <w:pPr>
        <w:spacing w:after="0"/>
        <w:jc w:val="left"/>
        <w:sectPr>
          <w:pgSz w:w="12240" w:h="15840"/>
          <w:pgMar w:header="0" w:footer="1017" w:top="1500" w:bottom="1200" w:left="620" w:right="0"/>
        </w:sectPr>
      </w:pPr>
    </w:p>
    <w:p>
      <w:pPr>
        <w:spacing w:before="72"/>
        <w:ind w:left="82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4.1: Sex,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Marital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Status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Religion 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Individuals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who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participated in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Study</w:t>
      </w:r>
    </w:p>
    <w:p>
      <w:pPr>
        <w:pStyle w:val="BodyText"/>
        <w:spacing w:before="8"/>
        <w:rPr>
          <w:b/>
          <w:sz w:val="26"/>
        </w:rPr>
      </w:pPr>
      <w:r>
        <w:rPr/>
        <w:pict>
          <v:rect style="position:absolute;margin-left:66.480003pt;margin-top:17.298698pt;width:460.080022pt;height:.48pt;mso-position-horizontal-relative:page;mso-position-vertical-relative:paragraph;z-index:-15720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tabs>
          <w:tab w:pos="5605" w:val="left" w:leader="none"/>
        </w:tabs>
        <w:ind w:left="820"/>
      </w:pPr>
      <w:r>
        <w:rPr/>
        <w:t>Parameter</w:t>
        <w:tab/>
        <w:t>Frequency</w:t>
      </w:r>
      <w:r>
        <w:rPr>
          <w:spacing w:val="-7"/>
        </w:rPr>
        <w:t> </w:t>
      </w:r>
      <w:r>
        <w:rPr/>
        <w:t>(Percentage)</w:t>
      </w:r>
    </w:p>
    <w:p>
      <w:pPr>
        <w:pStyle w:val="BodyText"/>
        <w:spacing w:before="6"/>
        <w:rPr>
          <w:sz w:val="23"/>
        </w:rPr>
      </w:pPr>
      <w:r>
        <w:rPr/>
        <w:pict>
          <v:rect style="position:absolute;margin-left:66.480003pt;margin-top:15.473845pt;width:460.080022pt;height:.48pt;mso-position-horizontal-relative:page;mso-position-vertical-relative:paragraph;z-index:-157199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tabs>
          <w:tab w:pos="3215" w:val="left" w:leader="none"/>
          <w:tab w:pos="5605" w:val="left" w:leader="none"/>
        </w:tabs>
        <w:spacing w:line="235" w:lineRule="exact"/>
        <w:ind w:left="820"/>
      </w:pPr>
      <w:r>
        <w:rPr/>
        <w:t>Sex</w:t>
        <w:tab/>
        <w:t>Male</w:t>
        <w:tab/>
        <w:t>71</w:t>
      </w:r>
      <w:r>
        <w:rPr>
          <w:spacing w:val="1"/>
        </w:rPr>
        <w:t> </w:t>
      </w:r>
      <w:r>
        <w:rPr/>
        <w:t>(53)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tabs>
          <w:tab w:pos="5605" w:val="left" w:leader="none"/>
        </w:tabs>
        <w:spacing w:before="90"/>
        <w:ind w:left="3215"/>
      </w:pPr>
      <w:r>
        <w:rPr/>
        <w:t>Female</w:t>
        <w:tab/>
        <w:t>64</w:t>
      </w:r>
      <w:r>
        <w:rPr>
          <w:spacing w:val="1"/>
        </w:rPr>
        <w:t> </w:t>
      </w:r>
      <w:r>
        <w:rPr/>
        <w:t>(47)</w:t>
      </w:r>
    </w:p>
    <w:p>
      <w:pPr>
        <w:pStyle w:val="BodyText"/>
        <w:spacing w:before="7"/>
        <w:rPr>
          <w:sz w:val="21"/>
        </w:rPr>
      </w:pPr>
    </w:p>
    <w:p>
      <w:pPr>
        <w:spacing w:after="0"/>
        <w:rPr>
          <w:sz w:val="21"/>
        </w:rPr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tabs>
          <w:tab w:pos="3215" w:val="left" w:leader="none"/>
        </w:tabs>
        <w:spacing w:line="535" w:lineRule="auto" w:before="90"/>
        <w:ind w:left="3215" w:right="402" w:hanging="2396"/>
      </w:pPr>
      <w:r>
        <w:rPr/>
        <w:t>Marital</w:t>
      </w:r>
      <w:r>
        <w:rPr>
          <w:spacing w:val="-6"/>
        </w:rPr>
        <w:t> </w:t>
      </w:r>
      <w:r>
        <w:rPr/>
        <w:t>Status</w:t>
        <w:tab/>
        <w:t>Single</w:t>
      </w:r>
      <w:r>
        <w:rPr>
          <w:spacing w:val="1"/>
        </w:rPr>
        <w:t> </w:t>
      </w:r>
      <w:r>
        <w:rPr>
          <w:spacing w:val="-1"/>
        </w:rPr>
        <w:t>Married</w:t>
      </w:r>
    </w:p>
    <w:p>
      <w:pPr>
        <w:pStyle w:val="BodyText"/>
        <w:tabs>
          <w:tab w:pos="3215" w:val="left" w:leader="none"/>
        </w:tabs>
        <w:spacing w:line="274" w:lineRule="exact"/>
        <w:ind w:left="820"/>
      </w:pPr>
      <w:r>
        <w:rPr/>
        <w:t>Religion</w:t>
        <w:tab/>
        <w:t>Islam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1"/>
        <w:ind w:right="38"/>
        <w:jc w:val="right"/>
      </w:pPr>
      <w:r>
        <w:rPr/>
        <w:t>Christianity</w:t>
      </w:r>
    </w:p>
    <w:p>
      <w:pPr>
        <w:pStyle w:val="BodyText"/>
        <w:spacing w:before="90"/>
        <w:ind w:left="820"/>
      </w:pPr>
      <w:r>
        <w:rPr/>
        <w:br w:type="column"/>
      </w:r>
      <w:r>
        <w:rPr/>
        <w:t>84</w:t>
      </w:r>
      <w:r>
        <w:rPr>
          <w:spacing w:val="1"/>
        </w:rPr>
        <w:t> </w:t>
      </w:r>
      <w:r>
        <w:rPr/>
        <w:t>(62)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1"/>
        <w:ind w:left="820"/>
      </w:pPr>
      <w:r>
        <w:rPr/>
        <w:t>51</w:t>
      </w:r>
      <w:r>
        <w:rPr>
          <w:spacing w:val="1"/>
        </w:rPr>
        <w:t> </w:t>
      </w:r>
      <w:r>
        <w:rPr/>
        <w:t>(38)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820"/>
      </w:pPr>
      <w:r>
        <w:rPr/>
        <w:t>82</w:t>
      </w:r>
      <w:r>
        <w:rPr>
          <w:spacing w:val="1"/>
        </w:rPr>
        <w:t> </w:t>
      </w:r>
      <w:r>
        <w:rPr/>
        <w:t>(60)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820"/>
      </w:pPr>
      <w:r>
        <w:rPr/>
        <w:t>53</w:t>
      </w:r>
      <w:r>
        <w:rPr>
          <w:spacing w:val="1"/>
        </w:rPr>
        <w:t> </w:t>
      </w:r>
      <w:r>
        <w:rPr/>
        <w:t>(40)</w:t>
      </w:r>
    </w:p>
    <w:p>
      <w:pPr>
        <w:spacing w:after="0"/>
        <w:sectPr>
          <w:type w:val="continuous"/>
          <w:pgSz w:w="12240" w:h="15840"/>
          <w:pgMar w:top="1360" w:bottom="280" w:left="620" w:right="0"/>
          <w:cols w:num="2" w:equalWidth="0">
            <w:col w:w="4388" w:space="398"/>
            <w:col w:w="683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spacing w:line="20" w:lineRule="exact"/>
        <w:ind w:left="709"/>
        <w:rPr>
          <w:sz w:val="2"/>
        </w:rPr>
      </w:pPr>
      <w:r>
        <w:rPr>
          <w:sz w:val="2"/>
        </w:rPr>
        <w:pict>
          <v:group style="width:460.1pt;height:.5pt;mso-position-horizontal-relative:char;mso-position-vertical-relative:line" coordorigin="0,0" coordsize="9202,10">
            <v:rect style="position:absolute;left:0;top:0;width:9202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360" w:bottom="280" w:left="620" w:right="0"/>
        </w:sectPr>
      </w:pPr>
    </w:p>
    <w:p>
      <w:pPr>
        <w:pStyle w:val="Heading1"/>
        <w:jc w:val="left"/>
      </w:pPr>
      <w:r>
        <w:rPr/>
        <w:t>Table</w:t>
      </w:r>
      <w:r>
        <w:rPr>
          <w:spacing w:val="-1"/>
        </w:rPr>
        <w:t> </w:t>
      </w:r>
      <w:r>
        <w:rPr/>
        <w:t>4.2 Mean</w:t>
      </w:r>
      <w:r>
        <w:rPr>
          <w:spacing w:val="-4"/>
        </w:rPr>
        <w:t> </w:t>
      </w:r>
      <w:r>
        <w:rPr/>
        <w:t>Ages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Weights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Groups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0"/>
        </w:rPr>
      </w:pPr>
    </w:p>
    <w:tbl>
      <w:tblPr>
        <w:tblW w:w="0" w:type="auto"/>
        <w:jc w:val="left"/>
        <w:tblInd w:w="7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1"/>
        <w:gridCol w:w="2795"/>
        <w:gridCol w:w="4096"/>
      </w:tblGrid>
      <w:tr>
        <w:trPr>
          <w:trHeight w:val="611" w:hRule="atLeast"/>
        </w:trPr>
        <w:tc>
          <w:tcPr>
            <w:tcW w:w="26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Study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Population</w:t>
            </w:r>
          </w:p>
        </w:tc>
        <w:tc>
          <w:tcPr>
            <w:tcW w:w="27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611"/>
              <w:rPr>
                <w:sz w:val="24"/>
              </w:rPr>
            </w:pPr>
            <w:r>
              <w:rPr>
                <w:sz w:val="24"/>
              </w:rPr>
              <w:t>Age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(Years)</w:t>
            </w:r>
          </w:p>
        </w:tc>
        <w:tc>
          <w:tcPr>
            <w:tcW w:w="40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08"/>
              <w:rPr>
                <w:sz w:val="24"/>
              </w:rPr>
            </w:pPr>
            <w:r>
              <w:rPr>
                <w:sz w:val="24"/>
              </w:rPr>
              <w:t>Weight (Kg)</w:t>
            </w:r>
          </w:p>
        </w:tc>
      </w:tr>
      <w:tr>
        <w:trPr>
          <w:trHeight w:val="447" w:hRule="atLeast"/>
        </w:trPr>
        <w:tc>
          <w:tcPr>
            <w:tcW w:w="26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SCD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Crises</w:t>
            </w:r>
          </w:p>
        </w:tc>
        <w:tc>
          <w:tcPr>
            <w:tcW w:w="27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611"/>
              <w:rPr>
                <w:sz w:val="24"/>
              </w:rPr>
            </w:pPr>
            <w:r>
              <w:rPr>
                <w:w w:val="95"/>
                <w:sz w:val="24"/>
              </w:rPr>
              <w:t>23.44</w:t>
            </w:r>
            <w:r>
              <w:rPr>
                <w:rFonts w:ascii="Cambria Math" w:hAnsi="Cambria Math"/>
                <w:w w:val="95"/>
                <w:sz w:val="24"/>
              </w:rPr>
              <w:t>±</w:t>
            </w:r>
            <w:r>
              <w:rPr>
                <w:rFonts w:ascii="Cambria Math" w:hAnsi="Cambria Math"/>
                <w:spacing w:val="-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0.58</w:t>
            </w:r>
          </w:p>
        </w:tc>
        <w:tc>
          <w:tcPr>
            <w:tcW w:w="40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008"/>
              <w:rPr>
                <w:sz w:val="24"/>
              </w:rPr>
            </w:pPr>
            <w:r>
              <w:rPr>
                <w:b/>
                <w:w w:val="95"/>
                <w:sz w:val="24"/>
              </w:rPr>
              <w:t>*</w:t>
            </w:r>
            <w:r>
              <w:rPr>
                <w:w w:val="95"/>
                <w:sz w:val="24"/>
              </w:rPr>
              <w:t>51.59</w:t>
            </w:r>
            <w:r>
              <w:rPr>
                <w:rFonts w:ascii="Cambria Math" w:hAnsi="Cambria Math"/>
                <w:w w:val="95"/>
                <w:sz w:val="24"/>
              </w:rPr>
              <w:t>±</w:t>
            </w:r>
            <w:r>
              <w:rPr>
                <w:rFonts w:ascii="Cambria Math" w:hAnsi="Cambria Math"/>
                <w:spacing w:val="-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1.26</w:t>
            </w:r>
          </w:p>
        </w:tc>
      </w:tr>
      <w:tr>
        <w:trPr>
          <w:trHeight w:val="621" w:hRule="atLeast"/>
        </w:trPr>
        <w:tc>
          <w:tcPr>
            <w:tcW w:w="2691" w:type="dxa"/>
          </w:tcPr>
          <w:p>
            <w:pPr>
              <w:pStyle w:val="TableParagraph"/>
              <w:spacing w:before="165"/>
              <w:ind w:left="110"/>
              <w:rPr>
                <w:sz w:val="24"/>
              </w:rPr>
            </w:pPr>
            <w:r>
              <w:rPr>
                <w:sz w:val="24"/>
              </w:rPr>
              <w:t>SCD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Steady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2795" w:type="dxa"/>
          </w:tcPr>
          <w:p>
            <w:pPr>
              <w:pStyle w:val="TableParagraph"/>
              <w:spacing w:before="171"/>
              <w:ind w:left="611"/>
              <w:rPr>
                <w:sz w:val="24"/>
              </w:rPr>
            </w:pPr>
            <w:r>
              <w:rPr>
                <w:w w:val="95"/>
                <w:sz w:val="24"/>
              </w:rPr>
              <w:t>23.17</w:t>
            </w:r>
            <w:r>
              <w:rPr>
                <w:rFonts w:ascii="Cambria Math" w:hAnsi="Cambria Math"/>
                <w:w w:val="95"/>
                <w:sz w:val="24"/>
              </w:rPr>
              <w:t>±</w:t>
            </w:r>
            <w:r>
              <w:rPr>
                <w:rFonts w:ascii="Cambria Math" w:hAnsi="Cambria Math"/>
                <w:spacing w:val="-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0.57</w:t>
            </w:r>
          </w:p>
        </w:tc>
        <w:tc>
          <w:tcPr>
            <w:tcW w:w="4096" w:type="dxa"/>
          </w:tcPr>
          <w:p>
            <w:pPr>
              <w:pStyle w:val="TableParagraph"/>
              <w:spacing w:before="171"/>
              <w:ind w:left="1008"/>
              <w:rPr>
                <w:sz w:val="24"/>
              </w:rPr>
            </w:pPr>
            <w:r>
              <w:rPr>
                <w:b/>
                <w:w w:val="95"/>
                <w:sz w:val="24"/>
              </w:rPr>
              <w:t>*</w:t>
            </w:r>
            <w:r>
              <w:rPr>
                <w:w w:val="95"/>
                <w:sz w:val="24"/>
              </w:rPr>
              <w:t>52.43</w:t>
            </w:r>
            <w:r>
              <w:rPr>
                <w:rFonts w:ascii="Cambria Math" w:hAnsi="Cambria Math"/>
                <w:w w:val="95"/>
                <w:sz w:val="24"/>
              </w:rPr>
              <w:t>±</w:t>
            </w:r>
            <w:r>
              <w:rPr>
                <w:rFonts w:ascii="Cambria Math" w:hAnsi="Cambria Math"/>
                <w:spacing w:val="-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1.34</w:t>
            </w:r>
          </w:p>
        </w:tc>
      </w:tr>
      <w:tr>
        <w:trPr>
          <w:trHeight w:val="450" w:hRule="atLeast"/>
        </w:trPr>
        <w:tc>
          <w:tcPr>
            <w:tcW w:w="2691" w:type="dxa"/>
          </w:tcPr>
          <w:p>
            <w:pPr>
              <w:pStyle w:val="TableParagraph"/>
              <w:spacing w:line="267" w:lineRule="exact" w:before="163"/>
              <w:ind w:left="110"/>
              <w:rPr>
                <w:sz w:val="24"/>
              </w:rPr>
            </w:pPr>
            <w:r>
              <w:rPr>
                <w:sz w:val="24"/>
              </w:rPr>
              <w:t>HbAA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2795" w:type="dxa"/>
          </w:tcPr>
          <w:p>
            <w:pPr>
              <w:pStyle w:val="TableParagraph"/>
              <w:spacing w:line="261" w:lineRule="exact" w:before="169"/>
              <w:ind w:left="611"/>
              <w:rPr>
                <w:sz w:val="24"/>
              </w:rPr>
            </w:pPr>
            <w:r>
              <w:rPr>
                <w:w w:val="95"/>
                <w:sz w:val="24"/>
              </w:rPr>
              <w:t>23.98</w:t>
            </w:r>
            <w:r>
              <w:rPr>
                <w:rFonts w:ascii="Cambria Math" w:hAnsi="Cambria Math"/>
                <w:w w:val="95"/>
                <w:sz w:val="24"/>
              </w:rPr>
              <w:t>±</w:t>
            </w:r>
            <w:r>
              <w:rPr>
                <w:rFonts w:ascii="Cambria Math" w:hAnsi="Cambria Math"/>
                <w:spacing w:val="-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0.44</w:t>
            </w:r>
          </w:p>
        </w:tc>
        <w:tc>
          <w:tcPr>
            <w:tcW w:w="4096" w:type="dxa"/>
          </w:tcPr>
          <w:p>
            <w:pPr>
              <w:pStyle w:val="TableParagraph"/>
              <w:spacing w:line="261" w:lineRule="exact" w:before="169"/>
              <w:ind w:left="1133"/>
              <w:rPr>
                <w:sz w:val="24"/>
              </w:rPr>
            </w:pPr>
            <w:r>
              <w:rPr>
                <w:w w:val="95"/>
                <w:sz w:val="24"/>
              </w:rPr>
              <w:t>62.27</w:t>
            </w:r>
            <w:r>
              <w:rPr>
                <w:rFonts w:ascii="Cambria Math" w:hAnsi="Cambria Math"/>
                <w:w w:val="95"/>
                <w:sz w:val="24"/>
              </w:rPr>
              <w:t>±</w:t>
            </w:r>
            <w:r>
              <w:rPr>
                <w:rFonts w:ascii="Cambria Math" w:hAnsi="Cambria Math"/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1.45</w:t>
            </w:r>
          </w:p>
        </w:tc>
      </w:tr>
    </w:tbl>
    <w:p>
      <w:pPr>
        <w:pStyle w:val="BodyText"/>
        <w:rPr>
          <w:b/>
          <w:sz w:val="27"/>
        </w:rPr>
      </w:pPr>
      <w:r>
        <w:rPr/>
        <w:pict>
          <v:rect style="position:absolute;margin-left:65.760002pt;margin-top:17.493958pt;width:479.760023pt;height:.48pt;mso-position-horizontal-relative:page;mso-position-vertical-relative:paragraph;z-index:-157189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ind w:left="820"/>
      </w:pPr>
      <w:r>
        <w:rPr>
          <w:b/>
        </w:rPr>
        <w:t>*</w:t>
      </w:r>
      <w:r>
        <w:rPr>
          <w:b/>
          <w:spacing w:val="-3"/>
        </w:rPr>
        <w:t> </w:t>
      </w:r>
      <w:r>
        <w:rPr/>
        <w:t>Statistically</w:t>
      </w:r>
      <w:r>
        <w:rPr>
          <w:spacing w:val="-12"/>
        </w:rPr>
        <w:t> </w:t>
      </w:r>
      <w:r>
        <w:rPr/>
        <w:t>significant</w:t>
      </w:r>
      <w:r>
        <w:rPr>
          <w:spacing w:val="2"/>
        </w:rPr>
        <w:t> </w:t>
      </w:r>
      <w:r>
        <w:rPr/>
        <w:t>difference</w:t>
      </w:r>
      <w:r>
        <w:rPr>
          <w:spacing w:val="-4"/>
        </w:rPr>
        <w:t> </w:t>
      </w:r>
      <w:r>
        <w:rPr/>
        <w:t>at</w:t>
      </w:r>
      <w:r>
        <w:rPr>
          <w:spacing w:val="2"/>
        </w:rPr>
        <w:t> </w:t>
      </w:r>
      <w:r>
        <w:rPr/>
        <w:t>p&lt;0.05</w:t>
      </w:r>
      <w:r>
        <w:rPr>
          <w:spacing w:val="-8"/>
        </w:rPr>
        <w:t> </w:t>
      </w:r>
      <w:r>
        <w:rPr/>
        <w:t>compared</w:t>
      </w:r>
      <w:r>
        <w:rPr>
          <w:spacing w:val="-3"/>
        </w:rPr>
        <w:t> </w:t>
      </w:r>
      <w:r>
        <w:rPr/>
        <w:t>with</w:t>
      </w:r>
      <w:r>
        <w:rPr>
          <w:spacing w:val="-7"/>
        </w:rPr>
        <w:t> </w:t>
      </w:r>
      <w:r>
        <w:rPr/>
        <w:t>HbAA</w:t>
      </w:r>
    </w:p>
    <w:p>
      <w:pPr>
        <w:spacing w:after="0"/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jc w:val="left"/>
      </w:pPr>
      <w:r>
        <w:rPr/>
        <w:t>Table</w:t>
      </w:r>
      <w:r>
        <w:rPr>
          <w:spacing w:val="-2"/>
        </w:rPr>
        <w:t> </w:t>
      </w:r>
      <w:r>
        <w:rPr/>
        <w:t>4.3: Occupation,</w:t>
      </w:r>
      <w:r>
        <w:rPr>
          <w:spacing w:val="-3"/>
        </w:rPr>
        <w:t> </w:t>
      </w:r>
      <w:r>
        <w:rPr/>
        <w:t>Highest Educational</w:t>
      </w:r>
      <w:r>
        <w:rPr>
          <w:spacing w:val="-5"/>
        </w:rPr>
        <w:t> </w:t>
      </w:r>
      <w:r>
        <w:rPr/>
        <w:t>Level</w:t>
      </w:r>
      <w:r>
        <w:rPr>
          <w:spacing w:val="-5"/>
        </w:rPr>
        <w:t> </w:t>
      </w:r>
      <w:r>
        <w:rPr/>
        <w:t>Attained and</w:t>
      </w:r>
      <w:r>
        <w:rPr>
          <w:spacing w:val="-5"/>
        </w:rPr>
        <w:t> </w:t>
      </w:r>
      <w:r>
        <w:rPr/>
        <w:t>Tribe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0"/>
        </w:rPr>
      </w:pPr>
    </w:p>
    <w:tbl>
      <w:tblPr>
        <w:tblW w:w="0" w:type="auto"/>
        <w:jc w:val="left"/>
        <w:tblInd w:w="7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4"/>
        <w:gridCol w:w="2952"/>
        <w:gridCol w:w="3644"/>
      </w:tblGrid>
      <w:tr>
        <w:trPr>
          <w:trHeight w:val="611" w:hRule="atLeast"/>
        </w:trPr>
        <w:tc>
          <w:tcPr>
            <w:tcW w:w="29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/>
              <w:ind w:left="1195"/>
              <w:rPr>
                <w:b/>
                <w:sz w:val="24"/>
              </w:rPr>
            </w:pPr>
            <w:r>
              <w:rPr>
                <w:b/>
                <w:sz w:val="24"/>
              </w:rPr>
              <w:t>Population</w:t>
            </w:r>
          </w:p>
        </w:tc>
        <w:tc>
          <w:tcPr>
            <w:tcW w:w="6596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3" w:hRule="atLeast"/>
        </w:trPr>
        <w:tc>
          <w:tcPr>
            <w:tcW w:w="298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295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3" w:lineRule="exact"/>
              <w:ind w:left="558"/>
              <w:rPr>
                <w:sz w:val="24"/>
              </w:rPr>
            </w:pPr>
            <w:r>
              <w:rPr>
                <w:sz w:val="24"/>
              </w:rPr>
              <w:t>Frequency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(Percentage)</w:t>
            </w:r>
          </w:p>
        </w:tc>
      </w:tr>
      <w:tr>
        <w:trPr>
          <w:trHeight w:val="437" w:hRule="atLeast"/>
        </w:trPr>
        <w:tc>
          <w:tcPr>
            <w:tcW w:w="298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Occupation</w:t>
            </w:r>
          </w:p>
        </w:tc>
        <w:tc>
          <w:tcPr>
            <w:tcW w:w="295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318"/>
              <w:rPr>
                <w:sz w:val="24"/>
              </w:rPr>
            </w:pPr>
            <w:r>
              <w:rPr>
                <w:sz w:val="24"/>
              </w:rPr>
              <w:t>Civil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Servant</w:t>
            </w:r>
          </w:p>
        </w:tc>
        <w:tc>
          <w:tcPr>
            <w:tcW w:w="36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558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(20)</w:t>
            </w:r>
          </w:p>
        </w:tc>
      </w:tr>
      <w:tr>
        <w:trPr>
          <w:trHeight w:val="614" w:hRule="atLeast"/>
        </w:trPr>
        <w:tc>
          <w:tcPr>
            <w:tcW w:w="29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52" w:type="dxa"/>
          </w:tcPr>
          <w:p>
            <w:pPr>
              <w:pStyle w:val="TableParagraph"/>
              <w:spacing w:before="164"/>
              <w:ind w:left="318"/>
              <w:rPr>
                <w:sz w:val="24"/>
              </w:rPr>
            </w:pPr>
            <w:r>
              <w:rPr>
                <w:sz w:val="24"/>
              </w:rPr>
              <w:t>Student</w:t>
            </w:r>
          </w:p>
        </w:tc>
        <w:tc>
          <w:tcPr>
            <w:tcW w:w="3644" w:type="dxa"/>
          </w:tcPr>
          <w:p>
            <w:pPr>
              <w:pStyle w:val="TableParagraph"/>
              <w:spacing w:before="164"/>
              <w:ind w:left="558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(37)</w:t>
            </w:r>
          </w:p>
        </w:tc>
      </w:tr>
      <w:tr>
        <w:trPr>
          <w:trHeight w:val="614" w:hRule="atLeast"/>
        </w:trPr>
        <w:tc>
          <w:tcPr>
            <w:tcW w:w="29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52" w:type="dxa"/>
          </w:tcPr>
          <w:p>
            <w:pPr>
              <w:pStyle w:val="TableParagraph"/>
              <w:spacing w:before="164"/>
              <w:ind w:left="318"/>
              <w:rPr>
                <w:sz w:val="24"/>
              </w:rPr>
            </w:pPr>
            <w:r>
              <w:rPr>
                <w:sz w:val="24"/>
              </w:rPr>
              <w:t>Homemaker</w:t>
            </w:r>
          </w:p>
        </w:tc>
        <w:tc>
          <w:tcPr>
            <w:tcW w:w="3644" w:type="dxa"/>
          </w:tcPr>
          <w:p>
            <w:pPr>
              <w:pStyle w:val="TableParagraph"/>
              <w:spacing w:before="164"/>
              <w:ind w:left="558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(13)</w:t>
            </w:r>
          </w:p>
        </w:tc>
      </w:tr>
      <w:tr>
        <w:trPr>
          <w:trHeight w:val="614" w:hRule="atLeast"/>
        </w:trPr>
        <w:tc>
          <w:tcPr>
            <w:tcW w:w="29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52" w:type="dxa"/>
          </w:tcPr>
          <w:p>
            <w:pPr>
              <w:pStyle w:val="TableParagraph"/>
              <w:spacing w:before="164"/>
              <w:ind w:left="318"/>
              <w:rPr>
                <w:sz w:val="24"/>
              </w:rPr>
            </w:pPr>
            <w:r>
              <w:rPr>
                <w:sz w:val="24"/>
              </w:rPr>
              <w:t>Unemployed</w:t>
            </w:r>
          </w:p>
        </w:tc>
        <w:tc>
          <w:tcPr>
            <w:tcW w:w="3644" w:type="dxa"/>
          </w:tcPr>
          <w:p>
            <w:pPr>
              <w:pStyle w:val="TableParagraph"/>
              <w:spacing w:before="164"/>
              <w:ind w:left="558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(7)</w:t>
            </w:r>
          </w:p>
        </w:tc>
      </w:tr>
      <w:tr>
        <w:trPr>
          <w:trHeight w:val="614" w:hRule="atLeast"/>
        </w:trPr>
        <w:tc>
          <w:tcPr>
            <w:tcW w:w="29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52" w:type="dxa"/>
          </w:tcPr>
          <w:p>
            <w:pPr>
              <w:pStyle w:val="TableParagraph"/>
              <w:spacing w:before="164"/>
              <w:ind w:left="318"/>
              <w:rPr>
                <w:sz w:val="24"/>
              </w:rPr>
            </w:pPr>
            <w:r>
              <w:rPr>
                <w:sz w:val="24"/>
              </w:rPr>
              <w:t>Business</w:t>
            </w:r>
          </w:p>
        </w:tc>
        <w:tc>
          <w:tcPr>
            <w:tcW w:w="3644" w:type="dxa"/>
          </w:tcPr>
          <w:p>
            <w:pPr>
              <w:pStyle w:val="TableParagraph"/>
              <w:spacing w:before="164"/>
              <w:ind w:left="558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(20)</w:t>
            </w:r>
          </w:p>
        </w:tc>
      </w:tr>
      <w:tr>
        <w:trPr>
          <w:trHeight w:val="614" w:hRule="atLeast"/>
        </w:trPr>
        <w:tc>
          <w:tcPr>
            <w:tcW w:w="29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52" w:type="dxa"/>
          </w:tcPr>
          <w:p>
            <w:pPr>
              <w:pStyle w:val="TableParagraph"/>
              <w:spacing w:before="164"/>
              <w:ind w:left="318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  <w:tc>
          <w:tcPr>
            <w:tcW w:w="3644" w:type="dxa"/>
          </w:tcPr>
          <w:p>
            <w:pPr>
              <w:pStyle w:val="TableParagraph"/>
              <w:spacing w:before="164"/>
              <w:ind w:left="55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(3)</w:t>
            </w:r>
          </w:p>
        </w:tc>
      </w:tr>
      <w:tr>
        <w:trPr>
          <w:trHeight w:val="611" w:hRule="atLeast"/>
        </w:trPr>
        <w:tc>
          <w:tcPr>
            <w:tcW w:w="2984" w:type="dxa"/>
          </w:tcPr>
          <w:p>
            <w:pPr>
              <w:pStyle w:val="TableParagraph"/>
              <w:spacing w:before="164"/>
              <w:ind w:left="110"/>
              <w:rPr>
                <w:sz w:val="24"/>
              </w:rPr>
            </w:pPr>
            <w:r>
              <w:rPr>
                <w:sz w:val="24"/>
              </w:rPr>
              <w:t>Highest Educational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Level</w:t>
            </w:r>
          </w:p>
        </w:tc>
        <w:tc>
          <w:tcPr>
            <w:tcW w:w="2952" w:type="dxa"/>
          </w:tcPr>
          <w:p>
            <w:pPr>
              <w:pStyle w:val="TableParagraph"/>
              <w:spacing w:before="164"/>
              <w:ind w:left="318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Formal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  <w:tc>
          <w:tcPr>
            <w:tcW w:w="3644" w:type="dxa"/>
          </w:tcPr>
          <w:p>
            <w:pPr>
              <w:pStyle w:val="TableParagraph"/>
              <w:spacing w:before="164"/>
              <w:ind w:left="558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(13)</w:t>
            </w:r>
          </w:p>
        </w:tc>
      </w:tr>
      <w:tr>
        <w:trPr>
          <w:trHeight w:val="612" w:hRule="atLeast"/>
        </w:trPr>
        <w:tc>
          <w:tcPr>
            <w:tcW w:w="29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52" w:type="dxa"/>
          </w:tcPr>
          <w:p>
            <w:pPr>
              <w:pStyle w:val="TableParagraph"/>
              <w:spacing w:before="161"/>
              <w:ind w:left="318"/>
              <w:rPr>
                <w:sz w:val="24"/>
              </w:rPr>
            </w:pPr>
            <w:r>
              <w:rPr>
                <w:sz w:val="24"/>
              </w:rPr>
              <w:t>Primary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School</w:t>
            </w:r>
          </w:p>
        </w:tc>
        <w:tc>
          <w:tcPr>
            <w:tcW w:w="3644" w:type="dxa"/>
          </w:tcPr>
          <w:p>
            <w:pPr>
              <w:pStyle w:val="TableParagraph"/>
              <w:spacing w:before="161"/>
              <w:ind w:left="558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(11)</w:t>
            </w:r>
          </w:p>
        </w:tc>
      </w:tr>
      <w:tr>
        <w:trPr>
          <w:trHeight w:val="614" w:hRule="atLeast"/>
        </w:trPr>
        <w:tc>
          <w:tcPr>
            <w:tcW w:w="29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52" w:type="dxa"/>
          </w:tcPr>
          <w:p>
            <w:pPr>
              <w:pStyle w:val="TableParagraph"/>
              <w:spacing w:before="164"/>
              <w:ind w:left="318"/>
              <w:rPr>
                <w:sz w:val="24"/>
              </w:rPr>
            </w:pPr>
            <w:r>
              <w:rPr>
                <w:sz w:val="24"/>
              </w:rPr>
              <w:t>Secondary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School</w:t>
            </w:r>
          </w:p>
        </w:tc>
        <w:tc>
          <w:tcPr>
            <w:tcW w:w="3644" w:type="dxa"/>
          </w:tcPr>
          <w:p>
            <w:pPr>
              <w:pStyle w:val="TableParagraph"/>
              <w:spacing w:before="164"/>
              <w:ind w:left="558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(30)</w:t>
            </w:r>
          </w:p>
        </w:tc>
      </w:tr>
      <w:tr>
        <w:trPr>
          <w:trHeight w:val="614" w:hRule="atLeast"/>
        </w:trPr>
        <w:tc>
          <w:tcPr>
            <w:tcW w:w="29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52" w:type="dxa"/>
          </w:tcPr>
          <w:p>
            <w:pPr>
              <w:pStyle w:val="TableParagraph"/>
              <w:spacing w:before="164"/>
              <w:ind w:left="318"/>
              <w:rPr>
                <w:sz w:val="24"/>
              </w:rPr>
            </w:pPr>
            <w:r>
              <w:rPr>
                <w:sz w:val="24"/>
              </w:rPr>
              <w:t>Tertiary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  <w:tc>
          <w:tcPr>
            <w:tcW w:w="3644" w:type="dxa"/>
          </w:tcPr>
          <w:p>
            <w:pPr>
              <w:pStyle w:val="TableParagraph"/>
              <w:spacing w:before="164"/>
              <w:ind w:left="558"/>
              <w:rPr>
                <w:sz w:val="24"/>
              </w:rPr>
            </w:pPr>
            <w:r>
              <w:rPr>
                <w:sz w:val="24"/>
              </w:rPr>
              <w:t>63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(46)</w:t>
            </w:r>
          </w:p>
        </w:tc>
      </w:tr>
      <w:tr>
        <w:trPr>
          <w:trHeight w:val="614" w:hRule="atLeast"/>
        </w:trPr>
        <w:tc>
          <w:tcPr>
            <w:tcW w:w="2984" w:type="dxa"/>
          </w:tcPr>
          <w:p>
            <w:pPr>
              <w:pStyle w:val="TableParagraph"/>
              <w:spacing w:before="164"/>
              <w:ind w:left="110"/>
              <w:rPr>
                <w:sz w:val="24"/>
              </w:rPr>
            </w:pPr>
            <w:r>
              <w:rPr>
                <w:sz w:val="24"/>
              </w:rPr>
              <w:t>Tribe</w:t>
            </w:r>
          </w:p>
        </w:tc>
        <w:tc>
          <w:tcPr>
            <w:tcW w:w="2952" w:type="dxa"/>
          </w:tcPr>
          <w:p>
            <w:pPr>
              <w:pStyle w:val="TableParagraph"/>
              <w:spacing w:before="164"/>
              <w:ind w:left="318"/>
              <w:rPr>
                <w:sz w:val="24"/>
              </w:rPr>
            </w:pPr>
            <w:r>
              <w:rPr>
                <w:sz w:val="24"/>
              </w:rPr>
              <w:t>Hausa</w:t>
            </w:r>
          </w:p>
        </w:tc>
        <w:tc>
          <w:tcPr>
            <w:tcW w:w="3644" w:type="dxa"/>
          </w:tcPr>
          <w:p>
            <w:pPr>
              <w:pStyle w:val="TableParagraph"/>
              <w:spacing w:before="164"/>
              <w:ind w:left="558"/>
              <w:rPr>
                <w:sz w:val="24"/>
              </w:rPr>
            </w:pPr>
            <w:r>
              <w:rPr>
                <w:sz w:val="24"/>
              </w:rPr>
              <w:t>53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(39)</w:t>
            </w:r>
          </w:p>
        </w:tc>
      </w:tr>
      <w:tr>
        <w:trPr>
          <w:trHeight w:val="614" w:hRule="atLeast"/>
        </w:trPr>
        <w:tc>
          <w:tcPr>
            <w:tcW w:w="29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52" w:type="dxa"/>
          </w:tcPr>
          <w:p>
            <w:pPr>
              <w:pStyle w:val="TableParagraph"/>
              <w:spacing w:before="164"/>
              <w:ind w:left="318"/>
              <w:rPr>
                <w:sz w:val="24"/>
              </w:rPr>
            </w:pPr>
            <w:r>
              <w:rPr>
                <w:sz w:val="24"/>
              </w:rPr>
              <w:t>Yoruba</w:t>
            </w:r>
          </w:p>
        </w:tc>
        <w:tc>
          <w:tcPr>
            <w:tcW w:w="3644" w:type="dxa"/>
          </w:tcPr>
          <w:p>
            <w:pPr>
              <w:pStyle w:val="TableParagraph"/>
              <w:spacing w:before="164"/>
              <w:ind w:left="558"/>
              <w:rPr>
                <w:sz w:val="24"/>
              </w:rPr>
            </w:pPr>
            <w:r>
              <w:rPr>
                <w:sz w:val="24"/>
              </w:rPr>
              <w:t>38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(28)</w:t>
            </w:r>
          </w:p>
        </w:tc>
      </w:tr>
      <w:tr>
        <w:trPr>
          <w:trHeight w:val="614" w:hRule="atLeast"/>
        </w:trPr>
        <w:tc>
          <w:tcPr>
            <w:tcW w:w="29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52" w:type="dxa"/>
          </w:tcPr>
          <w:p>
            <w:pPr>
              <w:pStyle w:val="TableParagraph"/>
              <w:spacing w:before="164"/>
              <w:ind w:left="318"/>
              <w:rPr>
                <w:sz w:val="24"/>
              </w:rPr>
            </w:pPr>
            <w:r>
              <w:rPr>
                <w:sz w:val="24"/>
              </w:rPr>
              <w:t>Igbo</w:t>
            </w:r>
          </w:p>
        </w:tc>
        <w:tc>
          <w:tcPr>
            <w:tcW w:w="3644" w:type="dxa"/>
          </w:tcPr>
          <w:p>
            <w:pPr>
              <w:pStyle w:val="TableParagraph"/>
              <w:spacing w:before="164"/>
              <w:ind w:left="558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(9)</w:t>
            </w:r>
          </w:p>
        </w:tc>
      </w:tr>
      <w:tr>
        <w:trPr>
          <w:trHeight w:val="440" w:hRule="atLeast"/>
        </w:trPr>
        <w:tc>
          <w:tcPr>
            <w:tcW w:w="29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52" w:type="dxa"/>
          </w:tcPr>
          <w:p>
            <w:pPr>
              <w:pStyle w:val="TableParagraph"/>
              <w:spacing w:line="256" w:lineRule="exact" w:before="164"/>
              <w:ind w:left="318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  <w:tc>
          <w:tcPr>
            <w:tcW w:w="3644" w:type="dxa"/>
          </w:tcPr>
          <w:p>
            <w:pPr>
              <w:pStyle w:val="TableParagraph"/>
              <w:spacing w:line="256" w:lineRule="exact" w:before="164"/>
              <w:ind w:left="558"/>
              <w:rPr>
                <w:sz w:val="24"/>
              </w:rPr>
            </w:pPr>
            <w:r>
              <w:rPr>
                <w:sz w:val="24"/>
              </w:rPr>
              <w:t>32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(24)</w:t>
            </w:r>
          </w:p>
        </w:tc>
      </w:tr>
    </w:tbl>
    <w:p>
      <w:pPr>
        <w:pStyle w:val="BodyText"/>
        <w:spacing w:before="1"/>
        <w:rPr>
          <w:b/>
          <w:sz w:val="27"/>
        </w:rPr>
      </w:pPr>
      <w:r>
        <w:rPr/>
        <w:pict>
          <v:shape style="position:absolute;margin-left:65.760002pt;margin-top:17.523672pt;width:479.8pt;height:1pt;mso-position-horizontal-relative:page;mso-position-vertical-relative:paragraph;z-index:-15718400;mso-wrap-distance-left:0;mso-wrap-distance-right:0" coordorigin="1315,350" coordsize="9596,20" path="m7723,350l7718,350,7704,350,4531,350,4526,350,4512,350,1315,350,1315,370,4512,370,4526,370,4531,370,7704,370,7718,370,7723,370,7723,350xm10910,350l7723,350,7723,370,10910,370,10910,350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7"/>
        </w:rPr>
        <w:sectPr>
          <w:pgSz w:w="12240" w:h="15840"/>
          <w:pgMar w:header="0" w:footer="1017" w:top="1360" w:bottom="1200" w:left="620" w:right="0"/>
        </w:sectPr>
      </w:pPr>
    </w:p>
    <w:p>
      <w:pPr>
        <w:pStyle w:val="ListParagraph"/>
        <w:numPr>
          <w:ilvl w:val="1"/>
          <w:numId w:val="31"/>
        </w:numPr>
        <w:tabs>
          <w:tab w:pos="1185" w:val="left" w:leader="none"/>
        </w:tabs>
        <w:spacing w:line="240" w:lineRule="auto" w:before="72" w:after="0"/>
        <w:ind w:left="1184" w:right="0" w:hanging="365"/>
        <w:jc w:val="left"/>
        <w:rPr>
          <w:b/>
          <w:sz w:val="24"/>
        </w:rPr>
      </w:pPr>
      <w:r>
        <w:rPr>
          <w:b/>
          <w:sz w:val="24"/>
        </w:rPr>
        <w:t>Clinical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History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Sickle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Cell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Disease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Patients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ind w:left="820"/>
        <w:rPr>
          <w:rFonts w:ascii="Cambria Math" w:hAnsi="Cambria Math"/>
        </w:rPr>
      </w:pPr>
      <w:r>
        <w:rPr/>
        <w:t>The</w:t>
      </w:r>
      <w:r>
        <w:rPr>
          <w:spacing w:val="6"/>
        </w:rPr>
        <w:t> </w:t>
      </w:r>
      <w:r>
        <w:rPr/>
        <w:t>mean</w:t>
      </w:r>
      <w:r>
        <w:rPr>
          <w:spacing w:val="-1"/>
        </w:rPr>
        <w:t> </w:t>
      </w:r>
      <w:r>
        <w:rPr/>
        <w:t>ages</w:t>
      </w:r>
      <w:r>
        <w:rPr>
          <w:spacing w:val="1"/>
        </w:rPr>
        <w:t> </w:t>
      </w:r>
      <w:r>
        <w:rPr/>
        <w:t>at</w:t>
      </w:r>
      <w:r>
        <w:rPr>
          <w:spacing w:val="7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for the</w:t>
      </w:r>
      <w:r>
        <w:rPr>
          <w:spacing w:val="3"/>
        </w:rPr>
        <w:t> </w:t>
      </w:r>
      <w:r>
        <w:rPr/>
        <w:t>HbSC,</w:t>
      </w:r>
      <w:r>
        <w:rPr>
          <w:spacing w:val="5"/>
        </w:rPr>
        <w:t> </w:t>
      </w:r>
      <w:r>
        <w:rPr/>
        <w:t>HbSS,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HbSS</w:t>
      </w:r>
      <w:r>
        <w:rPr>
          <w:spacing w:val="4"/>
        </w:rPr>
        <w:t> </w:t>
      </w:r>
      <w:r>
        <w:rPr/>
        <w:t>+</w:t>
      </w:r>
      <w:r>
        <w:rPr>
          <w:spacing w:val="3"/>
        </w:rPr>
        <w:t> </w:t>
      </w:r>
      <w:r>
        <w:rPr/>
        <w:t>F were;</w:t>
      </w:r>
      <w:r>
        <w:rPr>
          <w:spacing w:val="-1"/>
        </w:rPr>
        <w:t> </w:t>
      </w:r>
      <w:r>
        <w:rPr/>
        <w:t>3.83</w:t>
      </w:r>
      <w:r>
        <w:rPr>
          <w:spacing w:val="1"/>
        </w:rPr>
        <w:t>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50"/>
        </w:rPr>
        <w:t> </w:t>
      </w:r>
      <w:r>
        <w:rPr/>
        <w:t>0.54</w:t>
      </w:r>
      <w:r>
        <w:rPr>
          <w:spacing w:val="-1"/>
        </w:rPr>
        <w:t> </w:t>
      </w:r>
      <w:r>
        <w:rPr/>
        <w:t>years,</w:t>
      </w:r>
      <w:r>
        <w:rPr>
          <w:spacing w:val="6"/>
        </w:rPr>
        <w:t> </w:t>
      </w:r>
      <w:r>
        <w:rPr/>
        <w:t>3.49</w:t>
      </w:r>
      <w:r>
        <w:rPr>
          <w:rFonts w:ascii="Cambria Math" w:hAnsi="Cambria Math"/>
        </w:rPr>
        <w:t>±</w:t>
      </w:r>
    </w:p>
    <w:p>
      <w:pPr>
        <w:pStyle w:val="BodyText"/>
        <w:spacing w:line="355" w:lineRule="auto" w:before="141"/>
        <w:ind w:left="820" w:right="1433"/>
      </w:pPr>
      <w:r>
        <w:rPr/>
        <w:t>0.28</w:t>
      </w:r>
      <w:r>
        <w:rPr>
          <w:spacing w:val="27"/>
        </w:rPr>
        <w:t> </w:t>
      </w:r>
      <w:r>
        <w:rPr/>
        <w:t>years,</w:t>
      </w:r>
      <w:r>
        <w:rPr>
          <w:spacing w:val="30"/>
        </w:rPr>
        <w:t> </w:t>
      </w:r>
      <w:r>
        <w:rPr/>
        <w:t>and</w:t>
      </w:r>
      <w:r>
        <w:rPr>
          <w:spacing w:val="27"/>
        </w:rPr>
        <w:t> </w:t>
      </w:r>
      <w:r>
        <w:rPr/>
        <w:t>4.26</w:t>
      </w:r>
      <w:r>
        <w:rPr>
          <w:spacing w:val="26"/>
        </w:rPr>
        <w:t>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24"/>
        </w:rPr>
        <w:t> </w:t>
      </w:r>
      <w:r>
        <w:rPr/>
        <w:t>0.78</w:t>
      </w:r>
      <w:r>
        <w:rPr>
          <w:spacing w:val="23"/>
        </w:rPr>
        <w:t> </w:t>
      </w:r>
      <w:r>
        <w:rPr/>
        <w:t>years</w:t>
      </w:r>
      <w:r>
        <w:rPr>
          <w:spacing w:val="26"/>
        </w:rPr>
        <w:t> </w:t>
      </w:r>
      <w:r>
        <w:rPr/>
        <w:t>respectively;</w:t>
      </w:r>
      <w:r>
        <w:rPr>
          <w:spacing w:val="33"/>
        </w:rPr>
        <w:t> </w:t>
      </w:r>
      <w:r>
        <w:rPr/>
        <w:t>however,</w:t>
      </w:r>
      <w:r>
        <w:rPr>
          <w:spacing w:val="30"/>
        </w:rPr>
        <w:t> </w:t>
      </w:r>
      <w:r>
        <w:rPr/>
        <w:t>at</w:t>
      </w:r>
      <w:r>
        <w:rPr>
          <w:spacing w:val="28"/>
        </w:rPr>
        <w:t> </w:t>
      </w:r>
      <w:r>
        <w:rPr/>
        <w:t>p&lt;0.05,</w:t>
      </w:r>
      <w:r>
        <w:rPr>
          <w:spacing w:val="26"/>
        </w:rPr>
        <w:t> </w:t>
      </w:r>
      <w:r>
        <w:rPr/>
        <w:t>there</w:t>
      </w:r>
      <w:r>
        <w:rPr>
          <w:spacing w:val="27"/>
        </w:rPr>
        <w:t> </w:t>
      </w:r>
      <w:r>
        <w:rPr/>
        <w:t>was</w:t>
      </w:r>
      <w:r>
        <w:rPr>
          <w:spacing w:val="26"/>
        </w:rPr>
        <w:t> </w:t>
      </w:r>
      <w:r>
        <w:rPr/>
        <w:t>no</w:t>
      </w:r>
      <w:r>
        <w:rPr>
          <w:spacing w:val="27"/>
        </w:rPr>
        <w:t> </w:t>
      </w:r>
      <w:r>
        <w:rPr/>
        <w:t>statistically</w:t>
      </w:r>
      <w:r>
        <w:rPr>
          <w:spacing w:val="-57"/>
        </w:rPr>
        <w:t> </w:t>
      </w:r>
      <w:r>
        <w:rPr/>
        <w:t>significant</w:t>
      </w:r>
      <w:r>
        <w:rPr>
          <w:spacing w:val="6"/>
        </w:rPr>
        <w:t> </w:t>
      </w:r>
      <w:r>
        <w:rPr/>
        <w:t>difference</w:t>
      </w:r>
      <w:r>
        <w:rPr>
          <w:spacing w:val="6"/>
        </w:rPr>
        <w:t> </w:t>
      </w:r>
      <w:r>
        <w:rPr/>
        <w:t>between</w:t>
      </w:r>
      <w:r>
        <w:rPr>
          <w:spacing w:val="-3"/>
        </w:rPr>
        <w:t> </w:t>
      </w:r>
      <w:r>
        <w:rPr/>
        <w:t>them</w:t>
      </w:r>
      <w:r>
        <w:rPr>
          <w:spacing w:val="-8"/>
        </w:rPr>
        <w:t> </w:t>
      </w:r>
      <w:r>
        <w:rPr/>
        <w:t>(Figure</w:t>
      </w:r>
      <w:r>
        <w:rPr>
          <w:spacing w:val="1"/>
        </w:rPr>
        <w:t> </w:t>
      </w:r>
      <w:r>
        <w:rPr/>
        <w:t>4.2).</w:t>
      </w:r>
    </w:p>
    <w:p>
      <w:pPr>
        <w:pStyle w:val="BodyText"/>
        <w:spacing w:line="360" w:lineRule="auto" w:before="212"/>
        <w:ind w:left="820" w:right="1433"/>
      </w:pPr>
      <w:r>
        <w:rPr/>
        <w:t>The</w:t>
      </w:r>
      <w:r>
        <w:rPr>
          <w:spacing w:val="17"/>
        </w:rPr>
        <w:t> </w:t>
      </w:r>
      <w:r>
        <w:rPr/>
        <w:t>common</w:t>
      </w:r>
      <w:r>
        <w:rPr>
          <w:spacing w:val="13"/>
        </w:rPr>
        <w:t> </w:t>
      </w:r>
      <w:r>
        <w:rPr/>
        <w:t>clinical</w:t>
      </w:r>
      <w:r>
        <w:rPr>
          <w:spacing w:val="14"/>
        </w:rPr>
        <w:t> </w:t>
      </w:r>
      <w:r>
        <w:rPr/>
        <w:t>features</w:t>
      </w:r>
      <w:r>
        <w:rPr>
          <w:spacing w:val="16"/>
        </w:rPr>
        <w:t> </w:t>
      </w:r>
      <w:r>
        <w:rPr/>
        <w:t>experienced</w:t>
      </w:r>
      <w:r>
        <w:rPr>
          <w:spacing w:val="18"/>
        </w:rPr>
        <w:t> </w:t>
      </w:r>
      <w:r>
        <w:rPr/>
        <w:t>by</w:t>
      </w:r>
      <w:r>
        <w:rPr>
          <w:spacing w:val="13"/>
        </w:rPr>
        <w:t> </w:t>
      </w:r>
      <w:r>
        <w:rPr/>
        <w:t>the</w:t>
      </w:r>
      <w:r>
        <w:rPr>
          <w:spacing w:val="22"/>
        </w:rPr>
        <w:t> </w:t>
      </w:r>
      <w:r>
        <w:rPr/>
        <w:t>sickle</w:t>
      </w:r>
      <w:r>
        <w:rPr>
          <w:spacing w:val="17"/>
        </w:rPr>
        <w:t> </w:t>
      </w:r>
      <w:r>
        <w:rPr/>
        <w:t>cell</w:t>
      </w:r>
      <w:r>
        <w:rPr>
          <w:spacing w:val="9"/>
        </w:rPr>
        <w:t> </w:t>
      </w:r>
      <w:r>
        <w:rPr/>
        <w:t>disease</w:t>
      </w:r>
      <w:r>
        <w:rPr>
          <w:spacing w:val="17"/>
        </w:rPr>
        <w:t> </w:t>
      </w:r>
      <w:r>
        <w:rPr/>
        <w:t>patients</w:t>
      </w:r>
      <w:r>
        <w:rPr>
          <w:spacing w:val="16"/>
        </w:rPr>
        <w:t> </w:t>
      </w:r>
      <w:r>
        <w:rPr/>
        <w:t>are</w:t>
      </w:r>
      <w:r>
        <w:rPr>
          <w:spacing w:val="17"/>
        </w:rPr>
        <w:t> </w:t>
      </w:r>
      <w:r>
        <w:rPr/>
        <w:t>seen</w:t>
      </w:r>
      <w:r>
        <w:rPr>
          <w:spacing w:val="18"/>
        </w:rPr>
        <w:t> </w:t>
      </w:r>
      <w:r>
        <w:rPr/>
        <w:t>in</w:t>
      </w:r>
      <w:r>
        <w:rPr>
          <w:spacing w:val="14"/>
        </w:rPr>
        <w:t> </w:t>
      </w:r>
      <w:r>
        <w:rPr/>
        <w:t>Figure</w:t>
      </w:r>
      <w:r>
        <w:rPr>
          <w:spacing w:val="-57"/>
        </w:rPr>
        <w:t> </w:t>
      </w:r>
      <w:r>
        <w:rPr/>
        <w:t>4.3;</w:t>
      </w:r>
      <w:r>
        <w:rPr>
          <w:spacing w:val="10"/>
        </w:rPr>
        <w:t> </w:t>
      </w:r>
      <w:r>
        <w:rPr/>
        <w:t>they</w:t>
      </w:r>
      <w:r>
        <w:rPr>
          <w:spacing w:val="10"/>
        </w:rPr>
        <w:t> </w:t>
      </w:r>
      <w:r>
        <w:rPr/>
        <w:t>are</w:t>
      </w:r>
      <w:r>
        <w:rPr>
          <w:spacing w:val="13"/>
        </w:rPr>
        <w:t> </w:t>
      </w:r>
      <w:r>
        <w:rPr/>
        <w:t>bone</w:t>
      </w:r>
      <w:r>
        <w:rPr>
          <w:spacing w:val="13"/>
        </w:rPr>
        <w:t> </w:t>
      </w:r>
      <w:r>
        <w:rPr/>
        <w:t>pains</w:t>
      </w:r>
      <w:r>
        <w:rPr>
          <w:spacing w:val="12"/>
        </w:rPr>
        <w:t> </w:t>
      </w:r>
      <w:r>
        <w:rPr/>
        <w:t>(74%),</w:t>
      </w:r>
      <w:r>
        <w:rPr>
          <w:spacing w:val="17"/>
        </w:rPr>
        <w:t> </w:t>
      </w:r>
      <w:r>
        <w:rPr/>
        <w:t>headache</w:t>
      </w:r>
      <w:r>
        <w:rPr>
          <w:spacing w:val="13"/>
        </w:rPr>
        <w:t> </w:t>
      </w:r>
      <w:r>
        <w:rPr/>
        <w:t>(51%),</w:t>
      </w:r>
      <w:r>
        <w:rPr>
          <w:spacing w:val="17"/>
        </w:rPr>
        <w:t> </w:t>
      </w:r>
      <w:r>
        <w:rPr/>
        <w:t>jaundice</w:t>
      </w:r>
      <w:r>
        <w:rPr>
          <w:spacing w:val="13"/>
        </w:rPr>
        <w:t> </w:t>
      </w:r>
      <w:r>
        <w:rPr/>
        <w:t>(46%),</w:t>
      </w:r>
      <w:r>
        <w:rPr>
          <w:spacing w:val="17"/>
        </w:rPr>
        <w:t> </w:t>
      </w:r>
      <w:r>
        <w:rPr/>
        <w:t>urinary</w:t>
      </w:r>
      <w:r>
        <w:rPr>
          <w:spacing w:val="10"/>
        </w:rPr>
        <w:t> </w:t>
      </w:r>
      <w:r>
        <w:rPr/>
        <w:t>tract</w:t>
      </w:r>
      <w:r>
        <w:rPr>
          <w:spacing w:val="19"/>
        </w:rPr>
        <w:t> </w:t>
      </w:r>
      <w:r>
        <w:rPr/>
        <w:t>infection</w:t>
      </w:r>
      <w:r>
        <w:rPr>
          <w:spacing w:val="10"/>
        </w:rPr>
        <w:t> </w:t>
      </w:r>
      <w:r>
        <w:rPr/>
        <w:t>(30%),</w:t>
      </w:r>
    </w:p>
    <w:p>
      <w:pPr>
        <w:pStyle w:val="BodyText"/>
        <w:spacing w:line="274" w:lineRule="exact"/>
        <w:ind w:left="820"/>
      </w:pPr>
      <w:r>
        <w:rPr/>
        <w:t>anaemia (23%),</w:t>
      </w:r>
      <w:r>
        <w:rPr>
          <w:spacing w:val="4"/>
        </w:rPr>
        <w:t> </w:t>
      </w:r>
      <w:r>
        <w:rPr/>
        <w:t>septicaemia (20%),</w:t>
      </w:r>
      <w:r>
        <w:rPr>
          <w:spacing w:val="4"/>
        </w:rPr>
        <w:t> </w:t>
      </w:r>
      <w:r>
        <w:rPr/>
        <w:t>priapism</w:t>
      </w:r>
      <w:r>
        <w:rPr>
          <w:spacing w:val="-2"/>
        </w:rPr>
        <w:t> </w:t>
      </w:r>
      <w:r>
        <w:rPr/>
        <w:t>(18%),</w:t>
      </w:r>
      <w:r>
        <w:rPr>
          <w:spacing w:val="-2"/>
        </w:rPr>
        <w:t> </w:t>
      </w:r>
      <w:r>
        <w:rPr/>
        <w:t>acute</w:t>
      </w:r>
      <w:r>
        <w:rPr>
          <w:spacing w:val="6"/>
        </w:rPr>
        <w:t> </w:t>
      </w:r>
      <w:r>
        <w:rPr/>
        <w:t>chest</w:t>
      </w:r>
      <w:r>
        <w:rPr>
          <w:spacing w:val="6"/>
        </w:rPr>
        <w:t> </w:t>
      </w:r>
      <w:r>
        <w:rPr/>
        <w:t>syndrome</w:t>
      </w:r>
      <w:r>
        <w:rPr>
          <w:spacing w:val="1"/>
        </w:rPr>
        <w:t> </w:t>
      </w:r>
      <w:r>
        <w:rPr/>
        <w:t>(17%),</w:t>
      </w:r>
      <w:r>
        <w:rPr>
          <w:spacing w:val="3"/>
        </w:rPr>
        <w:t> </w:t>
      </w:r>
      <w:r>
        <w:rPr/>
        <w:t>hepatomegaly</w:t>
      </w:r>
    </w:p>
    <w:p>
      <w:pPr>
        <w:pStyle w:val="BodyText"/>
        <w:spacing w:before="136"/>
        <w:ind w:left="820"/>
      </w:pPr>
      <w:r>
        <w:rPr/>
        <w:t>(14%),</w:t>
      </w:r>
      <w:r>
        <w:rPr>
          <w:spacing w:val="99"/>
        </w:rPr>
        <w:t> </w:t>
      </w:r>
      <w:r>
        <w:rPr/>
        <w:t>haematuria</w:t>
      </w:r>
      <w:r>
        <w:rPr>
          <w:spacing w:val="97"/>
        </w:rPr>
        <w:t> </w:t>
      </w:r>
      <w:r>
        <w:rPr/>
        <w:t>(14%),</w:t>
      </w:r>
      <w:r>
        <w:rPr>
          <w:spacing w:val="100"/>
        </w:rPr>
        <w:t> </w:t>
      </w:r>
      <w:r>
        <w:rPr/>
        <w:t>osteomyelitis</w:t>
      </w:r>
      <w:r>
        <w:rPr>
          <w:spacing w:val="100"/>
        </w:rPr>
        <w:t> </w:t>
      </w:r>
      <w:r>
        <w:rPr/>
        <w:t>(12%),</w:t>
      </w:r>
      <w:r>
        <w:rPr>
          <w:spacing w:val="100"/>
        </w:rPr>
        <w:t> </w:t>
      </w:r>
      <w:r>
        <w:rPr/>
        <w:t>avascular</w:t>
      </w:r>
      <w:r>
        <w:rPr>
          <w:spacing w:val="108"/>
        </w:rPr>
        <w:t> </w:t>
      </w:r>
      <w:r>
        <w:rPr/>
        <w:t>necrosis</w:t>
      </w:r>
      <w:r>
        <w:rPr>
          <w:spacing w:val="105"/>
        </w:rPr>
        <w:t> </w:t>
      </w:r>
      <w:r>
        <w:rPr/>
        <w:t>femoral</w:t>
      </w:r>
      <w:r>
        <w:rPr>
          <w:spacing w:val="94"/>
        </w:rPr>
        <w:t> </w:t>
      </w:r>
      <w:r>
        <w:rPr/>
        <w:t>head</w:t>
      </w:r>
      <w:r>
        <w:rPr>
          <w:spacing w:val="98"/>
        </w:rPr>
        <w:t> </w:t>
      </w:r>
      <w:r>
        <w:rPr/>
        <w:t>(10%),</w:t>
      </w:r>
    </w:p>
    <w:p>
      <w:pPr>
        <w:pStyle w:val="BodyText"/>
        <w:spacing w:line="355" w:lineRule="auto" w:before="142"/>
        <w:ind w:left="820" w:right="1433"/>
      </w:pPr>
      <w:r>
        <w:rPr/>
        <w:t>gnathopathy</w:t>
      </w:r>
      <w:r>
        <w:rPr>
          <w:spacing w:val="33"/>
        </w:rPr>
        <w:t> </w:t>
      </w:r>
      <w:r>
        <w:rPr/>
        <w:t>(10%),</w:t>
      </w:r>
      <w:r>
        <w:rPr>
          <w:spacing w:val="49"/>
        </w:rPr>
        <w:t> </w:t>
      </w:r>
      <w:r>
        <w:rPr/>
        <w:t>leg</w:t>
      </w:r>
      <w:r>
        <w:rPr>
          <w:spacing w:val="42"/>
        </w:rPr>
        <w:t> </w:t>
      </w:r>
      <w:r>
        <w:rPr/>
        <w:t>ulcers</w:t>
      </w:r>
      <w:r>
        <w:rPr>
          <w:spacing w:val="40"/>
        </w:rPr>
        <w:t> </w:t>
      </w:r>
      <w:r>
        <w:rPr/>
        <w:t>(8%),</w:t>
      </w:r>
      <w:r>
        <w:rPr>
          <w:spacing w:val="44"/>
        </w:rPr>
        <w:t> </w:t>
      </w:r>
      <w:r>
        <w:rPr/>
        <w:t>eye</w:t>
      </w:r>
      <w:r>
        <w:rPr>
          <w:spacing w:val="42"/>
        </w:rPr>
        <w:t> </w:t>
      </w:r>
      <w:r>
        <w:rPr/>
        <w:t>disorder</w:t>
      </w:r>
      <w:r>
        <w:rPr>
          <w:spacing w:val="44"/>
        </w:rPr>
        <w:t> </w:t>
      </w:r>
      <w:r>
        <w:rPr/>
        <w:t>(8%),</w:t>
      </w:r>
      <w:r>
        <w:rPr>
          <w:spacing w:val="44"/>
        </w:rPr>
        <w:t> </w:t>
      </w:r>
      <w:r>
        <w:rPr/>
        <w:t>frontal</w:t>
      </w:r>
      <w:r>
        <w:rPr>
          <w:spacing w:val="38"/>
        </w:rPr>
        <w:t> </w:t>
      </w:r>
      <w:r>
        <w:rPr/>
        <w:t>bossing</w:t>
      </w:r>
      <w:r>
        <w:rPr>
          <w:spacing w:val="42"/>
        </w:rPr>
        <w:t> </w:t>
      </w:r>
      <w:r>
        <w:rPr/>
        <w:t>(3%),</w:t>
      </w:r>
      <w:r>
        <w:rPr>
          <w:spacing w:val="44"/>
        </w:rPr>
        <w:t> </w:t>
      </w:r>
      <w:r>
        <w:rPr/>
        <w:t>and</w:t>
      </w:r>
      <w:r>
        <w:rPr>
          <w:spacing w:val="47"/>
        </w:rPr>
        <w:t> </w:t>
      </w:r>
      <w:r>
        <w:rPr/>
        <w:t>avascular</w:t>
      </w:r>
      <w:r>
        <w:rPr>
          <w:spacing w:val="-57"/>
        </w:rPr>
        <w:t> </w:t>
      </w:r>
      <w:r>
        <w:rPr/>
        <w:t>necrosis</w:t>
      </w:r>
      <w:r>
        <w:rPr>
          <w:spacing w:val="-1"/>
        </w:rPr>
        <w:t> </w:t>
      </w:r>
      <w:r>
        <w:rPr/>
        <w:t>humeral</w:t>
      </w:r>
      <w:r>
        <w:rPr>
          <w:spacing w:val="3"/>
        </w:rPr>
        <w:t> </w:t>
      </w:r>
      <w:r>
        <w:rPr/>
        <w:t>head</w:t>
      </w:r>
      <w:r>
        <w:rPr>
          <w:spacing w:val="2"/>
        </w:rPr>
        <w:t> </w:t>
      </w:r>
      <w:r>
        <w:rPr/>
        <w:t>(3%).</w:t>
      </w:r>
    </w:p>
    <w:p>
      <w:pPr>
        <w:pStyle w:val="BodyText"/>
        <w:spacing w:line="357" w:lineRule="auto" w:before="210"/>
        <w:ind w:left="820" w:right="1444"/>
        <w:jc w:val="both"/>
      </w:pPr>
      <w:r>
        <w:rPr/>
        <w:t>Among the SCD patients, 51% had an average of two episodes of crises per year, 23% had an</w:t>
      </w:r>
      <w:r>
        <w:rPr>
          <w:spacing w:val="1"/>
        </w:rPr>
        <w:t> </w:t>
      </w:r>
      <w:r>
        <w:rPr/>
        <w:t>average of one, 16% had an average of three, 8% had an average of less than one, while, only 2%</w:t>
      </w:r>
      <w:r>
        <w:rPr>
          <w:spacing w:val="-57"/>
        </w:rPr>
        <w:t> </w:t>
      </w:r>
      <w:r>
        <w:rPr/>
        <w:t>had</w:t>
      </w:r>
      <w:r>
        <w:rPr>
          <w:spacing w:val="6"/>
        </w:rPr>
        <w:t> </w:t>
      </w:r>
      <w:r>
        <w:rPr/>
        <w:t>more than</w:t>
      </w:r>
      <w:r>
        <w:rPr>
          <w:spacing w:val="-3"/>
        </w:rPr>
        <w:t> </w:t>
      </w:r>
      <w:r>
        <w:rPr/>
        <w:t>three crises episodes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5"/>
        </w:rPr>
        <w:t> </w:t>
      </w:r>
      <w:r>
        <w:rPr/>
        <w:t>year</w:t>
      </w:r>
      <w:r>
        <w:rPr>
          <w:spacing w:val="3"/>
        </w:rPr>
        <w:t> </w:t>
      </w:r>
      <w:r>
        <w:rPr/>
        <w:t>(Table 4.4).</w:t>
      </w:r>
    </w:p>
    <w:p>
      <w:pPr>
        <w:pStyle w:val="BodyText"/>
        <w:spacing w:line="360" w:lineRule="auto" w:before="207"/>
        <w:ind w:left="820" w:right="1446"/>
        <w:jc w:val="both"/>
      </w:pPr>
      <w:r>
        <w:rPr/>
        <w:t>The following presentations were observed during crises episodes of the patients: vaso occlusive</w:t>
      </w:r>
      <w:r>
        <w:rPr>
          <w:spacing w:val="1"/>
        </w:rPr>
        <w:t> </w:t>
      </w:r>
      <w:r>
        <w:rPr/>
        <w:t>crises</w:t>
      </w:r>
      <w:r>
        <w:rPr>
          <w:spacing w:val="34"/>
        </w:rPr>
        <w:t> </w:t>
      </w:r>
      <w:r>
        <w:rPr/>
        <w:t>(63%),</w:t>
      </w:r>
      <w:r>
        <w:rPr>
          <w:spacing w:val="39"/>
        </w:rPr>
        <w:t> </w:t>
      </w:r>
      <w:r>
        <w:rPr/>
        <w:t>headache</w:t>
      </w:r>
      <w:r>
        <w:rPr>
          <w:spacing w:val="35"/>
        </w:rPr>
        <w:t> </w:t>
      </w:r>
      <w:r>
        <w:rPr/>
        <w:t>(11%),</w:t>
      </w:r>
      <w:r>
        <w:rPr>
          <w:spacing w:val="39"/>
        </w:rPr>
        <w:t> </w:t>
      </w:r>
      <w:r>
        <w:rPr/>
        <w:t>epigastric</w:t>
      </w:r>
      <w:r>
        <w:rPr>
          <w:spacing w:val="35"/>
        </w:rPr>
        <w:t> </w:t>
      </w:r>
      <w:r>
        <w:rPr/>
        <w:t>pain</w:t>
      </w:r>
      <w:r>
        <w:rPr>
          <w:spacing w:val="33"/>
        </w:rPr>
        <w:t> </w:t>
      </w:r>
      <w:r>
        <w:rPr/>
        <w:t>(8%),</w:t>
      </w:r>
      <w:r>
        <w:rPr>
          <w:spacing w:val="39"/>
        </w:rPr>
        <w:t> </w:t>
      </w:r>
      <w:r>
        <w:rPr/>
        <w:t>avascular</w:t>
      </w:r>
      <w:r>
        <w:rPr>
          <w:spacing w:val="38"/>
        </w:rPr>
        <w:t> </w:t>
      </w:r>
      <w:r>
        <w:rPr/>
        <w:t>necrosis</w:t>
      </w:r>
      <w:r>
        <w:rPr>
          <w:spacing w:val="34"/>
        </w:rPr>
        <w:t> </w:t>
      </w:r>
      <w:r>
        <w:rPr/>
        <w:t>(6%),</w:t>
      </w:r>
      <w:r>
        <w:rPr>
          <w:spacing w:val="39"/>
        </w:rPr>
        <w:t> </w:t>
      </w:r>
      <w:r>
        <w:rPr/>
        <w:t>priapism</w:t>
      </w:r>
      <w:r>
        <w:rPr>
          <w:spacing w:val="32"/>
        </w:rPr>
        <w:t> </w:t>
      </w:r>
      <w:r>
        <w:rPr/>
        <w:t>(6%),</w:t>
      </w:r>
    </w:p>
    <w:p>
      <w:pPr>
        <w:pStyle w:val="BodyText"/>
        <w:spacing w:line="274" w:lineRule="exact"/>
        <w:ind w:left="820"/>
        <w:jc w:val="both"/>
      </w:pPr>
      <w:r>
        <w:rPr/>
        <w:t>osteomyelitis</w:t>
      </w:r>
      <w:r>
        <w:rPr>
          <w:spacing w:val="-4"/>
        </w:rPr>
        <w:t> </w:t>
      </w:r>
      <w:r>
        <w:rPr/>
        <w:t>(4%), and</w:t>
      </w:r>
      <w:r>
        <w:rPr>
          <w:spacing w:val="3"/>
        </w:rPr>
        <w:t> </w:t>
      </w:r>
      <w:r>
        <w:rPr/>
        <w:t>leg</w:t>
      </w:r>
      <w:r>
        <w:rPr>
          <w:spacing w:val="-2"/>
        </w:rPr>
        <w:t> </w:t>
      </w:r>
      <w:r>
        <w:rPr/>
        <w:t>ulcers</w:t>
      </w:r>
      <w:r>
        <w:rPr>
          <w:spacing w:val="-4"/>
        </w:rPr>
        <w:t> </w:t>
      </w:r>
      <w:r>
        <w:rPr/>
        <w:t>(2%)</w:t>
      </w:r>
      <w:r>
        <w:rPr>
          <w:spacing w:val="54"/>
        </w:rPr>
        <w:t> </w:t>
      </w:r>
      <w:r>
        <w:rPr/>
        <w:t>(Table</w:t>
      </w:r>
      <w:r>
        <w:rPr>
          <w:spacing w:val="-3"/>
        </w:rPr>
        <w:t> </w:t>
      </w:r>
      <w:r>
        <w:rPr/>
        <w:t>4.4).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7" w:lineRule="auto"/>
        <w:ind w:left="820" w:right="1442"/>
        <w:jc w:val="both"/>
      </w:pPr>
      <w:r>
        <w:rPr/>
        <w:t>There were 19% patients who had never been on hospital admission, 46% were admitted once in</w:t>
      </w:r>
      <w:r>
        <w:rPr>
          <w:spacing w:val="1"/>
        </w:rPr>
        <w:t> </w:t>
      </w:r>
      <w:r>
        <w:rPr/>
        <w:t>a year, 27% had been admitted two times in a year, 6% had been admitted three times in a year,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2%</w:t>
      </w:r>
      <w:r>
        <w:rPr>
          <w:spacing w:val="3"/>
        </w:rPr>
        <w:t> </w:t>
      </w:r>
      <w:r>
        <w:rPr/>
        <w:t>had</w:t>
      </w:r>
      <w:r>
        <w:rPr>
          <w:spacing w:val="2"/>
        </w:rPr>
        <w:t> </w:t>
      </w:r>
      <w:r>
        <w:rPr/>
        <w:t>been</w:t>
      </w:r>
      <w:r>
        <w:rPr>
          <w:spacing w:val="-4"/>
        </w:rPr>
        <w:t> </w:t>
      </w:r>
      <w:r>
        <w:rPr/>
        <w:t>admitted</w:t>
      </w:r>
      <w:r>
        <w:rPr>
          <w:spacing w:val="2"/>
        </w:rPr>
        <w:t> </w:t>
      </w:r>
      <w:r>
        <w:rPr/>
        <w:t>four</w:t>
      </w:r>
      <w:r>
        <w:rPr>
          <w:spacing w:val="-2"/>
        </w:rPr>
        <w:t> </w:t>
      </w:r>
      <w:r>
        <w:rPr/>
        <w:t>times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5"/>
        </w:rPr>
        <w:t> </w:t>
      </w:r>
      <w:r>
        <w:rPr/>
        <w:t>year</w:t>
      </w:r>
      <w:r>
        <w:rPr>
          <w:spacing w:val="3"/>
        </w:rPr>
        <w:t> </w:t>
      </w:r>
      <w:r>
        <w:rPr/>
        <w:t>(Table 4.5).</w:t>
      </w:r>
    </w:p>
    <w:p>
      <w:pPr>
        <w:pStyle w:val="BodyText"/>
        <w:spacing w:line="360" w:lineRule="auto" w:before="207"/>
        <w:ind w:left="820" w:right="1440"/>
        <w:jc w:val="both"/>
      </w:pPr>
      <w:r>
        <w:rPr/>
        <w:t>The common presentations which led to hospital admissions in the SCD patients are seen in</w:t>
      </w:r>
      <w:r>
        <w:rPr>
          <w:spacing w:val="1"/>
        </w:rPr>
        <w:t> </w:t>
      </w:r>
      <w:r>
        <w:rPr/>
        <w:t>Figure</w:t>
      </w:r>
      <w:r>
        <w:rPr>
          <w:spacing w:val="50"/>
        </w:rPr>
        <w:t> </w:t>
      </w:r>
      <w:r>
        <w:rPr/>
        <w:t>4.4.</w:t>
      </w:r>
      <w:r>
        <w:rPr>
          <w:spacing w:val="48"/>
        </w:rPr>
        <w:t> </w:t>
      </w:r>
      <w:r>
        <w:rPr/>
        <w:t>They</w:t>
      </w:r>
      <w:r>
        <w:rPr>
          <w:spacing w:val="46"/>
        </w:rPr>
        <w:t> </w:t>
      </w:r>
      <w:r>
        <w:rPr/>
        <w:t>include,</w:t>
      </w:r>
      <w:r>
        <w:rPr>
          <w:spacing w:val="53"/>
        </w:rPr>
        <w:t> </w:t>
      </w:r>
      <w:r>
        <w:rPr/>
        <w:t>vaso</w:t>
      </w:r>
      <w:r>
        <w:rPr>
          <w:spacing w:val="55"/>
        </w:rPr>
        <w:t> </w:t>
      </w:r>
      <w:r>
        <w:rPr/>
        <w:t>occlusive</w:t>
      </w:r>
      <w:r>
        <w:rPr>
          <w:spacing w:val="50"/>
        </w:rPr>
        <w:t> </w:t>
      </w:r>
      <w:r>
        <w:rPr/>
        <w:t>crises</w:t>
      </w:r>
      <w:r>
        <w:rPr>
          <w:spacing w:val="53"/>
        </w:rPr>
        <w:t> </w:t>
      </w:r>
      <w:r>
        <w:rPr/>
        <w:t>(58%)</w:t>
      </w:r>
      <w:r>
        <w:rPr>
          <w:spacing w:val="49"/>
        </w:rPr>
        <w:t> </w:t>
      </w:r>
      <w:r>
        <w:rPr/>
        <w:t>,</w:t>
      </w:r>
      <w:r>
        <w:rPr>
          <w:spacing w:val="48"/>
        </w:rPr>
        <w:t> </w:t>
      </w:r>
      <w:r>
        <w:rPr/>
        <w:t>priapism</w:t>
      </w:r>
      <w:r>
        <w:rPr>
          <w:spacing w:val="47"/>
        </w:rPr>
        <w:t> </w:t>
      </w:r>
      <w:r>
        <w:rPr/>
        <w:t>(7%),</w:t>
      </w:r>
      <w:r>
        <w:rPr>
          <w:spacing w:val="48"/>
        </w:rPr>
        <w:t> </w:t>
      </w:r>
      <w:r>
        <w:rPr/>
        <w:t>osteomyelitis</w:t>
      </w:r>
      <w:r>
        <w:rPr>
          <w:spacing w:val="49"/>
        </w:rPr>
        <w:t> </w:t>
      </w:r>
      <w:r>
        <w:rPr/>
        <w:t>(6%),</w:t>
      </w:r>
    </w:p>
    <w:p>
      <w:pPr>
        <w:pStyle w:val="BodyText"/>
        <w:spacing w:line="274" w:lineRule="exact"/>
        <w:ind w:left="820"/>
        <w:jc w:val="both"/>
      </w:pPr>
      <w:r>
        <w:rPr/>
        <w:t>septicaemia</w:t>
      </w:r>
      <w:r>
        <w:rPr>
          <w:spacing w:val="-3"/>
        </w:rPr>
        <w:t> </w:t>
      </w:r>
      <w:r>
        <w:rPr/>
        <w:t>(3%),</w:t>
      </w:r>
      <w:r>
        <w:rPr>
          <w:spacing w:val="1"/>
        </w:rPr>
        <w:t> </w:t>
      </w:r>
      <w:r>
        <w:rPr/>
        <w:t>urinary</w:t>
      </w:r>
      <w:r>
        <w:rPr>
          <w:spacing w:val="-6"/>
        </w:rPr>
        <w:t> </w:t>
      </w:r>
      <w:r>
        <w:rPr/>
        <w:t>tract</w:t>
      </w:r>
      <w:r>
        <w:rPr>
          <w:spacing w:val="-1"/>
        </w:rPr>
        <w:t> </w:t>
      </w:r>
      <w:r>
        <w:rPr/>
        <w:t>infection</w:t>
      </w:r>
      <w:r>
        <w:rPr>
          <w:spacing w:val="-6"/>
        </w:rPr>
        <w:t> </w:t>
      </w:r>
      <w:r>
        <w:rPr/>
        <w:t>(3%),</w:t>
      </w:r>
      <w:r>
        <w:rPr>
          <w:spacing w:val="1"/>
        </w:rPr>
        <w:t> </w:t>
      </w:r>
      <w:r>
        <w:rPr/>
        <w:t>pneumonia</w:t>
      </w:r>
      <w:r>
        <w:rPr>
          <w:spacing w:val="-2"/>
        </w:rPr>
        <w:t> </w:t>
      </w:r>
      <w:r>
        <w:rPr/>
        <w:t>(3%), leg</w:t>
      </w:r>
      <w:r>
        <w:rPr>
          <w:spacing w:val="-1"/>
        </w:rPr>
        <w:t> </w:t>
      </w:r>
      <w:r>
        <w:rPr/>
        <w:t>ulcer (3%),</w:t>
      </w:r>
      <w:r>
        <w:rPr>
          <w:spacing w:val="1"/>
        </w:rPr>
        <w:t> </w:t>
      </w:r>
      <w:r>
        <w:rPr/>
        <w:t>chest</w:t>
      </w:r>
      <w:r>
        <w:rPr>
          <w:spacing w:val="3"/>
        </w:rPr>
        <w:t> </w:t>
      </w:r>
      <w:r>
        <w:rPr/>
        <w:t>pain</w:t>
      </w:r>
      <w:r>
        <w:rPr>
          <w:spacing w:val="-6"/>
        </w:rPr>
        <w:t> </w:t>
      </w:r>
      <w:r>
        <w:rPr/>
        <w:t>(3%),</w:t>
      </w:r>
    </w:p>
    <w:p>
      <w:pPr>
        <w:pStyle w:val="BodyText"/>
        <w:spacing w:before="141"/>
        <w:ind w:left="820"/>
      </w:pPr>
      <w:r>
        <w:rPr/>
        <w:t>avascular</w:t>
      </w:r>
      <w:r>
        <w:rPr>
          <w:spacing w:val="60"/>
        </w:rPr>
        <w:t> </w:t>
      </w:r>
      <w:r>
        <w:rPr/>
        <w:t>necrosis</w:t>
      </w:r>
      <w:r>
        <w:rPr>
          <w:spacing w:val="52"/>
        </w:rPr>
        <w:t> </w:t>
      </w:r>
      <w:r>
        <w:rPr/>
        <w:t>(3%),</w:t>
      </w:r>
      <w:r>
        <w:rPr>
          <w:spacing w:val="56"/>
        </w:rPr>
        <w:t> </w:t>
      </w:r>
      <w:r>
        <w:rPr/>
        <w:t>headache</w:t>
      </w:r>
      <w:r>
        <w:rPr>
          <w:spacing w:val="54"/>
        </w:rPr>
        <w:t> </w:t>
      </w:r>
      <w:r>
        <w:rPr/>
        <w:t>(2%),</w:t>
      </w:r>
      <w:r>
        <w:rPr>
          <w:spacing w:val="52"/>
        </w:rPr>
        <w:t> </w:t>
      </w:r>
      <w:r>
        <w:rPr/>
        <w:t>tuberculosis</w:t>
      </w:r>
      <w:r>
        <w:rPr>
          <w:spacing w:val="51"/>
        </w:rPr>
        <w:t> </w:t>
      </w:r>
      <w:r>
        <w:rPr/>
        <w:t>(1%),</w:t>
      </w:r>
      <w:r>
        <w:rPr>
          <w:spacing w:val="57"/>
        </w:rPr>
        <w:t> </w:t>
      </w:r>
      <w:r>
        <w:rPr/>
        <w:t>pregnancy</w:t>
      </w:r>
      <w:r>
        <w:rPr>
          <w:spacing w:val="50"/>
        </w:rPr>
        <w:t> </w:t>
      </w:r>
      <w:r>
        <w:rPr/>
        <w:t>(1%),</w:t>
      </w:r>
      <w:r>
        <w:rPr>
          <w:spacing w:val="56"/>
        </w:rPr>
        <w:t> </w:t>
      </w:r>
      <w:r>
        <w:rPr/>
        <w:t>nose</w:t>
      </w:r>
      <w:r>
        <w:rPr>
          <w:spacing w:val="54"/>
        </w:rPr>
        <w:t> </w:t>
      </w:r>
      <w:r>
        <w:rPr/>
        <w:t>bleeding</w:t>
      </w:r>
    </w:p>
    <w:p>
      <w:pPr>
        <w:pStyle w:val="BodyText"/>
        <w:spacing w:before="137"/>
        <w:ind w:left="820"/>
      </w:pPr>
      <w:r>
        <w:rPr/>
        <w:t>(1%),</w:t>
      </w:r>
      <w:r>
        <w:rPr>
          <w:spacing w:val="70"/>
        </w:rPr>
        <w:t> </w:t>
      </w:r>
      <w:r>
        <w:rPr/>
        <w:t>miscarriage</w:t>
      </w:r>
      <w:r>
        <w:rPr>
          <w:spacing w:val="67"/>
        </w:rPr>
        <w:t> </w:t>
      </w:r>
      <w:r>
        <w:rPr/>
        <w:t>(1%),</w:t>
      </w:r>
      <w:r>
        <w:rPr>
          <w:spacing w:val="71"/>
        </w:rPr>
        <w:t> </w:t>
      </w:r>
      <w:r>
        <w:rPr/>
        <w:t>epigastric</w:t>
      </w:r>
      <w:r>
        <w:rPr>
          <w:spacing w:val="67"/>
        </w:rPr>
        <w:t> </w:t>
      </w:r>
      <w:r>
        <w:rPr/>
        <w:t>pain</w:t>
      </w:r>
      <w:r>
        <w:rPr>
          <w:spacing w:val="64"/>
        </w:rPr>
        <w:t> </w:t>
      </w:r>
      <w:r>
        <w:rPr/>
        <w:t>(1%),</w:t>
      </w:r>
      <w:r>
        <w:rPr>
          <w:spacing w:val="65"/>
        </w:rPr>
        <w:t> </w:t>
      </w:r>
      <w:r>
        <w:rPr/>
        <w:t>diarrhoea</w:t>
      </w:r>
      <w:r>
        <w:rPr>
          <w:spacing w:val="68"/>
        </w:rPr>
        <w:t> </w:t>
      </w:r>
      <w:r>
        <w:rPr/>
        <w:t>(1%),</w:t>
      </w:r>
      <w:r>
        <w:rPr>
          <w:spacing w:val="70"/>
        </w:rPr>
        <w:t> </w:t>
      </w:r>
      <w:r>
        <w:rPr/>
        <w:t>cholelithiasis</w:t>
      </w:r>
      <w:r>
        <w:rPr>
          <w:spacing w:val="67"/>
        </w:rPr>
        <w:t> </w:t>
      </w:r>
      <w:r>
        <w:rPr/>
        <w:t>(1%),</w:t>
      </w:r>
      <w:r>
        <w:rPr>
          <w:spacing w:val="70"/>
        </w:rPr>
        <w:t> </w:t>
      </w:r>
      <w:r>
        <w:rPr/>
        <w:t>cardiac</w:t>
      </w:r>
    </w:p>
    <w:p>
      <w:pPr>
        <w:pStyle w:val="BodyText"/>
        <w:spacing w:before="132"/>
        <w:ind w:left="820"/>
      </w:pPr>
      <w:r>
        <w:rPr/>
        <w:t>decompensation</w:t>
      </w:r>
      <w:r>
        <w:rPr>
          <w:spacing w:val="-8"/>
        </w:rPr>
        <w:t> </w:t>
      </w:r>
      <w:r>
        <w:rPr/>
        <w:t>(1%),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accident</w:t>
      </w:r>
      <w:r>
        <w:rPr>
          <w:spacing w:val="2"/>
        </w:rPr>
        <w:t> </w:t>
      </w:r>
      <w:r>
        <w:rPr/>
        <w:t>(1%).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360" w:lineRule="auto"/>
        <w:ind w:left="820" w:right="1445"/>
        <w:jc w:val="both"/>
      </w:pPr>
      <w:r>
        <w:rPr/>
        <w:t>Some</w:t>
      </w:r>
      <w:r>
        <w:rPr>
          <w:spacing w:val="13"/>
        </w:rPr>
        <w:t> </w:t>
      </w:r>
      <w:r>
        <w:rPr/>
        <w:t>patients</w:t>
      </w:r>
      <w:r>
        <w:rPr>
          <w:spacing w:val="12"/>
        </w:rPr>
        <w:t> </w:t>
      </w:r>
      <w:r>
        <w:rPr/>
        <w:t>had</w:t>
      </w:r>
      <w:r>
        <w:rPr>
          <w:spacing w:val="18"/>
        </w:rPr>
        <w:t> </w:t>
      </w:r>
      <w:r>
        <w:rPr/>
        <w:t>never</w:t>
      </w:r>
      <w:r>
        <w:rPr>
          <w:spacing w:val="21"/>
        </w:rPr>
        <w:t> </w:t>
      </w:r>
      <w:r>
        <w:rPr/>
        <w:t>been</w:t>
      </w:r>
      <w:r>
        <w:rPr>
          <w:spacing w:val="10"/>
        </w:rPr>
        <w:t> </w:t>
      </w:r>
      <w:r>
        <w:rPr/>
        <w:t>transfused</w:t>
      </w:r>
      <w:r>
        <w:rPr>
          <w:spacing w:val="14"/>
        </w:rPr>
        <w:t> </w:t>
      </w:r>
      <w:r>
        <w:rPr/>
        <w:t>(32%),</w:t>
      </w:r>
      <w:r>
        <w:rPr>
          <w:spacing w:val="12"/>
        </w:rPr>
        <w:t> </w:t>
      </w:r>
      <w:r>
        <w:rPr/>
        <w:t>36%</w:t>
      </w:r>
      <w:r>
        <w:rPr>
          <w:spacing w:val="16"/>
        </w:rPr>
        <w:t> </w:t>
      </w:r>
      <w:r>
        <w:rPr/>
        <w:t>did</w:t>
      </w:r>
      <w:r>
        <w:rPr>
          <w:spacing w:val="19"/>
        </w:rPr>
        <w:t> </w:t>
      </w:r>
      <w:r>
        <w:rPr/>
        <w:t>not</w:t>
      </w:r>
      <w:r>
        <w:rPr>
          <w:spacing w:val="19"/>
        </w:rPr>
        <w:t> </w:t>
      </w:r>
      <w:r>
        <w:rPr/>
        <w:t>know</w:t>
      </w:r>
      <w:r>
        <w:rPr>
          <w:spacing w:val="14"/>
        </w:rPr>
        <w:t> </w:t>
      </w:r>
      <w:r>
        <w:rPr/>
        <w:t>if</w:t>
      </w:r>
      <w:r>
        <w:rPr>
          <w:spacing w:val="6"/>
        </w:rPr>
        <w:t> </w:t>
      </w:r>
      <w:r>
        <w:rPr/>
        <w:t>they</w:t>
      </w:r>
      <w:r>
        <w:rPr>
          <w:spacing w:val="14"/>
        </w:rPr>
        <w:t> </w:t>
      </w:r>
      <w:r>
        <w:rPr/>
        <w:t>had</w:t>
      </w:r>
      <w:r>
        <w:rPr>
          <w:spacing w:val="19"/>
        </w:rPr>
        <w:t> </w:t>
      </w:r>
      <w:r>
        <w:rPr/>
        <w:t>been</w:t>
      </w:r>
      <w:r>
        <w:rPr>
          <w:spacing w:val="10"/>
        </w:rPr>
        <w:t> </w:t>
      </w:r>
      <w:r>
        <w:rPr/>
        <w:t>transfused</w:t>
      </w:r>
      <w:r>
        <w:rPr>
          <w:spacing w:val="-58"/>
        </w:rPr>
        <w:t> </w:t>
      </w:r>
      <w:r>
        <w:rPr/>
        <w:t>or</w:t>
      </w:r>
      <w:r>
        <w:rPr>
          <w:spacing w:val="19"/>
        </w:rPr>
        <w:t> </w:t>
      </w:r>
      <w:r>
        <w:rPr/>
        <w:t>not,</w:t>
      </w:r>
      <w:r>
        <w:rPr>
          <w:spacing w:val="21"/>
        </w:rPr>
        <w:t> </w:t>
      </w:r>
      <w:r>
        <w:rPr/>
        <w:t>19%</w:t>
      </w:r>
      <w:r>
        <w:rPr>
          <w:spacing w:val="20"/>
        </w:rPr>
        <w:t> </w:t>
      </w:r>
      <w:r>
        <w:rPr/>
        <w:t>had</w:t>
      </w:r>
      <w:r>
        <w:rPr>
          <w:spacing w:val="23"/>
        </w:rPr>
        <w:t> </w:t>
      </w:r>
      <w:r>
        <w:rPr/>
        <w:t>been</w:t>
      </w:r>
      <w:r>
        <w:rPr>
          <w:spacing w:val="17"/>
        </w:rPr>
        <w:t> </w:t>
      </w:r>
      <w:r>
        <w:rPr/>
        <w:t>transfused</w:t>
      </w:r>
      <w:r>
        <w:rPr>
          <w:spacing w:val="23"/>
        </w:rPr>
        <w:t> </w:t>
      </w:r>
      <w:r>
        <w:rPr/>
        <w:t>once,</w:t>
      </w:r>
      <w:r>
        <w:rPr>
          <w:spacing w:val="25"/>
        </w:rPr>
        <w:t> </w:t>
      </w:r>
      <w:r>
        <w:rPr/>
        <w:t>8%</w:t>
      </w:r>
      <w:r>
        <w:rPr>
          <w:spacing w:val="24"/>
        </w:rPr>
        <w:t> </w:t>
      </w:r>
      <w:r>
        <w:rPr/>
        <w:t>had</w:t>
      </w:r>
      <w:r>
        <w:rPr>
          <w:spacing w:val="23"/>
        </w:rPr>
        <w:t> </w:t>
      </w:r>
      <w:r>
        <w:rPr/>
        <w:t>been</w:t>
      </w:r>
      <w:r>
        <w:rPr>
          <w:spacing w:val="18"/>
        </w:rPr>
        <w:t> </w:t>
      </w:r>
      <w:r>
        <w:rPr/>
        <w:t>transfused</w:t>
      </w:r>
      <w:r>
        <w:rPr>
          <w:spacing w:val="23"/>
        </w:rPr>
        <w:t> </w:t>
      </w:r>
      <w:r>
        <w:rPr/>
        <w:t>twice,</w:t>
      </w:r>
      <w:r>
        <w:rPr>
          <w:spacing w:val="24"/>
        </w:rPr>
        <w:t> </w:t>
      </w:r>
      <w:r>
        <w:rPr/>
        <w:t>3%</w:t>
      </w:r>
      <w:r>
        <w:rPr>
          <w:spacing w:val="25"/>
        </w:rPr>
        <w:t> </w:t>
      </w:r>
      <w:r>
        <w:rPr/>
        <w:t>had</w:t>
      </w:r>
      <w:r>
        <w:rPr>
          <w:spacing w:val="23"/>
        </w:rPr>
        <w:t> </w:t>
      </w:r>
      <w:r>
        <w:rPr/>
        <w:t>been</w:t>
      </w:r>
      <w:r>
        <w:rPr>
          <w:spacing w:val="17"/>
        </w:rPr>
        <w:t> </w:t>
      </w:r>
      <w:r>
        <w:rPr/>
        <w:t>transfused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55" w:lineRule="auto" w:before="72"/>
        <w:ind w:left="820" w:right="1448"/>
        <w:jc w:val="both"/>
      </w:pPr>
      <w:r>
        <w:rPr/>
        <w:t>three times,</w:t>
      </w:r>
      <w:r>
        <w:rPr>
          <w:spacing w:val="1"/>
        </w:rPr>
        <w:t> </w:t>
      </w:r>
      <w:r>
        <w:rPr/>
        <w:t>1%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been transfused</w:t>
      </w:r>
      <w:r>
        <w:rPr>
          <w:spacing w:val="1"/>
        </w:rPr>
        <w:t> </w:t>
      </w:r>
      <w:r>
        <w:rPr/>
        <w:t>four times,</w:t>
      </w:r>
      <w:r>
        <w:rPr>
          <w:spacing w:val="1"/>
        </w:rPr>
        <w:t> </w:t>
      </w:r>
      <w:r>
        <w:rPr/>
        <w:t>and 1%</w:t>
      </w:r>
      <w:r>
        <w:rPr>
          <w:spacing w:val="1"/>
        </w:rPr>
        <w:t> </w:t>
      </w:r>
      <w:r>
        <w:rPr/>
        <w:t>had</w:t>
      </w:r>
      <w:r>
        <w:rPr>
          <w:spacing w:val="60"/>
        </w:rPr>
        <w:t> </w:t>
      </w:r>
      <w:r>
        <w:rPr/>
        <w:t>been transfused twelve times</w:t>
      </w:r>
      <w:r>
        <w:rPr>
          <w:spacing w:val="1"/>
        </w:rPr>
        <w:t> </w:t>
      </w:r>
      <w:r>
        <w:rPr/>
        <w:t>(Figure 4.5).</w:t>
      </w:r>
    </w:p>
    <w:p>
      <w:pPr>
        <w:pStyle w:val="BodyText"/>
        <w:spacing w:line="360" w:lineRule="auto" w:before="210"/>
        <w:ind w:left="820" w:right="1445"/>
        <w:jc w:val="both"/>
      </w:pPr>
      <w:r>
        <w:rPr/>
        <w:t>Co morbid illnesses were seen in 46 (51%) of the patients and 44(49%) had no co morbid illness.</w:t>
      </w:r>
      <w:r>
        <w:rPr>
          <w:spacing w:val="-57"/>
        </w:rPr>
        <w:t> </w:t>
      </w:r>
      <w:r>
        <w:rPr/>
        <w:t>Of those with co</w:t>
      </w:r>
      <w:r>
        <w:rPr>
          <w:spacing w:val="1"/>
        </w:rPr>
        <w:t> </w:t>
      </w:r>
      <w:r>
        <w:rPr/>
        <w:t>morbid</w:t>
      </w:r>
      <w:r>
        <w:rPr>
          <w:spacing w:val="60"/>
        </w:rPr>
        <w:t> </w:t>
      </w:r>
      <w:r>
        <w:rPr/>
        <w:t>illnesses, 22% had peptic ulcer disease, 4% had high blood pressure,</w:t>
      </w:r>
      <w:r>
        <w:rPr>
          <w:spacing w:val="1"/>
        </w:rPr>
        <w:t> </w:t>
      </w:r>
      <w:r>
        <w:rPr/>
        <w:t>3%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hepatitis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failure,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tuberculosis,</w:t>
      </w:r>
      <w:r>
        <w:rPr>
          <w:spacing w:val="1"/>
        </w:rPr>
        <w:t> </w:t>
      </w:r>
      <w:r>
        <w:rPr/>
        <w:t>erythroblastopenia,</w:t>
      </w:r>
      <w:r>
        <w:rPr>
          <w:spacing w:val="1"/>
        </w:rPr>
        <w:t> </w:t>
      </w:r>
      <w:r>
        <w:rPr/>
        <w:t>pyelonephritis,</w:t>
      </w:r>
      <w:r>
        <w:rPr>
          <w:spacing w:val="1"/>
        </w:rPr>
        <w:t> </w:t>
      </w:r>
      <w:r>
        <w:rPr/>
        <w:t>HIV/AIDS, myeloproliferative</w:t>
      </w:r>
      <w:r>
        <w:rPr>
          <w:spacing w:val="-3"/>
        </w:rPr>
        <w:t> </w:t>
      </w:r>
      <w:r>
        <w:rPr/>
        <w:t>disorder, and</w:t>
      </w:r>
      <w:r>
        <w:rPr>
          <w:spacing w:val="-2"/>
        </w:rPr>
        <w:t> </w:t>
      </w:r>
      <w:r>
        <w:rPr/>
        <w:t>asthma</w:t>
      </w:r>
      <w:r>
        <w:rPr>
          <w:spacing w:val="-2"/>
        </w:rPr>
        <w:t> </w:t>
      </w:r>
      <w:r>
        <w:rPr/>
        <w:t>each</w:t>
      </w:r>
      <w:r>
        <w:rPr>
          <w:spacing w:val="-2"/>
        </w:rPr>
        <w:t> </w:t>
      </w:r>
      <w:r>
        <w:rPr/>
        <w:t>had</w:t>
      </w:r>
      <w:r>
        <w:rPr>
          <w:spacing w:val="-2"/>
        </w:rPr>
        <w:t> </w:t>
      </w:r>
      <w:r>
        <w:rPr/>
        <w:t>an</w:t>
      </w:r>
      <w:r>
        <w:rPr>
          <w:spacing w:val="-6"/>
        </w:rPr>
        <w:t> </w:t>
      </w:r>
      <w:r>
        <w:rPr/>
        <w:t>occurrence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1% (Figure</w:t>
      </w:r>
      <w:r>
        <w:rPr>
          <w:spacing w:val="-3"/>
        </w:rPr>
        <w:t> </w:t>
      </w:r>
      <w:r>
        <w:rPr/>
        <w:t>4.6).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1017" w:top="1500" w:bottom="1200" w:left="620" w:right="0"/>
        </w:sectPr>
      </w:pPr>
    </w:p>
    <w:p>
      <w:pPr>
        <w:pStyle w:val="BodyText"/>
        <w:spacing w:before="7"/>
        <w:rPr>
          <w:sz w:val="19"/>
        </w:rPr>
      </w:pPr>
    </w:p>
    <w:p>
      <w:pPr>
        <w:spacing w:before="0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w w:val="100"/>
          <w:sz w:val="20"/>
        </w:rPr>
        <w:t>5</w:t>
      </w:r>
    </w:p>
    <w:p>
      <w:pPr>
        <w:spacing w:before="54"/>
        <w:ind w:left="0" w:right="0" w:firstLine="0"/>
        <w:jc w:val="right"/>
        <w:rPr>
          <w:rFonts w:ascii="Calibri"/>
          <w:sz w:val="20"/>
        </w:rPr>
      </w:pPr>
      <w:r>
        <w:rPr/>
        <w:pict>
          <v:shape style="position:absolute;margin-left:93.200073pt;margin-top:4.255532pt;width:12.1pt;height:128.25pt;mso-position-horizontal-relative:page;mso-position-vertical-relative:paragraph;z-index:15739904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Mean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Age</w:t>
                  </w:r>
                  <w:r>
                    <w:rPr>
                      <w:rFonts w:ascii="Calibri"/>
                      <w:b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at</w:t>
                  </w:r>
                  <w:r>
                    <w:rPr>
                      <w:rFonts w:ascii="Calibri"/>
                      <w:b/>
                      <w:spacing w:val="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Diagnosis</w:t>
                  </w:r>
                  <w:r>
                    <w:rPr>
                      <w:rFonts w:ascii="Calibri"/>
                      <w:b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(Years)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4.5</w:t>
      </w:r>
    </w:p>
    <w:p>
      <w:pPr>
        <w:spacing w:before="48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w w:val="100"/>
          <w:sz w:val="20"/>
        </w:rPr>
        <w:t>4</w:t>
      </w:r>
    </w:p>
    <w:p>
      <w:pPr>
        <w:spacing w:before="54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3.5</w:t>
      </w:r>
    </w:p>
    <w:p>
      <w:pPr>
        <w:spacing w:before="48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w w:val="100"/>
          <w:sz w:val="20"/>
        </w:rPr>
        <w:t>3</w:t>
      </w:r>
    </w:p>
    <w:p>
      <w:pPr>
        <w:spacing w:before="54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2.5</w:t>
      </w:r>
    </w:p>
    <w:p>
      <w:pPr>
        <w:spacing w:before="53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w w:val="100"/>
          <w:sz w:val="20"/>
        </w:rPr>
        <w:t>2</w:t>
      </w:r>
    </w:p>
    <w:p>
      <w:pPr>
        <w:spacing w:before="49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1.5</w:t>
      </w:r>
    </w:p>
    <w:p>
      <w:pPr>
        <w:spacing w:before="54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w w:val="100"/>
          <w:sz w:val="20"/>
        </w:rPr>
        <w:t>1</w:t>
      </w:r>
    </w:p>
    <w:p>
      <w:pPr>
        <w:spacing w:before="48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0.5</w:t>
      </w:r>
    </w:p>
    <w:p>
      <w:pPr>
        <w:spacing w:before="54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w w:val="100"/>
          <w:sz w:val="20"/>
        </w:rPr>
        <w:t>0</w:t>
      </w:r>
    </w:p>
    <w:p>
      <w:pPr>
        <w:pStyle w:val="BodyText"/>
        <w:spacing w:before="5" w:after="39"/>
        <w:rPr>
          <w:rFonts w:ascii="Calibri"/>
          <w:sz w:val="25"/>
        </w:rPr>
      </w:pPr>
      <w:r>
        <w:rPr/>
        <w:br w:type="column"/>
      </w:r>
      <w:r>
        <w:rPr>
          <w:rFonts w:ascii="Calibri"/>
          <w:sz w:val="25"/>
        </w:rPr>
      </w:r>
    </w:p>
    <w:p>
      <w:pPr>
        <w:pStyle w:val="BodyText"/>
        <w:ind w:left="78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326.2pt;height:151.450pt;mso-position-horizontal-relative:char;mso-position-vertical-relative:line" coordorigin="0,0" coordsize="6524,3029">
            <v:rect style="position:absolute;left:710;top:700;width:860;height:2266" filled="true" fillcolor="#4e80bc" stroked="false">
              <v:fill type="solid"/>
            </v:rect>
            <v:shape style="position:absolute;left:1094;top:556;width:92;height:279" coordorigin="1094,557" coordsize="92,279" path="m1133,821l1094,821,1094,835,1186,835,1186,830,1133,830,1133,821xm1147,566l1133,566,1133,830,1147,830,1147,566xm1186,821l1147,821,1147,830,1186,830,1186,821xm1186,557l1094,557,1094,571,1133,571,1133,566,1186,566,1186,557xm1186,566l1147,566,1147,571,1186,571,1186,566xe" filled="true" fillcolor="#000000" stroked="false">
              <v:path arrowok="t"/>
              <v:fill type="solid"/>
            </v:shape>
            <v:rect style="position:absolute;left:2865;top:902;width:860;height:2064" filled="true" fillcolor="#4e80bc" stroked="false">
              <v:fill type="solid"/>
            </v:rect>
            <v:shape style="position:absolute;left:3249;top:758;width:92;height:279" coordorigin="3250,758" coordsize="92,279" path="m3283,1022l3250,1022,3250,1037,3341,1037,3341,1032,3283,1032,3283,1022xm3298,768l3283,768,3283,1032,3298,1032,3298,768xm3341,1022l3298,1022,3298,1032,3341,1032,3341,1022xm3341,758l3250,758,3250,773,3283,773,3283,768,3341,768,3341,758xm3341,768l3298,768,3298,773,3341,773,3341,768xe" filled="true" fillcolor="#000000" stroked="false">
              <v:path arrowok="t"/>
              <v:fill type="solid"/>
            </v:shape>
            <v:rect style="position:absolute;left:5016;top:446;width:864;height:2520" filled="true" fillcolor="#4e80bc" stroked="false">
              <v:fill type="solid"/>
            </v:rect>
            <v:shape style="position:absolute;left:5404;top:302;width:87;height:279" coordorigin="5405,302" coordsize="87,279" path="m5438,566l5405,566,5405,581,5491,581,5491,576,5438,576,5438,566xm5453,312l5438,312,5438,576,5453,576,5453,312xm5491,566l5453,566,5453,576,5491,576,5491,566xm5491,302l5405,302,5405,317,5438,317,5438,312,5491,312,5491,302xm5491,312l5453,312,5453,317,5491,317,5491,312xe" filled="true" fillcolor="#000000" stroked="false">
              <v:path arrowok="t"/>
              <v:fill type="solid"/>
            </v:shape>
            <v:shape style="position:absolute;left:0;top:0;width:6524;height:3029" coordorigin="0,0" coordsize="6524,3029" path="m6523,2957l72,2957,72,5,62,5,62,0,0,0,0,14,58,14,58,293,0,293,0,307,58,307,58,590,0,590,0,605,58,605,58,883,0,883,0,898,58,898,58,1181,0,1181,0,1195,58,1195,58,1478,0,1478,0,1493,58,1493,58,1771,0,1771,0,1786,58,1786,58,2069,0,2069,0,2083,58,2083,58,2362,0,2362,0,2376,58,2376,58,2659,0,2659,0,2674,58,2674,58,2957,0,2957,0,2971,53,2971,53,3029,67,3029,67,2971,2208,2971,2208,3029,2222,3029,2222,2971,4363,2971,4363,3029,4378,3029,4378,2971,6514,2971,6514,3029,6523,3029,6523,2971,6523,2957xe" filled="true" fillcolor="#858585" stroked="false">
              <v:path arrowok="t"/>
              <v:fill type="solid"/>
            </v:shape>
            <v:shape style="position:absolute;left:5270;top:50;width:377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4.26</w:t>
                    </w:r>
                  </w:p>
                </w:txbxContent>
              </v:textbox>
              <w10:wrap type="none"/>
            </v:shape>
            <v:shape style="position:absolute;left:964;top:357;width:377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3.83</w:t>
                    </w:r>
                  </w:p>
                </w:txbxContent>
              </v:textbox>
              <w10:wrap type="none"/>
            </v:shape>
            <v:shape style="position:absolute;left:3115;top:448;width:377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3.49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tabs>
          <w:tab w:pos="2159" w:val="left" w:leader="none"/>
          <w:tab w:pos="4219" w:val="left" w:leader="none"/>
        </w:tabs>
        <w:spacing w:before="37"/>
        <w:ind w:left="0" w:right="2960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HbSC</w:t>
        <w:tab/>
        <w:t>HbSS</w:t>
        <w:tab/>
        <w:t>HbSS+F</w:t>
      </w:r>
    </w:p>
    <w:p>
      <w:pPr>
        <w:spacing w:before="59"/>
        <w:ind w:left="0" w:right="3050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Sickle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z w:val="20"/>
        </w:rPr>
        <w:t>Cell</w:t>
      </w:r>
      <w:r>
        <w:rPr>
          <w:rFonts w:ascii="Calibri"/>
          <w:b/>
          <w:spacing w:val="2"/>
          <w:sz w:val="20"/>
        </w:rPr>
        <w:t> </w:t>
      </w:r>
      <w:r>
        <w:rPr>
          <w:rFonts w:ascii="Calibri"/>
          <w:b/>
          <w:sz w:val="20"/>
        </w:rPr>
        <w:t>Variant</w:t>
      </w:r>
    </w:p>
    <w:p>
      <w:pPr>
        <w:spacing w:after="0"/>
        <w:jc w:val="center"/>
        <w:rPr>
          <w:rFonts w:ascii="Calibri"/>
          <w:sz w:val="20"/>
        </w:rPr>
        <w:sectPr>
          <w:type w:val="continuous"/>
          <w:pgSz w:w="12240" w:h="15840"/>
          <w:pgMar w:top="1360" w:bottom="280" w:left="620" w:right="0"/>
          <w:cols w:num="2" w:equalWidth="0">
            <w:col w:w="1782" w:space="40"/>
            <w:col w:w="9798"/>
          </w:cols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2"/>
        <w:rPr>
          <w:rFonts w:ascii="Calibri"/>
          <w:b/>
          <w:sz w:val="19"/>
        </w:rPr>
      </w:pPr>
    </w:p>
    <w:p>
      <w:pPr>
        <w:pStyle w:val="Heading1"/>
        <w:spacing w:before="90"/>
        <w:jc w:val="left"/>
      </w:pPr>
      <w:r>
        <w:rPr/>
        <w:t>Figure</w:t>
      </w:r>
      <w:r>
        <w:rPr>
          <w:spacing w:val="-2"/>
        </w:rPr>
        <w:t> </w:t>
      </w:r>
      <w:r>
        <w:rPr/>
        <w:t>4.2: Ages</w:t>
      </w:r>
      <w:r>
        <w:rPr>
          <w:spacing w:val="-2"/>
        </w:rPr>
        <w:t> </w:t>
      </w:r>
      <w:r>
        <w:rPr/>
        <w:t>at</w:t>
      </w:r>
      <w:r>
        <w:rPr>
          <w:spacing w:val="-4"/>
        </w:rPr>
        <w:t> </w:t>
      </w:r>
      <w:r>
        <w:rPr/>
        <w:t>Diagnosis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Sickle</w:t>
      </w:r>
      <w:r>
        <w:rPr>
          <w:spacing w:val="-2"/>
        </w:rPr>
        <w:t> </w:t>
      </w:r>
      <w:r>
        <w:rPr/>
        <w:t>Cell</w:t>
      </w:r>
      <w:r>
        <w:rPr>
          <w:spacing w:val="-4"/>
        </w:rPr>
        <w:t> </w:t>
      </w:r>
      <w:r>
        <w:rPr/>
        <w:t>Disease</w:t>
      </w:r>
    </w:p>
    <w:p>
      <w:pPr>
        <w:spacing w:after="0"/>
        <w:jc w:val="left"/>
        <w:sectPr>
          <w:type w:val="continuous"/>
          <w:pgSz w:w="12240" w:h="15840"/>
          <w:pgMar w:top="1360" w:bottom="280" w:left="620" w:right="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86.960075pt;margin-top:90.459763pt;width:12.1pt;height:176.25pt;mso-position-horizontal-relative:page;mso-position-vertical-relative:page;z-index:15740928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Percentage</w:t>
                  </w:r>
                  <w:r>
                    <w:rPr>
                      <w:rFonts w:ascii="Calibri"/>
                      <w:b/>
                      <w:spacing w:val="-9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of</w:t>
                  </w:r>
                  <w:r>
                    <w:rPr>
                      <w:rFonts w:ascii="Calibri"/>
                      <w:b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sickle</w:t>
                  </w:r>
                  <w:r>
                    <w:rPr>
                      <w:rFonts w:ascii="Calibri"/>
                      <w:b/>
                      <w:spacing w:val="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cell</w:t>
                  </w:r>
                  <w:r>
                    <w:rPr>
                      <w:rFonts w:ascii="Calibri"/>
                      <w:b/>
                      <w:spacing w:val="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anaemia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patients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spacing w:before="0"/>
        <w:ind w:left="820" w:right="0" w:firstLine="0"/>
        <w:jc w:val="left"/>
        <w:rPr>
          <w:b/>
          <w:sz w:val="24"/>
        </w:rPr>
      </w:pPr>
      <w:r>
        <w:rPr/>
        <w:pict>
          <v:group style="position:absolute;margin-left:73.199997pt;margin-top:-357.67688pt;width:468.75pt;height:310.6pt;mso-position-horizontal-relative:page;mso-position-vertical-relative:paragraph;z-index:15740416" coordorigin="1464,-7154" coordsize="9375,6212">
            <v:shape style="position:absolute;left:2673;top:-6645;width:7791;height:3533" coordorigin="2674,-6645" coordsize="7791,3533" path="m2866,-3256l2674,-3256,2674,-3112,2866,-3112,2866,-3256xm3341,-3256l3149,-3256,3149,-3112,3341,-3112,3341,-3256xm3816,-3491l3624,-3491,3624,-3112,3816,-3112,3816,-3491xm4291,-3491l4099,-3491,4099,-3112,4291,-3112,4291,-3491xm4766,-3587l4574,-3587,4574,-3112,4766,-3112,4766,-3587xm5242,-3587l5050,-3587,5050,-3112,5242,-3112,5242,-3587xm5717,-3683l5525,-3683,5525,-3112,5717,-3112,5717,-3683xm6192,-3779l6000,-3779,6000,-3112,6192,-3112,6192,-3779xm6667,-3779l6475,-3779,6475,-3112,6667,-3112,6667,-3779xm7142,-3923l6950,-3923,6950,-3112,7142,-3112,7142,-3923xm7618,-3971l7426,-3971,7426,-3112,7618,-3112,7618,-3971xm8093,-4067l7901,-4067,7901,-3112,8093,-3112,8093,-4067xm8568,-4211l8376,-4211,8376,-3112,8568,-3112,8568,-4211xm9043,-4542l8851,-4542,8851,-3112,9043,-3112,9043,-4542xm9518,-5306l9326,-5306,9326,-3112,9518,-3112,9518,-5306xm9989,-5546l9802,-5546,9802,-3112,9989,-3112,9989,-5546xm10464,-6645l10277,-6645,10277,-3112,10464,-3112,10464,-6645xe" filled="true" fillcolor="#4e80bc" stroked="false">
              <v:path arrowok="t"/>
              <v:fill type="solid"/>
            </v:shape>
            <v:shape style="position:absolute;left:2467;top:-6943;width:8146;height:3893" coordorigin="2467,-6942" coordsize="8146,3893" path="m10613,-3112l10608,-3112,10608,-3117,2539,-3117,2539,-6933,2534,-6933,2534,-6942,2467,-6942,2467,-6928,2525,-6928,2525,-6462,2467,-6462,2467,-6448,2525,-6448,2525,-5987,2467,-5987,2467,-5973,2525,-5973,2525,-5507,2467,-5507,2467,-5493,2525,-5493,2525,-5032,2467,-5032,2467,-5018,2525,-5018,2525,-4552,2467,-4552,2467,-4538,2525,-4538,2525,-4077,2467,-4077,2467,-4062,2525,-4062,2525,-3597,2467,-3597,2467,-3582,2525,-3582,2525,-3122,2467,-3122,2467,-3107,2525,-3107,2525,-3050,2539,-3050,2539,-3102,3000,-3102,3000,-3050,3014,-3050,3014,-3102,3475,-3102,3475,-3050,3490,-3050,3490,-3102,3950,-3102,3950,-3050,3965,-3050,3965,-3102,4421,-3102,4421,-3050,4435,-3050,4435,-3102,4896,-3102,4896,-3050,4910,-3050,4910,-3102,5371,-3102,5371,-3050,5386,-3050,5386,-3102,5846,-3102,5846,-3050,5861,-3050,5861,-3102,6322,-3102,6322,-3050,6336,-3050,6336,-3102,6797,-3102,6797,-3050,6811,-3050,6811,-3102,7272,-3102,7272,-3050,7286,-3050,7286,-3102,7747,-3102,7747,-3050,7762,-3050,7762,-3102,8222,-3102,8222,-3050,8237,-3050,8237,-3102,8698,-3102,8698,-3050,8712,-3050,8712,-3102,9173,-3102,9173,-3050,9187,-3050,9187,-3102,9648,-3102,9648,-3050,9662,-3050,9662,-3102,10123,-3102,10123,-3050,10138,-3050,10138,-3102,10598,-3102,10598,-3050,10613,-3050,10613,-3112xe" filled="true" fillcolor="#858585" stroked="false">
              <v:path arrowok="t"/>
              <v:fill type="solid"/>
            </v:shape>
            <v:shape style="position:absolute;left:1656;top:-2929;width:8756;height:1386" type="#_x0000_t75" stroked="false">
              <v:imagedata r:id="rId13" o:title=""/>
            </v:shape>
            <v:shape style="position:absolute;left:1464;top:-7154;width:9375;height:6212" coordorigin="1464,-7154" coordsize="9375,6212" path="m1478,-7154l1464,-7154,1464,-947,1469,-942,10838,-942,10838,-952,1478,-952,1474,-957,1478,-957,1478,-7144,1474,-7144,1478,-7154xm1478,-957l1474,-957,1478,-952,1478,-957xm10824,-957l1478,-957,1478,-952,10824,-952,10824,-957xm10824,-7154l10824,-952,10834,-957,10838,-957,10838,-7144,10834,-7144,10824,-7154xm10838,-957l10834,-957,10824,-952,10838,-952,10838,-957xm1478,-7154l1474,-7144,1478,-7144,1478,-7154xm10824,-7154l1478,-7154,1478,-7144,10824,-7144,10824,-7154xm10838,-7154l10824,-7154,10834,-7144,10838,-7144,10838,-7154xe" filled="true" fillcolor="#ffffff" stroked="false">
              <v:path arrowok="t"/>
              <v:fill type="solid"/>
            </v:shape>
            <v:shape style="position:absolute;left:2145;top:-7022;width:2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10267;top:-6940;width:2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74</w:t>
                    </w:r>
                  </w:p>
                </w:txbxContent>
              </v:textbox>
              <w10:wrap type="none"/>
            </v:shape>
            <v:shape style="position:absolute;left:2145;top:-6547;width:223;height:682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line="241" w:lineRule="exact"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9792;top:-5841;width:2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51</w:t>
                    </w:r>
                  </w:p>
                </w:txbxContent>
              </v:textbox>
              <w10:wrap type="none"/>
            </v:shape>
            <v:shape style="position:absolute;left:2145;top:-5592;width:2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9321;top:-5601;width:2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46</w:t>
                    </w:r>
                  </w:p>
                </w:txbxContent>
              </v:textbox>
              <w10:wrap type="none"/>
            </v:shape>
            <v:shape style="position:absolute;left:2145;top:-5116;width:2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8846;top:-4838;width:2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2145;top:-4636;width:2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7896;top:-4358;width:2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8371;top:-4502;width:2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23</w:t>
                    </w:r>
                  </w:p>
                </w:txbxContent>
              </v:textbox>
              <w10:wrap type="none"/>
            </v:shape>
            <v:shape style="position:absolute;left:2145;top:-4161;width:2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5995;top:-4075;width:2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6945;top:-4219;width:2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17</w:t>
                    </w:r>
                  </w:p>
                </w:txbxContent>
              </v:textbox>
              <w10:wrap type="none"/>
            </v:shape>
            <v:shape style="position:absolute;left:7420;top:-4267;width:2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4569;top:-3883;width:2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044;top:-3883;width:2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520;top:-3979;width:2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6470;top:-4075;width:2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2145;top:-3681;width:2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3672;top:-3787;width:598;height:202" type="#_x0000_t202" filled="false" stroked="false">
              <v:textbox inset="0,0,0,0">
                <w:txbxContent>
                  <w:p>
                    <w:pPr>
                      <w:tabs>
                        <w:tab w:pos="475" w:val="left" w:leader="none"/>
                      </w:tabs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</w:t>
                      <w:tab/>
                      <w:t>8</w:t>
                    </w:r>
                  </w:p>
                </w:txbxContent>
              </v:textbox>
              <w10:wrap type="none"/>
            </v:shape>
            <v:shape style="position:absolute;left:2721;top:-3547;width:598;height:202" type="#_x0000_t202" filled="false" stroked="false">
              <v:textbox inset="0,0,0,0">
                <w:txbxContent>
                  <w:p>
                    <w:pPr>
                      <w:tabs>
                        <w:tab w:pos="475" w:val="left" w:leader="none"/>
                      </w:tabs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</w:t>
                      <w:tab/>
                      <w:t>3</w:t>
                    </w:r>
                  </w:p>
                </w:txbxContent>
              </v:textbox>
              <w10:wrap type="none"/>
            </v:shape>
            <v:shape style="position:absolute;left:2246;top:-3206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904;top:-1406;width:1359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Clinical features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4.3: Clinical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Features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Sickle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Cell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Disease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Patients 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Study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7" w:top="1440" w:bottom="1200" w:left="620" w:right="0"/>
        </w:sectPr>
      </w:pPr>
    </w:p>
    <w:p>
      <w:pPr>
        <w:pStyle w:val="Heading1"/>
        <w:spacing w:line="535" w:lineRule="auto" w:after="16"/>
        <w:ind w:left="1122" w:right="1433" w:hanging="303"/>
        <w:jc w:val="left"/>
      </w:pPr>
      <w:r>
        <w:rPr/>
        <w:t>Table</w:t>
      </w:r>
      <w:r>
        <w:rPr>
          <w:spacing w:val="-2"/>
        </w:rPr>
        <w:t> </w:t>
      </w:r>
      <w:r>
        <w:rPr/>
        <w:t>4.4 Average</w:t>
      </w:r>
      <w:r>
        <w:rPr>
          <w:spacing w:val="-2"/>
        </w:rPr>
        <w:t> </w:t>
      </w:r>
      <w:r>
        <w:rPr/>
        <w:t>Number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Crises</w:t>
      </w:r>
      <w:r>
        <w:rPr>
          <w:spacing w:val="-3"/>
        </w:rPr>
        <w:t> </w:t>
      </w:r>
      <w:r>
        <w:rPr/>
        <w:t>per</w:t>
      </w:r>
      <w:r>
        <w:rPr>
          <w:spacing w:val="-6"/>
        </w:rPr>
        <w:t> </w:t>
      </w:r>
      <w:r>
        <w:rPr/>
        <w:t>year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Most Common</w:t>
      </w:r>
      <w:r>
        <w:rPr>
          <w:spacing w:val="1"/>
        </w:rPr>
        <w:t> </w:t>
      </w:r>
      <w:r>
        <w:rPr/>
        <w:t>Presentations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Sickle</w:t>
      </w:r>
      <w:r>
        <w:rPr>
          <w:spacing w:val="-57"/>
        </w:rPr>
        <w:t> </w:t>
      </w:r>
      <w:r>
        <w:rPr/>
        <w:t>Cell</w:t>
      </w:r>
      <w:r>
        <w:rPr>
          <w:spacing w:val="-3"/>
        </w:rPr>
        <w:t> </w:t>
      </w:r>
      <w:r>
        <w:rPr/>
        <w:t>Disease</w:t>
      </w:r>
      <w:r>
        <w:rPr>
          <w:spacing w:val="1"/>
        </w:rPr>
        <w:t> </w:t>
      </w:r>
      <w:r>
        <w:rPr/>
        <w:t>Patients in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</w:p>
    <w:tbl>
      <w:tblPr>
        <w:tblW w:w="0" w:type="auto"/>
        <w:jc w:val="left"/>
        <w:tblInd w:w="7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98"/>
        <w:gridCol w:w="2585"/>
        <w:gridCol w:w="2697"/>
      </w:tblGrid>
      <w:tr>
        <w:trPr>
          <w:trHeight w:val="613" w:hRule="atLeast"/>
        </w:trPr>
        <w:tc>
          <w:tcPr>
            <w:tcW w:w="429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258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9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3" w:lineRule="exact"/>
              <w:ind w:left="264"/>
              <w:rPr>
                <w:sz w:val="24"/>
              </w:rPr>
            </w:pPr>
            <w:r>
              <w:rPr>
                <w:sz w:val="24"/>
              </w:rPr>
              <w:t>Frequency(Percentage)</w:t>
            </w:r>
          </w:p>
        </w:tc>
      </w:tr>
      <w:tr>
        <w:trPr>
          <w:trHeight w:val="437" w:hRule="atLeast"/>
        </w:trPr>
        <w:tc>
          <w:tcPr>
            <w:tcW w:w="429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Number 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Crises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Year</w:t>
            </w:r>
          </w:p>
        </w:tc>
        <w:tc>
          <w:tcPr>
            <w:tcW w:w="258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151"/>
              <w:rPr>
                <w:sz w:val="24"/>
              </w:rPr>
            </w:pPr>
            <w:r>
              <w:rPr>
                <w:sz w:val="24"/>
              </w:rPr>
              <w:t>Less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26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264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(8)</w:t>
            </w:r>
          </w:p>
        </w:tc>
      </w:tr>
      <w:tr>
        <w:trPr>
          <w:trHeight w:val="614" w:hRule="atLeast"/>
        </w:trPr>
        <w:tc>
          <w:tcPr>
            <w:tcW w:w="42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5" w:type="dxa"/>
          </w:tcPr>
          <w:p>
            <w:pPr>
              <w:pStyle w:val="TableParagraph"/>
              <w:spacing w:before="164"/>
              <w:ind w:left="151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697" w:type="dxa"/>
          </w:tcPr>
          <w:p>
            <w:pPr>
              <w:pStyle w:val="TableParagraph"/>
              <w:spacing w:before="164"/>
              <w:ind w:left="264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(23)</w:t>
            </w:r>
          </w:p>
        </w:tc>
      </w:tr>
      <w:tr>
        <w:trPr>
          <w:trHeight w:val="614" w:hRule="atLeast"/>
        </w:trPr>
        <w:tc>
          <w:tcPr>
            <w:tcW w:w="42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5" w:type="dxa"/>
          </w:tcPr>
          <w:p>
            <w:pPr>
              <w:pStyle w:val="TableParagraph"/>
              <w:spacing w:before="164"/>
              <w:ind w:left="151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697" w:type="dxa"/>
          </w:tcPr>
          <w:p>
            <w:pPr>
              <w:pStyle w:val="TableParagraph"/>
              <w:spacing w:before="164"/>
              <w:ind w:left="264"/>
              <w:rPr>
                <w:sz w:val="24"/>
              </w:rPr>
            </w:pPr>
            <w:r>
              <w:rPr>
                <w:sz w:val="24"/>
              </w:rPr>
              <w:t>46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(51)</w:t>
            </w:r>
          </w:p>
        </w:tc>
      </w:tr>
      <w:tr>
        <w:trPr>
          <w:trHeight w:val="614" w:hRule="atLeast"/>
        </w:trPr>
        <w:tc>
          <w:tcPr>
            <w:tcW w:w="42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5" w:type="dxa"/>
          </w:tcPr>
          <w:p>
            <w:pPr>
              <w:pStyle w:val="TableParagraph"/>
              <w:spacing w:before="164"/>
              <w:ind w:left="151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697" w:type="dxa"/>
          </w:tcPr>
          <w:p>
            <w:pPr>
              <w:pStyle w:val="TableParagraph"/>
              <w:spacing w:before="164"/>
              <w:ind w:left="264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(16)</w:t>
            </w:r>
          </w:p>
        </w:tc>
      </w:tr>
      <w:tr>
        <w:trPr>
          <w:trHeight w:val="614" w:hRule="atLeast"/>
        </w:trPr>
        <w:tc>
          <w:tcPr>
            <w:tcW w:w="42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5" w:type="dxa"/>
          </w:tcPr>
          <w:p>
            <w:pPr>
              <w:pStyle w:val="TableParagraph"/>
              <w:spacing w:before="164"/>
              <w:ind w:left="151"/>
              <w:rPr>
                <w:sz w:val="24"/>
              </w:rPr>
            </w:pPr>
            <w:r>
              <w:rPr>
                <w:sz w:val="24"/>
              </w:rPr>
              <w:t>Greater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2697" w:type="dxa"/>
          </w:tcPr>
          <w:p>
            <w:pPr>
              <w:pStyle w:val="TableParagraph"/>
              <w:spacing w:before="164"/>
              <w:ind w:left="26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(2)</w:t>
            </w:r>
          </w:p>
        </w:tc>
      </w:tr>
      <w:tr>
        <w:trPr>
          <w:trHeight w:val="614" w:hRule="atLeast"/>
        </w:trPr>
        <w:tc>
          <w:tcPr>
            <w:tcW w:w="4298" w:type="dxa"/>
          </w:tcPr>
          <w:p>
            <w:pPr>
              <w:pStyle w:val="TableParagraph"/>
              <w:spacing w:before="164"/>
              <w:ind w:left="110"/>
              <w:rPr>
                <w:sz w:val="24"/>
              </w:rPr>
            </w:pPr>
            <w:r>
              <w:rPr>
                <w:sz w:val="24"/>
              </w:rPr>
              <w:t>Most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Presentation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Crises</w:t>
            </w:r>
          </w:p>
        </w:tc>
        <w:tc>
          <w:tcPr>
            <w:tcW w:w="2585" w:type="dxa"/>
          </w:tcPr>
          <w:p>
            <w:pPr>
              <w:pStyle w:val="TableParagraph"/>
              <w:spacing w:before="164"/>
              <w:ind w:left="151"/>
              <w:rPr>
                <w:sz w:val="24"/>
              </w:rPr>
            </w:pPr>
            <w:r>
              <w:rPr>
                <w:sz w:val="24"/>
              </w:rPr>
              <w:t>Leg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Ulcer</w:t>
            </w:r>
          </w:p>
        </w:tc>
        <w:tc>
          <w:tcPr>
            <w:tcW w:w="2697" w:type="dxa"/>
          </w:tcPr>
          <w:p>
            <w:pPr>
              <w:pStyle w:val="TableParagraph"/>
              <w:spacing w:before="164"/>
              <w:ind w:left="26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(2)</w:t>
            </w:r>
          </w:p>
        </w:tc>
      </w:tr>
      <w:tr>
        <w:trPr>
          <w:trHeight w:val="611" w:hRule="atLeast"/>
        </w:trPr>
        <w:tc>
          <w:tcPr>
            <w:tcW w:w="42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5" w:type="dxa"/>
          </w:tcPr>
          <w:p>
            <w:pPr>
              <w:pStyle w:val="TableParagraph"/>
              <w:spacing w:before="164"/>
              <w:ind w:left="151"/>
              <w:rPr>
                <w:sz w:val="24"/>
              </w:rPr>
            </w:pPr>
            <w:r>
              <w:rPr>
                <w:sz w:val="24"/>
              </w:rPr>
              <w:t>Osteomyelitis</w:t>
            </w:r>
          </w:p>
        </w:tc>
        <w:tc>
          <w:tcPr>
            <w:tcW w:w="2697" w:type="dxa"/>
          </w:tcPr>
          <w:p>
            <w:pPr>
              <w:pStyle w:val="TableParagraph"/>
              <w:spacing w:before="164"/>
              <w:ind w:left="264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(4)</w:t>
            </w:r>
          </w:p>
        </w:tc>
      </w:tr>
      <w:tr>
        <w:trPr>
          <w:trHeight w:val="612" w:hRule="atLeast"/>
        </w:trPr>
        <w:tc>
          <w:tcPr>
            <w:tcW w:w="42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5" w:type="dxa"/>
          </w:tcPr>
          <w:p>
            <w:pPr>
              <w:pStyle w:val="TableParagraph"/>
              <w:spacing w:before="161"/>
              <w:ind w:left="151"/>
              <w:rPr>
                <w:sz w:val="24"/>
              </w:rPr>
            </w:pPr>
            <w:r>
              <w:rPr>
                <w:sz w:val="24"/>
              </w:rPr>
              <w:t>Priapism</w:t>
            </w:r>
          </w:p>
        </w:tc>
        <w:tc>
          <w:tcPr>
            <w:tcW w:w="2697" w:type="dxa"/>
          </w:tcPr>
          <w:p>
            <w:pPr>
              <w:pStyle w:val="TableParagraph"/>
              <w:spacing w:before="161"/>
              <w:ind w:left="26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(6)</w:t>
            </w:r>
          </w:p>
        </w:tc>
      </w:tr>
      <w:tr>
        <w:trPr>
          <w:trHeight w:val="614" w:hRule="atLeast"/>
        </w:trPr>
        <w:tc>
          <w:tcPr>
            <w:tcW w:w="42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5" w:type="dxa"/>
          </w:tcPr>
          <w:p>
            <w:pPr>
              <w:pStyle w:val="TableParagraph"/>
              <w:spacing w:before="164"/>
              <w:ind w:left="151"/>
              <w:rPr>
                <w:sz w:val="24"/>
              </w:rPr>
            </w:pPr>
            <w:r>
              <w:rPr>
                <w:sz w:val="24"/>
              </w:rPr>
              <w:t>Avascular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Necrosis</w:t>
            </w:r>
          </w:p>
        </w:tc>
        <w:tc>
          <w:tcPr>
            <w:tcW w:w="2697" w:type="dxa"/>
          </w:tcPr>
          <w:p>
            <w:pPr>
              <w:pStyle w:val="TableParagraph"/>
              <w:spacing w:before="164"/>
              <w:ind w:left="26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(6)</w:t>
            </w:r>
          </w:p>
        </w:tc>
      </w:tr>
      <w:tr>
        <w:trPr>
          <w:trHeight w:val="614" w:hRule="atLeast"/>
        </w:trPr>
        <w:tc>
          <w:tcPr>
            <w:tcW w:w="42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5" w:type="dxa"/>
          </w:tcPr>
          <w:p>
            <w:pPr>
              <w:pStyle w:val="TableParagraph"/>
              <w:spacing w:before="164"/>
              <w:ind w:left="151"/>
              <w:rPr>
                <w:sz w:val="24"/>
              </w:rPr>
            </w:pPr>
            <w:r>
              <w:rPr>
                <w:sz w:val="24"/>
              </w:rPr>
              <w:t>Epigastric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Pain</w:t>
            </w:r>
          </w:p>
        </w:tc>
        <w:tc>
          <w:tcPr>
            <w:tcW w:w="2697" w:type="dxa"/>
          </w:tcPr>
          <w:p>
            <w:pPr>
              <w:pStyle w:val="TableParagraph"/>
              <w:spacing w:before="164"/>
              <w:ind w:left="264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(8)</w:t>
            </w:r>
          </w:p>
        </w:tc>
      </w:tr>
      <w:tr>
        <w:trPr>
          <w:trHeight w:val="614" w:hRule="atLeast"/>
        </w:trPr>
        <w:tc>
          <w:tcPr>
            <w:tcW w:w="42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5" w:type="dxa"/>
          </w:tcPr>
          <w:p>
            <w:pPr>
              <w:pStyle w:val="TableParagraph"/>
              <w:spacing w:before="164"/>
              <w:ind w:left="151"/>
              <w:rPr>
                <w:sz w:val="24"/>
              </w:rPr>
            </w:pPr>
            <w:r>
              <w:rPr>
                <w:sz w:val="24"/>
              </w:rPr>
              <w:t>Headache</w:t>
            </w:r>
          </w:p>
        </w:tc>
        <w:tc>
          <w:tcPr>
            <w:tcW w:w="2697" w:type="dxa"/>
          </w:tcPr>
          <w:p>
            <w:pPr>
              <w:pStyle w:val="TableParagraph"/>
              <w:spacing w:before="164"/>
              <w:ind w:left="264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(11)</w:t>
            </w:r>
          </w:p>
        </w:tc>
      </w:tr>
      <w:tr>
        <w:trPr>
          <w:trHeight w:val="440" w:hRule="atLeast"/>
        </w:trPr>
        <w:tc>
          <w:tcPr>
            <w:tcW w:w="42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5" w:type="dxa"/>
          </w:tcPr>
          <w:p>
            <w:pPr>
              <w:pStyle w:val="TableParagraph"/>
              <w:spacing w:line="256" w:lineRule="exact" w:before="164"/>
              <w:ind w:left="151"/>
              <w:rPr>
                <w:sz w:val="24"/>
              </w:rPr>
            </w:pPr>
            <w:r>
              <w:rPr>
                <w:sz w:val="24"/>
              </w:rPr>
              <w:t>Vaso Occlusive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Crises</w:t>
            </w:r>
          </w:p>
        </w:tc>
        <w:tc>
          <w:tcPr>
            <w:tcW w:w="2697" w:type="dxa"/>
          </w:tcPr>
          <w:p>
            <w:pPr>
              <w:pStyle w:val="TableParagraph"/>
              <w:spacing w:line="256" w:lineRule="exact" w:before="164"/>
              <w:ind w:left="264"/>
              <w:rPr>
                <w:sz w:val="24"/>
              </w:rPr>
            </w:pPr>
            <w:r>
              <w:rPr>
                <w:sz w:val="24"/>
              </w:rPr>
              <w:t>57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(63)</w:t>
            </w:r>
          </w:p>
        </w:tc>
      </w:tr>
    </w:tbl>
    <w:p>
      <w:pPr>
        <w:pStyle w:val="BodyText"/>
        <w:spacing w:before="1"/>
        <w:rPr>
          <w:b/>
          <w:sz w:val="27"/>
        </w:rPr>
      </w:pPr>
      <w:r>
        <w:rPr/>
        <w:pict>
          <v:shape style="position:absolute;margin-left:65.760002pt;margin-top:17.52467pt;width:479.8pt;height:1pt;mso-position-horizontal-relative:page;mso-position-vertical-relative:paragraph;z-index:-15715840;mso-wrap-distance-left:0;mso-wrap-distance-right:0" coordorigin="1315,350" coordsize="9596,20" path="m8376,350l8371,350,8357,350,5674,350,5669,350,5654,350,1315,350,1315,370,5654,370,5669,370,5674,370,8357,370,8371,370,8376,370,8376,350xm10910,350l8376,350,8376,370,10910,370,10910,350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7"/>
        </w:rPr>
        <w:sectPr>
          <w:pgSz w:w="12240" w:h="15840"/>
          <w:pgMar w:header="0" w:footer="1017" w:top="1360" w:bottom="1200" w:left="620" w:right="0"/>
        </w:sectPr>
      </w:pPr>
    </w:p>
    <w:p>
      <w:pPr>
        <w:spacing w:before="72"/>
        <w:ind w:left="82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4.5: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Average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Number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Hospital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Admissions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year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0"/>
        </w:rPr>
      </w:pPr>
    </w:p>
    <w:tbl>
      <w:tblPr>
        <w:tblW w:w="0" w:type="auto"/>
        <w:jc w:val="left"/>
        <w:tblInd w:w="10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4"/>
        <w:gridCol w:w="5133"/>
      </w:tblGrid>
      <w:tr>
        <w:trPr>
          <w:trHeight w:val="613" w:hRule="atLeast"/>
        </w:trPr>
        <w:tc>
          <w:tcPr>
            <w:tcW w:w="368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Hospital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Admissions</w:t>
            </w:r>
          </w:p>
        </w:tc>
        <w:tc>
          <w:tcPr>
            <w:tcW w:w="513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3" w:lineRule="exact"/>
              <w:ind w:left="472"/>
              <w:rPr>
                <w:sz w:val="24"/>
              </w:rPr>
            </w:pPr>
            <w:r>
              <w:rPr>
                <w:sz w:val="24"/>
              </w:rPr>
              <w:t>Frequency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(Percentage)</w:t>
            </w:r>
          </w:p>
        </w:tc>
      </w:tr>
      <w:tr>
        <w:trPr>
          <w:trHeight w:val="437" w:hRule="atLeast"/>
        </w:trPr>
        <w:tc>
          <w:tcPr>
            <w:tcW w:w="368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51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472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(19)</w:t>
            </w:r>
          </w:p>
        </w:tc>
      </w:tr>
      <w:tr>
        <w:trPr>
          <w:trHeight w:val="614" w:hRule="atLeast"/>
        </w:trPr>
        <w:tc>
          <w:tcPr>
            <w:tcW w:w="3684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5133" w:type="dxa"/>
          </w:tcPr>
          <w:p>
            <w:pPr>
              <w:pStyle w:val="TableParagraph"/>
              <w:spacing w:before="164"/>
              <w:ind w:left="472"/>
              <w:rPr>
                <w:sz w:val="24"/>
              </w:rPr>
            </w:pPr>
            <w:r>
              <w:rPr>
                <w:sz w:val="24"/>
              </w:rPr>
              <w:t>42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(46)</w:t>
            </w:r>
          </w:p>
        </w:tc>
      </w:tr>
      <w:tr>
        <w:trPr>
          <w:trHeight w:val="614" w:hRule="atLeast"/>
        </w:trPr>
        <w:tc>
          <w:tcPr>
            <w:tcW w:w="3684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5133" w:type="dxa"/>
          </w:tcPr>
          <w:p>
            <w:pPr>
              <w:pStyle w:val="TableParagraph"/>
              <w:spacing w:before="164"/>
              <w:ind w:left="472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(27)</w:t>
            </w:r>
          </w:p>
        </w:tc>
      </w:tr>
      <w:tr>
        <w:trPr>
          <w:trHeight w:val="614" w:hRule="atLeast"/>
        </w:trPr>
        <w:tc>
          <w:tcPr>
            <w:tcW w:w="3684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5133" w:type="dxa"/>
          </w:tcPr>
          <w:p>
            <w:pPr>
              <w:pStyle w:val="TableParagraph"/>
              <w:spacing w:before="164"/>
              <w:ind w:left="472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(6)</w:t>
            </w:r>
          </w:p>
        </w:tc>
      </w:tr>
      <w:tr>
        <w:trPr>
          <w:trHeight w:val="440" w:hRule="atLeast"/>
        </w:trPr>
        <w:tc>
          <w:tcPr>
            <w:tcW w:w="3684" w:type="dxa"/>
          </w:tcPr>
          <w:p>
            <w:pPr>
              <w:pStyle w:val="TableParagraph"/>
              <w:spacing w:line="256" w:lineRule="exact" w:before="16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5133" w:type="dxa"/>
          </w:tcPr>
          <w:p>
            <w:pPr>
              <w:pStyle w:val="TableParagraph"/>
              <w:spacing w:line="256" w:lineRule="exact" w:before="164"/>
              <w:ind w:left="47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(2)</w:t>
            </w:r>
          </w:p>
        </w:tc>
      </w:tr>
    </w:tbl>
    <w:p>
      <w:pPr>
        <w:pStyle w:val="BodyText"/>
        <w:spacing w:before="1"/>
        <w:rPr>
          <w:b/>
          <w:sz w:val="27"/>
        </w:rPr>
      </w:pPr>
      <w:r>
        <w:rPr/>
        <w:pict>
          <v:shape style="position:absolute;margin-left:80.400002pt;margin-top:17.524658pt;width:441.6pt;height:1pt;mso-position-horizontal-relative:page;mso-position-vertical-relative:paragraph;z-index:-15715328;mso-wrap-distance-left:0;mso-wrap-distance-right:0" coordorigin="1608,350" coordsize="8832,20" path="m10440,350l5674,350,5669,350,5654,350,1608,350,1608,370,5654,370,5669,370,5674,370,10440,370,10440,350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7"/>
        </w:rPr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86.960075pt;margin-top:84.859489pt;width:12.1pt;height:194.35pt;mso-position-horizontal-relative:page;mso-position-vertical-relative:page;z-index:15742976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Percentage</w:t>
                  </w:r>
                  <w:r>
                    <w:rPr>
                      <w:rFonts w:ascii="Calibri"/>
                      <w:b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of</w:t>
                  </w:r>
                  <w:r>
                    <w:rPr>
                      <w:rFonts w:ascii="Calibri"/>
                      <w:b/>
                      <w:spacing w:val="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Occurence</w:t>
                  </w:r>
                  <w:r>
                    <w:rPr>
                      <w:rFonts w:ascii="Calibri"/>
                      <w:b/>
                      <w:spacing w:val="-1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of</w:t>
                  </w:r>
                  <w:r>
                    <w:rPr>
                      <w:rFonts w:ascii="Calibri"/>
                      <w:b/>
                      <w:spacing w:val="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each</w:t>
                  </w:r>
                  <w:r>
                    <w:rPr>
                      <w:rFonts w:ascii="Calibri"/>
                      <w:b/>
                      <w:spacing w:val="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Presentation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Heading1"/>
        <w:spacing w:before="90"/>
        <w:jc w:val="left"/>
      </w:pPr>
      <w:r>
        <w:rPr/>
        <w:pict>
          <v:group style="position:absolute;margin-left:73.199997pt;margin-top:-345.736877pt;width:468.75pt;height:303.150pt;mso-position-horizontal-relative:page;mso-position-vertical-relative:paragraph;z-index:15742464" coordorigin="1464,-6915" coordsize="9375,6063">
            <v:shape style="position:absolute;left:2539;top:-6085;width:7940;height:2948" coordorigin="2539,-6084" coordsize="7940,2948" path="m2712,-3185l2539,-3185,2539,-3137,2712,-3137,2712,-3185xm3144,-3185l2971,-3185,2971,-3137,3144,-3137,3144,-3185xm3576,-3185l3403,-3185,3403,-3137,3576,-3137,3576,-3185xm4008,-3185l3835,-3185,3835,-3137,4008,-3137,4008,-3185xm4440,-3185l4267,-3185,4267,-3137,4440,-3137,4440,-3185xm4872,-3185l4699,-3185,4699,-3137,4872,-3137,4872,-3185xm5304,-3185l5131,-3185,5131,-3137,5304,-3137,5304,-3185xm5731,-3185l5563,-3185,5563,-3137,5731,-3137,5731,-3185xm6163,-3185l5990,-3185,5990,-3137,6163,-3137,6163,-3185xm6595,-3238l6422,-3238,6422,-3137,6595,-3137,6595,-3238xm7027,-3291l6854,-3291,6854,-3137,7027,-3137,7027,-3291xm7459,-3291l7286,-3291,7286,-3137,7459,-3137,7459,-3291xm7891,-3291l7718,-3291,7718,-3137,7891,-3137,7891,-3291xm8323,-3291l8150,-3291,8150,-3137,8323,-3137,8323,-3291xm8755,-3291l8582,-3291,8582,-3137,8755,-3137,8755,-3291xm9187,-3291l9014,-3291,9014,-3137,9187,-3137,9187,-3291xm9614,-3440l9442,-3440,9442,-3137,9614,-3137,9614,-3440xm10046,-3492l9874,-3492,9874,-3137,10046,-3137,10046,-3492xm10478,-6084l10306,-6084,10306,-3137,10478,-3137,10478,-6084xe" filled="true" fillcolor="#4e80bc" stroked="false">
              <v:path arrowok="t"/>
              <v:fill type="solid"/>
            </v:shape>
            <v:shape style="position:absolute;left:2347;top:-6704;width:8266;height:3629" coordorigin="2347,-6704" coordsize="8266,3629" path="m10613,-3137l10608,-3137,10608,-3142,2419,-3142,2419,-6694,2410,-6694,2410,-6704,2347,-6704,2347,-6689,2405,-6689,2405,-6195,2347,-6195,2347,-6180,2405,-6180,2405,-5686,2347,-5686,2347,-5672,2405,-5672,2405,-5177,2347,-5177,2347,-5163,2405,-5163,2405,-4668,2347,-4668,2347,-4654,2405,-4654,2405,-4160,2347,-4160,2347,-4145,2405,-4145,2405,-3656,2347,-3656,2347,-3641,2405,-3641,2405,-3147,2347,-3147,2347,-3132,2400,-3132,2400,-3075,2414,-3075,2414,-3128,2832,-3128,2832,-3075,2846,-3075,2846,-3128,3264,-3128,3264,-3075,3278,-3075,3278,-3128,3696,-3128,3696,-3075,3710,-3075,3710,-3128,4128,-3128,4128,-3075,4142,-3075,4142,-3128,4560,-3128,4560,-3075,4574,-3075,4574,-3128,4992,-3128,4992,-3075,5006,-3075,5006,-3128,5424,-3128,5424,-3075,5438,-3075,5438,-3128,5851,-3128,5851,-3075,5866,-3075,5866,-3128,6283,-3128,6283,-3075,6298,-3075,6298,-3128,6715,-3128,6715,-3075,6730,-3075,6730,-3128,7147,-3128,7147,-3075,7162,-3075,7162,-3128,7579,-3128,7579,-3075,7594,-3075,7594,-3128,8011,-3128,8011,-3075,8026,-3075,8026,-3128,8443,-3128,8443,-3075,8458,-3075,8458,-3128,8875,-3128,8875,-3075,8890,-3075,8890,-3128,9307,-3128,9307,-3075,9322,-3075,9322,-3128,9734,-3128,9734,-3075,9749,-3075,9749,-3128,10166,-3128,10166,-3075,10181,-3075,10181,-3128,10598,-3128,10598,-3075,10613,-3075,10613,-3137xe" filled="true" fillcolor="#858585" stroked="false">
              <v:path arrowok="t"/>
              <v:fill type="solid"/>
            </v:shape>
            <v:shape style="position:absolute;left:2059;top:-2935;width:8372;height:1459" type="#_x0000_t75" stroked="false">
              <v:imagedata r:id="rId14" o:title=""/>
            </v:shape>
            <v:shape style="position:absolute;left:1464;top:-6915;width:9375;height:6063" coordorigin="1464,-6915" coordsize="9375,6063" path="m1478,-6915l1464,-6915,1464,-852,10838,-852,10838,-857,1478,-857,1474,-867,1478,-867,1478,-6905,1474,-6905,1478,-6915xm1478,-867l1474,-867,1478,-857,1478,-867xm10824,-867l1478,-867,1478,-857,10824,-857,10824,-867xm10824,-6915l10824,-857,10834,-867,10838,-867,10838,-6905,10834,-6905,10824,-6915xm10838,-867l10834,-867,10824,-857,10838,-857,10838,-867xm1478,-6915l1474,-6905,1478,-6905,1478,-6915xm10824,-6915l1478,-6915,1478,-6905,10824,-6905,10824,-6915xm10838,-6915l10824,-6915,10834,-6905,10838,-6905,10838,-6915xe" filled="true" fillcolor="#ffffff" stroked="false">
              <v:path arrowok="t"/>
              <v:fill type="solid"/>
            </v:shape>
            <v:shape style="position:absolute;left:2025;top:-6783;width:223;height:706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10291;top:-6375;width:2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58</w:t>
                    </w:r>
                  </w:p>
                </w:txbxContent>
              </v:textbox>
              <w10:wrap type="none"/>
            </v:shape>
            <v:shape style="position:absolute;left:2025;top:-5770;width:223;height:2237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9912;top:-3783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2577;top:-3481;width:3142;height:202" type="#_x0000_t202" filled="false" stroked="false">
              <v:textbox inset="0,0,0,0">
                <w:txbxContent>
                  <w:p>
                    <w:pPr>
                      <w:tabs>
                        <w:tab w:pos="431" w:val="left" w:leader="none"/>
                        <w:tab w:pos="863" w:val="left" w:leader="none"/>
                        <w:tab w:pos="1295" w:val="left" w:leader="none"/>
                        <w:tab w:pos="1727" w:val="left" w:leader="none"/>
                        <w:tab w:pos="2155" w:val="left" w:leader="none"/>
                        <w:tab w:pos="2587" w:val="left" w:leader="none"/>
                        <w:tab w:pos="3019" w:val="left" w:leader="none"/>
                      </w:tabs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</w:t>
                      <w:tab/>
                      <w:t>1</w:t>
                      <w:tab/>
                      <w:t>1</w:t>
                      <w:tab/>
                      <w:t>1</w:t>
                      <w:tab/>
                      <w:t>1</w:t>
                      <w:tab/>
                      <w:t>1</w:t>
                      <w:tab/>
                      <w:t>1</w:t>
                      <w:tab/>
                      <w:t>1</w:t>
                    </w:r>
                  </w:p>
                </w:txbxContent>
              </v:textbox>
              <w10:wrap type="none"/>
            </v:shape>
            <v:shape style="position:absolute;left:6028;top:-3481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460;top:-3529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892;top:-3582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7324;top:-3582;width:1414;height:202" type="#_x0000_t202" filled="false" stroked="false">
              <v:textbox inset="0,0,0,0">
                <w:txbxContent>
                  <w:p>
                    <w:pPr>
                      <w:tabs>
                        <w:tab w:pos="431" w:val="left" w:leader="none"/>
                        <w:tab w:pos="863" w:val="left" w:leader="none"/>
                        <w:tab w:pos="1291" w:val="left" w:leader="none"/>
                      </w:tabs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</w:t>
                      <w:tab/>
                      <w:t>3</w:t>
                      <w:tab/>
                      <w:t>3</w:t>
                      <w:tab/>
                      <w:t>3</w:t>
                    </w:r>
                  </w:p>
                </w:txbxContent>
              </v:textbox>
              <w10:wrap type="none"/>
            </v:shape>
            <v:shape style="position:absolute;left:9048;top:-3582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9480;top:-3735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2126;top:-3226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579;top:-1316;width:3878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Most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Common</w:t>
                    </w:r>
                    <w:r>
                      <w:rPr>
                        <w:rFonts w:ascii="Calibri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reason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for</w:t>
                    </w:r>
                    <w:r>
                      <w:rPr>
                        <w:rFonts w:ascii="Calibri"/>
                        <w:b/>
                        <w:spacing w:val="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Hospital</w:t>
                    </w:r>
                    <w:r>
                      <w:rPr>
                        <w:rFonts w:ascii="Calibri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Admissions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-3"/>
        </w:rPr>
        <w:t> </w:t>
      </w:r>
      <w:r>
        <w:rPr/>
        <w:t>4.4:</w:t>
      </w:r>
      <w:r>
        <w:rPr>
          <w:spacing w:val="-4"/>
        </w:rPr>
        <w:t> </w:t>
      </w:r>
      <w:r>
        <w:rPr/>
        <w:t>Most</w:t>
      </w:r>
      <w:r>
        <w:rPr>
          <w:spacing w:val="-1"/>
        </w:rPr>
        <w:t> </w:t>
      </w:r>
      <w:r>
        <w:rPr/>
        <w:t>common Presentations</w:t>
      </w:r>
      <w:r>
        <w:rPr>
          <w:spacing w:val="-4"/>
        </w:rPr>
        <w:t> </w:t>
      </w:r>
      <w:r>
        <w:rPr/>
        <w:t>during</w:t>
      </w:r>
      <w:r>
        <w:rPr>
          <w:spacing w:val="-1"/>
        </w:rPr>
        <w:t> </w:t>
      </w:r>
      <w:r>
        <w:rPr/>
        <w:t>Hospital</w:t>
      </w:r>
      <w:r>
        <w:rPr>
          <w:spacing w:val="-5"/>
        </w:rPr>
        <w:t> </w:t>
      </w:r>
      <w:r>
        <w:rPr/>
        <w:t>Admissions</w:t>
      </w:r>
    </w:p>
    <w:p>
      <w:pPr>
        <w:spacing w:after="0"/>
        <w:jc w:val="left"/>
        <w:sectPr>
          <w:pgSz w:w="12240" w:h="15840"/>
          <w:pgMar w:header="0" w:footer="1017" w:top="1440" w:bottom="1200" w:left="62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5"/>
        </w:rPr>
      </w:pPr>
    </w:p>
    <w:p>
      <w:pPr>
        <w:spacing w:before="1"/>
        <w:ind w:left="1372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15.919998pt;margin-top:6.21147pt;width:340.6pt;height:213.4pt;mso-position-horizontal-relative:page;mso-position-vertical-relative:paragraph;z-index:15743488" coordorigin="2318,124" coordsize="6812,4268">
            <v:shape style="position:absolute;left:2673;top:556;width:6164;height:3773" coordorigin="2674,556" coordsize="6164,3773" path="m3058,974l2674,974,2674,4329,3058,4329,3058,974xm4018,2337l3634,2337,3634,4329,4018,4329,4018,2337xm4982,3489l4598,3489,4598,4329,4982,4329,4982,3489xm5947,4012l5563,4012,5563,4329,5947,4329,5947,4012xm6907,4223l6523,4223,6523,4329,6907,4329,6907,4223xm7872,4223l7488,4223,7488,4329,7872,4329,7872,4223xm8837,556l8453,556,8453,4329,8837,4329,8837,556xe" filled="true" fillcolor="#4e80bc" stroked="false">
              <v:path arrowok="t"/>
              <v:fill type="solid"/>
            </v:shape>
            <v:shape style="position:absolute;left:2318;top:124;width:6812;height:4268" coordorigin="2318,124" coordsize="6812,4268" path="m9130,4329l9125,4329,9125,4319,2390,4319,2390,134,2381,134,2381,124,2318,124,2318,139,2376,139,2376,647,2318,647,2318,662,2376,662,2376,1175,2318,1175,2318,1190,2376,1190,2376,1699,2318,1699,2318,1713,2376,1713,2376,2222,2318,2222,2318,2236,2376,2236,2376,2745,2318,2745,2318,2759,2376,2759,2376,3268,2318,3268,2318,3283,2376,3283,2376,3796,2318,3796,2318,3811,2376,3811,2376,4319,2318,4319,2318,4334,2371,4334,2371,4391,2386,4391,2386,4334,3336,4334,3336,4391,3350,4391,3350,4334,4301,4334,4301,4391,4315,4391,4315,4334,5261,4334,5261,4391,5275,4391,5275,4334,6226,4334,6226,4391,6240,4391,6240,4334,7190,4334,7190,4391,7205,4391,7205,4334,8150,4334,8150,4391,8165,4391,8165,4334,9115,4334,9115,4391,9130,4391,9130,4329xe" filled="true" fillcolor="#858585" stroked="false">
              <v:path arrowok="t"/>
              <v:fill type="solid"/>
            </v:shape>
            <v:shape style="position:absolute;left:8544;top:261;width:2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36</w:t>
                    </w:r>
                  </w:p>
                </w:txbxContent>
              </v:textbox>
              <w10:wrap type="none"/>
            </v:shape>
            <v:shape style="position:absolute;left:2764;top:678;width:2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32</w:t>
                    </w:r>
                  </w:p>
                </w:txbxContent>
              </v:textbox>
              <w10:wrap type="none"/>
            </v:shape>
            <v:shape style="position:absolute;left:3724;top:2041;width:2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19</w:t>
                    </w:r>
                  </w:p>
                </w:txbxContent>
              </v:textbox>
              <w10:wrap type="none"/>
            </v:shape>
            <v:shape style="position:absolute;left:4737;top:3193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5702;top:3721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662;top:3928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627;top:3928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40</w:t>
      </w:r>
    </w:p>
    <w:p>
      <w:pPr>
        <w:pStyle w:val="BodyText"/>
        <w:spacing w:before="3"/>
        <w:rPr>
          <w:rFonts w:ascii="Calibri"/>
          <w:sz w:val="18"/>
        </w:rPr>
      </w:pPr>
    </w:p>
    <w:p>
      <w:pPr>
        <w:spacing w:before="61"/>
        <w:ind w:left="137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35</w:t>
      </w:r>
    </w:p>
    <w:p>
      <w:pPr>
        <w:pStyle w:val="BodyText"/>
        <w:spacing w:before="10"/>
        <w:rPr>
          <w:rFonts w:ascii="Calibri"/>
          <w:sz w:val="17"/>
        </w:rPr>
      </w:pPr>
    </w:p>
    <w:p>
      <w:pPr>
        <w:spacing w:before="61"/>
        <w:ind w:left="137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30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61"/>
        <w:ind w:left="1372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85.520073pt;margin-top:11.082477pt;width:12.1pt;height:49.3pt;mso-position-horizontal-relative:page;mso-position-vertical-relative:paragraph;z-index:15744000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Percentage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25</w:t>
      </w:r>
    </w:p>
    <w:p>
      <w:pPr>
        <w:pStyle w:val="BodyText"/>
        <w:spacing w:before="10"/>
        <w:rPr>
          <w:rFonts w:ascii="Calibri"/>
          <w:sz w:val="22"/>
        </w:rPr>
      </w:pPr>
    </w:p>
    <w:p>
      <w:pPr>
        <w:spacing w:before="0"/>
        <w:ind w:left="137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61"/>
        <w:ind w:left="137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15</w:t>
      </w:r>
    </w:p>
    <w:p>
      <w:pPr>
        <w:pStyle w:val="BodyText"/>
        <w:spacing w:before="3"/>
        <w:rPr>
          <w:rFonts w:ascii="Calibri"/>
          <w:sz w:val="18"/>
        </w:rPr>
      </w:pPr>
    </w:p>
    <w:p>
      <w:pPr>
        <w:spacing w:before="61"/>
        <w:ind w:left="137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61"/>
        <w:ind w:left="1477" w:right="0" w:firstLine="0"/>
        <w:jc w:val="left"/>
        <w:rPr>
          <w:rFonts w:ascii="Calibri"/>
          <w:sz w:val="20"/>
        </w:rPr>
      </w:pPr>
      <w:r>
        <w:rPr>
          <w:rFonts w:ascii="Calibri"/>
          <w:w w:val="100"/>
          <w:sz w:val="20"/>
        </w:rPr>
        <w:t>5</w:t>
      </w:r>
    </w:p>
    <w:p>
      <w:pPr>
        <w:pStyle w:val="BodyText"/>
        <w:spacing w:before="10"/>
        <w:rPr>
          <w:rFonts w:ascii="Calibri"/>
          <w:sz w:val="17"/>
        </w:rPr>
      </w:pPr>
    </w:p>
    <w:p>
      <w:pPr>
        <w:spacing w:before="61"/>
        <w:ind w:left="1477" w:right="0" w:firstLine="0"/>
        <w:jc w:val="left"/>
        <w:rPr>
          <w:rFonts w:ascii="Calibri"/>
          <w:sz w:val="20"/>
        </w:rPr>
      </w:pPr>
      <w:r>
        <w:rPr>
          <w:rFonts w:ascii="Calibri"/>
          <w:w w:val="100"/>
          <w:sz w:val="20"/>
        </w:rPr>
        <w:t>0</w:t>
      </w:r>
    </w:p>
    <w:p>
      <w:pPr>
        <w:tabs>
          <w:tab w:pos="3157" w:val="left" w:leader="none"/>
          <w:tab w:pos="4117" w:val="left" w:leader="none"/>
          <w:tab w:pos="5082" w:val="left" w:leader="none"/>
          <w:tab w:pos="6047" w:val="left" w:leader="none"/>
          <w:tab w:pos="6959" w:val="left" w:leader="none"/>
          <w:tab w:pos="7559" w:val="left" w:leader="none"/>
        </w:tabs>
        <w:spacing w:before="15"/>
        <w:ind w:left="219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</w:t>
        <w:tab/>
        <w:t>1</w:t>
        <w:tab/>
        <w:t>2</w:t>
        <w:tab/>
        <w:t>3</w:t>
        <w:tab/>
        <w:t>4</w:t>
        <w:tab/>
        <w:t>12</w:t>
        <w:tab/>
        <w:t>UNKNOWN</w:t>
      </w:r>
    </w:p>
    <w:p>
      <w:pPr>
        <w:spacing w:before="63"/>
        <w:ind w:left="3863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Number</w:t>
      </w:r>
      <w:r>
        <w:rPr>
          <w:rFonts w:ascii="Calibri"/>
          <w:b/>
          <w:spacing w:val="-7"/>
          <w:sz w:val="20"/>
        </w:rPr>
        <w:t> </w:t>
      </w:r>
      <w:r>
        <w:rPr>
          <w:rFonts w:ascii="Calibri"/>
          <w:b/>
          <w:sz w:val="20"/>
        </w:rPr>
        <w:t>of</w:t>
      </w:r>
      <w:r>
        <w:rPr>
          <w:rFonts w:ascii="Calibri"/>
          <w:b/>
          <w:spacing w:val="4"/>
          <w:sz w:val="20"/>
        </w:rPr>
        <w:t> </w:t>
      </w:r>
      <w:r>
        <w:rPr>
          <w:rFonts w:ascii="Calibri"/>
          <w:b/>
          <w:sz w:val="20"/>
        </w:rPr>
        <w:t>Blood</w:t>
      </w:r>
      <w:r>
        <w:rPr>
          <w:rFonts w:ascii="Calibri"/>
          <w:b/>
          <w:spacing w:val="-4"/>
          <w:sz w:val="20"/>
        </w:rPr>
        <w:t> </w:t>
      </w:r>
      <w:r>
        <w:rPr>
          <w:rFonts w:ascii="Calibri"/>
          <w:b/>
          <w:sz w:val="20"/>
        </w:rPr>
        <w:t>Transfusions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Heading1"/>
        <w:spacing w:before="215"/>
        <w:jc w:val="left"/>
      </w:pPr>
      <w:r>
        <w:rPr/>
        <w:t>Figure</w:t>
      </w:r>
      <w:r>
        <w:rPr>
          <w:spacing w:val="-3"/>
        </w:rPr>
        <w:t> </w:t>
      </w:r>
      <w:r>
        <w:rPr/>
        <w:t>4.5: Number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Blood</w:t>
      </w:r>
      <w:r>
        <w:rPr>
          <w:spacing w:val="-1"/>
        </w:rPr>
        <w:t> </w:t>
      </w:r>
      <w:r>
        <w:rPr/>
        <w:t>Transfusions</w:t>
      </w:r>
      <w:r>
        <w:rPr>
          <w:spacing w:val="-3"/>
        </w:rPr>
        <w:t> </w:t>
      </w:r>
      <w:r>
        <w:rPr/>
        <w:t>had by</w:t>
      </w:r>
      <w:r>
        <w:rPr>
          <w:spacing w:val="-1"/>
        </w:rPr>
        <w:t> </w:t>
      </w:r>
      <w:r>
        <w:rPr/>
        <w:t>Sickle</w:t>
      </w:r>
      <w:r>
        <w:rPr>
          <w:spacing w:val="-3"/>
        </w:rPr>
        <w:t> </w:t>
      </w:r>
      <w:r>
        <w:rPr/>
        <w:t>Cell</w:t>
      </w:r>
      <w:r>
        <w:rPr>
          <w:spacing w:val="-5"/>
        </w:rPr>
        <w:t> </w:t>
      </w:r>
      <w:r>
        <w:rPr/>
        <w:t>Disease</w:t>
      </w:r>
      <w:r>
        <w:rPr>
          <w:spacing w:val="-2"/>
        </w:rPr>
        <w:t> </w:t>
      </w:r>
      <w:r>
        <w:rPr/>
        <w:t>Patients</w:t>
      </w:r>
    </w:p>
    <w:p>
      <w:pPr>
        <w:spacing w:after="0"/>
        <w:jc w:val="left"/>
        <w:sectPr>
          <w:pgSz w:w="12240" w:h="15840"/>
          <w:pgMar w:header="0" w:footer="1017" w:top="1500" w:bottom="1200" w:left="620" w:right="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86.960075pt;margin-top:107.258919pt;width:24.35pt;height:139.75pt;mso-position-horizontal-relative:page;mso-position-vertical-relative:page;z-index:15745024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9" w:right="9" w:firstLine="0"/>
                    <w:jc w:val="center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Percentage</w:t>
                  </w:r>
                  <w:r>
                    <w:rPr>
                      <w:rFonts w:ascii="Calibri"/>
                      <w:b/>
                      <w:spacing w:val="-1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of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Sickle Cell</w:t>
                  </w:r>
                  <w:r>
                    <w:rPr>
                      <w:rFonts w:ascii="Calibri"/>
                      <w:b/>
                      <w:spacing w:val="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Patients</w:t>
                  </w:r>
                </w:p>
                <w:p>
                  <w:pPr>
                    <w:spacing w:before="0"/>
                    <w:ind w:left="6" w:right="9" w:firstLine="0"/>
                    <w:jc w:val="center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with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a</w:t>
                  </w:r>
                  <w:r>
                    <w:rPr>
                      <w:rFonts w:ascii="Calibri"/>
                      <w:b/>
                      <w:spacing w:val="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Co-morbid</w:t>
                  </w:r>
                  <w:r>
                    <w:rPr>
                      <w:rFonts w:ascii="Calibri"/>
                      <w:b/>
                      <w:spacing w:val="-9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Illness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spacing w:before="90"/>
        <w:ind w:left="820" w:right="0" w:firstLine="0"/>
        <w:jc w:val="left"/>
        <w:rPr>
          <w:b/>
          <w:sz w:val="24"/>
        </w:rPr>
      </w:pPr>
      <w:r>
        <w:rPr/>
        <w:pict>
          <v:group style="position:absolute;margin-left:73.199997pt;margin-top:-368.296875pt;width:492.75pt;height:325.95pt;mso-position-horizontal-relative:page;mso-position-vertical-relative:paragraph;z-index:15744512" coordorigin="1464,-7366" coordsize="9855,6519">
            <v:shape style="position:absolute;left:2836;top:-6454;width:6869;height:3073" coordorigin="2837,-6454" coordsize="6869,3073" path="m3077,-3444l2837,-3444,2837,-3382,3077,-3382,3077,-3444xm3682,-3444l3437,-3444,3437,-3382,3682,-3382,3682,-3444xm4282,-3444l4042,-3444,4042,-3382,4282,-3382,4282,-3444xm4886,-3444l4642,-3444,4642,-3382,4886,-3382,4886,-3444xm5486,-3444l5246,-3444,5246,-3382,5486,-3382,5486,-3444xm6091,-3444l5846,-3444,5846,-3382,6091,-3382,6091,-3444xm6691,-3569l6451,-3569,6451,-3382,6691,-3382,6691,-3569xm7296,-3569l7051,-3569,7051,-3382,7296,-3382,7296,-3569xm7896,-3632l7656,-3632,7656,-3382,7896,-3382,7896,-3632xm8501,-4198l8256,-4198,8256,-3382,8501,-3382,8501,-4198xm9101,-4760l8861,-4760,8861,-3382,9101,-3382,9101,-4760xm9706,-6454l9461,-6454,9461,-3382,9706,-3382,9706,-6454xe" filled="true" fillcolor="#4e80bc" stroked="false">
              <v:path arrowok="t"/>
              <v:fill type="solid"/>
            </v:shape>
            <v:shape style="position:absolute;left:2592;top:-7155;width:8501;height:3836" coordorigin="2592,-7155" coordsize="8501,3836" path="m11093,-3382l11088,-3382,11088,-3387,2664,-3387,2664,-7145,2654,-7145,2654,-7155,2592,-7155,2592,-7140,2650,-7140,2650,-6526,2592,-6526,2592,-6512,2650,-6512,2650,-5897,2592,-5897,2592,-5883,2650,-5883,2650,-5273,2592,-5273,2592,-5259,2650,-5259,2650,-4644,2592,-4644,2592,-4630,2650,-4630,2650,-4020,2592,-4020,2592,-4006,2650,-4006,2650,-3392,2592,-3392,2592,-3377,2645,-3377,2645,-3320,2659,-3320,2659,-3372,3250,-3372,3250,-3320,3264,-3320,3264,-3372,3850,-3372,3850,-3320,3864,-3320,3864,-3372,4454,-3372,4454,-3320,4469,-3320,4469,-3372,5054,-3372,5054,-3320,5069,-3320,5069,-3372,5659,-3372,5659,-3320,5674,-3320,5674,-3372,6259,-3372,6259,-3320,6274,-3320,6274,-3372,6864,-3372,6864,-3320,6878,-3320,6878,-3372,7464,-3372,7464,-3320,7478,-3320,7478,-3372,8069,-3372,8069,-3320,8083,-3320,8083,-3372,8669,-3372,8669,-3320,8683,-3320,8683,-3372,9274,-3372,9274,-3320,9288,-3320,9288,-3372,9874,-3372,9874,-3320,9888,-3320,9888,-3372,10478,-3372,10478,-3320,10493,-3320,10493,-3372,11078,-3372,11078,-3320,11093,-3320,11093,-3382xe" filled="true" fillcolor="#858585" stroked="false">
              <v:path arrowok="t"/>
              <v:fill type="solid"/>
            </v:shape>
            <v:shape style="position:absolute;left:1987;top:-3180;width:1594;height:1598" type="#_x0000_t75" stroked="false">
              <v:imagedata r:id="rId15" o:title=""/>
            </v:shape>
            <v:shape style="position:absolute;left:3657;top:-3205;width:3557;height:1728" type="#_x0000_t75" stroked="false">
              <v:imagedata r:id="rId16" o:title=""/>
            </v:shape>
            <v:shape style="position:absolute;left:7305;top:-3181;width:1700;height:826" type="#_x0000_t75" stroked="false">
              <v:imagedata r:id="rId17" o:title=""/>
            </v:shape>
            <v:shape style="position:absolute;left:9249;top:-3166;width:375;height:346" type="#_x0000_t75" stroked="false">
              <v:imagedata r:id="rId18" o:title=""/>
            </v:shape>
            <v:shape style="position:absolute;left:1464;top:-7366;width:9855;height:6519" coordorigin="1464,-7366" coordsize="9855,6519" path="m1478,-7366l1464,-7366,1464,-848,11318,-848,11318,-852,1478,-852,1474,-862,1478,-862,1478,-7356,1474,-7356,1478,-7366xm1478,-862l1474,-862,1478,-852,1478,-862xm11304,-862l1478,-862,1478,-852,11304,-852,11304,-862xm11304,-7366l11304,-852,11314,-862,11318,-862,11318,-7356,11314,-7356,11304,-7366xm11318,-862l11314,-862,11304,-852,11318,-852,11318,-862xm1478,-7366l1474,-7356,1478,-7356,1478,-7366xm11304,-7366l1478,-7366,1478,-7356,11304,-7356,11304,-7366xm11318,-7366l11304,-7366,11314,-7356,11318,-7356,11318,-7366xe" filled="true" fillcolor="#ffffff" stroked="false">
              <v:path arrowok="t"/>
              <v:fill type="solid"/>
            </v:shape>
            <v:shape style="position:absolute;left:2270;top:-7234;width:2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2270;top:-6610;width:2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9480;top:-6750;width:2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49</w:t>
                    </w:r>
                  </w:p>
                </w:txbxContent>
              </v:textbox>
              <w10:wrap type="none"/>
            </v:shape>
            <v:shape style="position:absolute;left:2270;top:-5982;width:2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2270;top:-5358;width:2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8880;top:-5055;width:2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22</w:t>
                    </w:r>
                  </w:p>
                </w:txbxContent>
              </v:textbox>
              <w10:wrap type="none"/>
            </v:shape>
            <v:shape style="position:absolute;left:2270;top:-4729;width:2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8275;top:-4489;width:2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2270;top:-4100;width:2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908;top:-3740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508;top:-3740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113;top:-3740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713;top:-3740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318;top:-3740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918;top:-3740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523;top:-3865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7123;top:-3865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7728;top:-3927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371;top:-3476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808;top:-1311;width:1478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Co-Morbid</w:t>
                    </w:r>
                    <w:r>
                      <w:rPr>
                        <w:rFonts w:ascii="Calibri"/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Illness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4.6: Co-Morbid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Illness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Study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7" w:top="1440" w:bottom="1200" w:left="620" w:right="0"/>
        </w:sectPr>
      </w:pPr>
    </w:p>
    <w:p>
      <w:pPr>
        <w:pStyle w:val="Heading1"/>
        <w:numPr>
          <w:ilvl w:val="1"/>
          <w:numId w:val="32"/>
        </w:numPr>
        <w:tabs>
          <w:tab w:pos="1180" w:val="left" w:leader="none"/>
        </w:tabs>
        <w:spacing w:line="240" w:lineRule="auto" w:before="72" w:after="0"/>
        <w:ind w:left="1179" w:right="0" w:hanging="360"/>
        <w:jc w:val="left"/>
      </w:pPr>
      <w:r>
        <w:rPr/>
        <w:t>Medication</w:t>
      </w:r>
      <w:r>
        <w:rPr>
          <w:spacing w:val="-4"/>
        </w:rPr>
        <w:t> </w:t>
      </w:r>
      <w:r>
        <w:rPr/>
        <w:t>History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Sickle</w:t>
      </w:r>
      <w:r>
        <w:rPr>
          <w:spacing w:val="-1"/>
        </w:rPr>
        <w:t> </w:t>
      </w:r>
      <w:r>
        <w:rPr/>
        <w:t>Cell</w:t>
      </w:r>
      <w:r>
        <w:rPr>
          <w:spacing w:val="-3"/>
        </w:rPr>
        <w:t> </w:t>
      </w:r>
      <w:r>
        <w:rPr/>
        <w:t>Disease Patients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Study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55" w:lineRule="auto" w:before="1"/>
        <w:ind w:left="820" w:right="1433"/>
      </w:pPr>
      <w:r>
        <w:rPr/>
        <w:t>The</w:t>
      </w:r>
      <w:r>
        <w:rPr>
          <w:spacing w:val="35"/>
        </w:rPr>
        <w:t> </w:t>
      </w:r>
      <w:r>
        <w:rPr/>
        <w:t>routine</w:t>
      </w:r>
      <w:r>
        <w:rPr>
          <w:spacing w:val="35"/>
        </w:rPr>
        <w:t> </w:t>
      </w:r>
      <w:r>
        <w:rPr/>
        <w:t>drugs/interventions,</w:t>
      </w:r>
      <w:r>
        <w:rPr>
          <w:spacing w:val="39"/>
        </w:rPr>
        <w:t> </w:t>
      </w:r>
      <w:r>
        <w:rPr/>
        <w:t>vitamins,</w:t>
      </w:r>
      <w:r>
        <w:rPr>
          <w:spacing w:val="39"/>
        </w:rPr>
        <w:t> </w:t>
      </w:r>
      <w:r>
        <w:rPr/>
        <w:t>and</w:t>
      </w:r>
      <w:r>
        <w:rPr>
          <w:spacing w:val="41"/>
        </w:rPr>
        <w:t> </w:t>
      </w:r>
      <w:r>
        <w:rPr/>
        <w:t>analgesics</w:t>
      </w:r>
      <w:r>
        <w:rPr>
          <w:spacing w:val="34"/>
        </w:rPr>
        <w:t> </w:t>
      </w:r>
      <w:r>
        <w:rPr/>
        <w:t>used</w:t>
      </w:r>
      <w:r>
        <w:rPr>
          <w:spacing w:val="41"/>
        </w:rPr>
        <w:t> </w:t>
      </w:r>
      <w:r>
        <w:rPr/>
        <w:t>by</w:t>
      </w:r>
      <w:r>
        <w:rPr>
          <w:spacing w:val="28"/>
        </w:rPr>
        <w:t> </w:t>
      </w:r>
      <w:r>
        <w:rPr/>
        <w:t>SCD</w:t>
      </w:r>
      <w:r>
        <w:rPr>
          <w:spacing w:val="36"/>
        </w:rPr>
        <w:t> </w:t>
      </w:r>
      <w:r>
        <w:rPr/>
        <w:t>patients</w:t>
      </w:r>
      <w:r>
        <w:rPr>
          <w:spacing w:val="39"/>
        </w:rPr>
        <w:t> </w:t>
      </w:r>
      <w:r>
        <w:rPr/>
        <w:t>in</w:t>
      </w:r>
      <w:r>
        <w:rPr>
          <w:spacing w:val="32"/>
        </w:rPr>
        <w:t> </w:t>
      </w:r>
      <w:r>
        <w:rPr/>
        <w:t>crises</w:t>
      </w:r>
      <w:r>
        <w:rPr>
          <w:spacing w:val="39"/>
        </w:rPr>
        <w:t> </w:t>
      </w:r>
      <w:r>
        <w:rPr/>
        <w:t>and</w:t>
      </w:r>
      <w:r>
        <w:rPr>
          <w:spacing w:val="-57"/>
        </w:rPr>
        <w:t> </w:t>
      </w:r>
      <w:r>
        <w:rPr/>
        <w:t>SCD</w:t>
      </w:r>
      <w:r>
        <w:rPr>
          <w:spacing w:val="1"/>
        </w:rPr>
        <w:t> </w:t>
      </w:r>
      <w:r>
        <w:rPr/>
        <w:t>patients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steady</w:t>
      </w:r>
      <w:r>
        <w:rPr>
          <w:spacing w:val="-8"/>
        </w:rPr>
        <w:t> </w:t>
      </w:r>
      <w:r>
        <w:rPr/>
        <w:t>state</w:t>
      </w:r>
      <w:r>
        <w:rPr>
          <w:spacing w:val="-5"/>
        </w:rPr>
        <w:t> </w:t>
      </w:r>
      <w:r>
        <w:rPr/>
        <w:t>are seen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Figures</w:t>
      </w:r>
      <w:r>
        <w:rPr>
          <w:spacing w:val="-1"/>
        </w:rPr>
        <w:t> </w:t>
      </w:r>
      <w:r>
        <w:rPr/>
        <w:t>4.7,</w:t>
      </w:r>
      <w:r>
        <w:rPr>
          <w:spacing w:val="3"/>
        </w:rPr>
        <w:t> </w:t>
      </w:r>
      <w:r>
        <w:rPr/>
        <w:t>Figures</w:t>
      </w:r>
      <w:r>
        <w:rPr>
          <w:spacing w:val="-1"/>
        </w:rPr>
        <w:t> </w:t>
      </w:r>
      <w:r>
        <w:rPr/>
        <w:t>4.8,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Figures</w:t>
      </w:r>
      <w:r>
        <w:rPr>
          <w:spacing w:val="-1"/>
        </w:rPr>
        <w:t> </w:t>
      </w:r>
      <w:r>
        <w:rPr/>
        <w:t>4.9.</w:t>
      </w:r>
    </w:p>
    <w:p>
      <w:pPr>
        <w:pStyle w:val="BodyText"/>
        <w:spacing w:line="355" w:lineRule="auto" w:before="210"/>
        <w:ind w:left="820" w:right="1433"/>
      </w:pPr>
      <w:r>
        <w:rPr/>
        <w:t>The</w:t>
      </w:r>
      <w:r>
        <w:rPr>
          <w:spacing w:val="9"/>
        </w:rPr>
        <w:t> </w:t>
      </w:r>
      <w:r>
        <w:rPr/>
        <w:t>utilisation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these</w:t>
      </w:r>
      <w:r>
        <w:rPr>
          <w:spacing w:val="18"/>
        </w:rPr>
        <w:t> </w:t>
      </w:r>
      <w:r>
        <w:rPr/>
        <w:t>medications</w:t>
      </w:r>
      <w:r>
        <w:rPr>
          <w:spacing w:val="18"/>
        </w:rPr>
        <w:t> </w:t>
      </w:r>
      <w:r>
        <w:rPr/>
        <w:t>by</w:t>
      </w:r>
      <w:r>
        <w:rPr>
          <w:spacing w:val="6"/>
        </w:rPr>
        <w:t> </w:t>
      </w:r>
      <w:r>
        <w:rPr/>
        <w:t>the</w:t>
      </w:r>
      <w:r>
        <w:rPr>
          <w:spacing w:val="9"/>
        </w:rPr>
        <w:t> </w:t>
      </w:r>
      <w:r>
        <w:rPr/>
        <w:t>different</w:t>
      </w:r>
      <w:r>
        <w:rPr>
          <w:spacing w:val="16"/>
        </w:rPr>
        <w:t> </w:t>
      </w:r>
      <w:r>
        <w:rPr/>
        <w:t>groups</w:t>
      </w:r>
      <w:r>
        <w:rPr>
          <w:spacing w:val="8"/>
        </w:rPr>
        <w:t> </w:t>
      </w:r>
      <w:r>
        <w:rPr/>
        <w:t>of</w:t>
      </w:r>
      <w:r>
        <w:rPr>
          <w:spacing w:val="2"/>
        </w:rPr>
        <w:t> </w:t>
      </w:r>
      <w:r>
        <w:rPr/>
        <w:t>SCD</w:t>
      </w:r>
      <w:r>
        <w:rPr>
          <w:spacing w:val="15"/>
        </w:rPr>
        <w:t> </w:t>
      </w:r>
      <w:r>
        <w:rPr/>
        <w:t>variants</w:t>
      </w:r>
      <w:r>
        <w:rPr>
          <w:spacing w:val="8"/>
        </w:rPr>
        <w:t> </w:t>
      </w:r>
      <w:r>
        <w:rPr/>
        <w:t>are</w:t>
      </w:r>
      <w:r>
        <w:rPr>
          <w:spacing w:val="13"/>
        </w:rPr>
        <w:t> </w:t>
      </w:r>
      <w:r>
        <w:rPr/>
        <w:t>seen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Figures</w:t>
      </w:r>
      <w:r>
        <w:rPr>
          <w:spacing w:val="-57"/>
        </w:rPr>
        <w:t> </w:t>
      </w:r>
      <w:r>
        <w:rPr/>
        <w:t>4.10,</w:t>
      </w:r>
      <w:r>
        <w:rPr>
          <w:spacing w:val="-1"/>
        </w:rPr>
        <w:t> </w:t>
      </w:r>
      <w:r>
        <w:rPr/>
        <w:t>Figures 4.11,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Figures 4.12.</w:t>
      </w:r>
    </w:p>
    <w:p>
      <w:pPr>
        <w:pStyle w:val="BodyText"/>
        <w:spacing w:line="355" w:lineRule="auto" w:before="210"/>
        <w:ind w:left="820" w:right="1433"/>
      </w:pPr>
      <w:r>
        <w:rPr/>
        <w:t>The</w:t>
      </w:r>
      <w:r>
        <w:rPr>
          <w:spacing w:val="23"/>
        </w:rPr>
        <w:t> </w:t>
      </w:r>
      <w:r>
        <w:rPr/>
        <w:t>white</w:t>
      </w:r>
      <w:r>
        <w:rPr>
          <w:spacing w:val="28"/>
        </w:rPr>
        <w:t> </w:t>
      </w:r>
      <w:r>
        <w:rPr/>
        <w:t>blood</w:t>
      </w:r>
      <w:r>
        <w:rPr>
          <w:spacing w:val="24"/>
        </w:rPr>
        <w:t> </w:t>
      </w:r>
      <w:r>
        <w:rPr/>
        <w:t>cell</w:t>
      </w:r>
      <w:r>
        <w:rPr>
          <w:spacing w:val="25"/>
        </w:rPr>
        <w:t> </w:t>
      </w:r>
      <w:r>
        <w:rPr/>
        <w:t>counts</w:t>
      </w:r>
      <w:r>
        <w:rPr>
          <w:spacing w:val="22"/>
        </w:rPr>
        <w:t> </w:t>
      </w:r>
      <w:r>
        <w:rPr/>
        <w:t>of</w:t>
      </w:r>
      <w:r>
        <w:rPr>
          <w:spacing w:val="16"/>
        </w:rPr>
        <w:t> </w:t>
      </w:r>
      <w:r>
        <w:rPr/>
        <w:t>SCD</w:t>
      </w:r>
      <w:r>
        <w:rPr>
          <w:spacing w:val="28"/>
        </w:rPr>
        <w:t> </w:t>
      </w:r>
      <w:r>
        <w:rPr/>
        <w:t>patients</w:t>
      </w:r>
      <w:r>
        <w:rPr>
          <w:spacing w:val="22"/>
        </w:rPr>
        <w:t> </w:t>
      </w:r>
      <w:r>
        <w:rPr/>
        <w:t>were</w:t>
      </w:r>
      <w:r>
        <w:rPr>
          <w:spacing w:val="23"/>
        </w:rPr>
        <w:t> </w:t>
      </w:r>
      <w:r>
        <w:rPr/>
        <w:t>compared</w:t>
      </w:r>
      <w:r>
        <w:rPr>
          <w:spacing w:val="25"/>
        </w:rPr>
        <w:t> </w:t>
      </w:r>
      <w:r>
        <w:rPr/>
        <w:t>to</w:t>
      </w:r>
      <w:r>
        <w:rPr>
          <w:spacing w:val="24"/>
        </w:rPr>
        <w:t> </w:t>
      </w:r>
      <w:r>
        <w:rPr/>
        <w:t>their</w:t>
      </w:r>
      <w:r>
        <w:rPr>
          <w:spacing w:val="25"/>
        </w:rPr>
        <w:t> </w:t>
      </w:r>
      <w:r>
        <w:rPr/>
        <w:t>amoxicillin</w:t>
      </w:r>
      <w:r>
        <w:rPr>
          <w:spacing w:val="24"/>
        </w:rPr>
        <w:t> </w:t>
      </w:r>
      <w:r>
        <w:rPr/>
        <w:t>requirements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utilisation;</w:t>
      </w:r>
      <w:r>
        <w:rPr>
          <w:spacing w:val="-2"/>
        </w:rPr>
        <w:t> </w:t>
      </w:r>
      <w:r>
        <w:rPr/>
        <w:t>this was</w:t>
      </w:r>
      <w:r>
        <w:rPr>
          <w:spacing w:val="-1"/>
        </w:rPr>
        <w:t> </w:t>
      </w:r>
      <w:r>
        <w:rPr/>
        <w:t>presented</w:t>
      </w:r>
      <w:r>
        <w:rPr>
          <w:spacing w:val="7"/>
        </w:rPr>
        <w:t> </w:t>
      </w:r>
      <w:r>
        <w:rPr/>
        <w:t>in</w:t>
      </w:r>
      <w:r>
        <w:rPr>
          <w:spacing w:val="-3"/>
        </w:rPr>
        <w:t> </w:t>
      </w:r>
      <w:r>
        <w:rPr/>
        <w:t>table</w:t>
      </w:r>
      <w:r>
        <w:rPr>
          <w:spacing w:val="1"/>
        </w:rPr>
        <w:t> </w:t>
      </w:r>
      <w:r>
        <w:rPr/>
        <w:t>4.13.</w:t>
      </w:r>
    </w:p>
    <w:p>
      <w:pPr>
        <w:spacing w:after="0" w:line="355" w:lineRule="auto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after="0"/>
        <w:rPr>
          <w:sz w:val="21"/>
        </w:rPr>
        <w:sectPr>
          <w:pgSz w:w="12240" w:h="15840"/>
          <w:pgMar w:header="0" w:footer="1017" w:top="1500" w:bottom="1200" w:left="620" w:right="0"/>
        </w:sectPr>
      </w:pPr>
    </w:p>
    <w:p>
      <w:pPr>
        <w:spacing w:before="61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120</w:t>
      </w:r>
    </w:p>
    <w:p>
      <w:pPr>
        <w:pStyle w:val="BodyText"/>
        <w:spacing w:before="9"/>
        <w:rPr>
          <w:rFonts w:ascii="Calibri"/>
          <w:sz w:val="28"/>
        </w:rPr>
      </w:pPr>
    </w:p>
    <w:p>
      <w:pPr>
        <w:spacing w:before="0"/>
        <w:ind w:left="0" w:right="0" w:firstLine="0"/>
        <w:jc w:val="right"/>
        <w:rPr>
          <w:rFonts w:ascii="Calibri"/>
          <w:sz w:val="20"/>
        </w:rPr>
      </w:pPr>
      <w:r>
        <w:rPr/>
        <w:pict>
          <v:shape style="position:absolute;margin-left:86.240074pt;margin-top:18.443527pt;width:12.1pt;height:94.35pt;mso-position-horizontal-relative:page;mso-position-vertical-relative:paragraph;z-index:15746048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Percentage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Utilisation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100</w:t>
      </w:r>
    </w:p>
    <w:p>
      <w:pPr>
        <w:pStyle w:val="BodyText"/>
        <w:spacing w:before="4"/>
        <w:rPr>
          <w:rFonts w:ascii="Calibri"/>
          <w:sz w:val="28"/>
        </w:rPr>
      </w:pPr>
    </w:p>
    <w:p>
      <w:pPr>
        <w:spacing w:before="1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80</w:t>
      </w:r>
    </w:p>
    <w:p>
      <w:pPr>
        <w:pStyle w:val="BodyText"/>
        <w:spacing w:before="4"/>
        <w:rPr>
          <w:rFonts w:ascii="Calibri"/>
          <w:sz w:val="28"/>
        </w:rPr>
      </w:pPr>
    </w:p>
    <w:p>
      <w:pPr>
        <w:spacing w:before="0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60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spacing w:before="3"/>
        <w:rPr>
          <w:rFonts w:ascii="Calibri"/>
          <w:sz w:val="17"/>
        </w:rPr>
      </w:pPr>
    </w:p>
    <w:p>
      <w:pPr>
        <w:spacing w:before="0"/>
        <w:ind w:left="47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100</w:t>
      </w:r>
      <w:r>
        <w:rPr>
          <w:rFonts w:ascii="Calibri"/>
          <w:spacing w:val="32"/>
          <w:sz w:val="20"/>
        </w:rPr>
        <w:t> </w:t>
      </w:r>
      <w:r>
        <w:rPr>
          <w:rFonts w:ascii="Calibri"/>
          <w:sz w:val="20"/>
        </w:rPr>
        <w:t>100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5"/>
        </w:rPr>
      </w:pPr>
    </w:p>
    <w:p>
      <w:pPr>
        <w:spacing w:line="211" w:lineRule="exact" w:before="0"/>
        <w:ind w:left="120" w:right="20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73</w:t>
      </w:r>
    </w:p>
    <w:p>
      <w:pPr>
        <w:spacing w:line="163" w:lineRule="exact" w:before="0"/>
        <w:ind w:left="878" w:right="20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67</w:t>
      </w:r>
    </w:p>
    <w:p>
      <w:pPr>
        <w:spacing w:line="196" w:lineRule="exact" w:before="0"/>
        <w:ind w:left="3557" w:right="20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62</w:t>
      </w:r>
    </w:p>
    <w:p>
      <w:pPr>
        <w:spacing w:before="140"/>
        <w:ind w:left="0" w:right="423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49</w:t>
      </w:r>
    </w:p>
    <w:p>
      <w:pPr>
        <w:spacing w:before="90"/>
        <w:ind w:left="1914" w:right="0" w:firstLine="0"/>
        <w:jc w:val="lef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  <w:t>SCD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CRISES</w:t>
      </w:r>
    </w:p>
    <w:p>
      <w:pPr>
        <w:pStyle w:val="BodyText"/>
        <w:spacing w:before="4"/>
        <w:rPr>
          <w:rFonts w:ascii="Calibri"/>
          <w:sz w:val="15"/>
        </w:rPr>
      </w:pPr>
    </w:p>
    <w:p>
      <w:pPr>
        <w:spacing w:before="0"/>
        <w:ind w:left="1914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21.68pt;margin-top:-17.59852pt;width:337.7pt;height:181.7pt;mso-position-horizontal-relative:page;mso-position-vertical-relative:paragraph;z-index:-20254208" coordorigin="2434,-352" coordsize="6754,3634">
            <v:rect style="position:absolute;left:2784;top:267;width:384;height:2952" filled="true" fillcolor="#4e80bc" stroked="false">
              <v:fill type="solid"/>
            </v:rect>
            <v:shape style="position:absolute;left:3163;top:257;width:389;height:2967" type="#_x0000_t75" stroked="false">
              <v:imagedata r:id="rId19" o:title=""/>
            </v:shape>
            <v:rect style="position:absolute;left:4123;top:1064;width:380;height:2156" filled="true" fillcolor="#4e80bc" stroked="false">
              <v:fill type="solid"/>
            </v:rect>
            <v:shape style="position:absolute;left:4497;top:1232;width:394;height:1992" type="#_x0000_t75" stroked="false">
              <v:imagedata r:id="rId20" o:title=""/>
            </v:shape>
            <v:rect style="position:absolute;left:5457;top:1774;width:384;height:1445" filled="true" fillcolor="#4e80bc" stroked="false">
              <v:fill type="solid"/>
            </v:rect>
            <v:shape style="position:absolute;left:5836;top:1380;width:389;height:1844" type="#_x0000_t75" stroked="false">
              <v:imagedata r:id="rId21" o:title=""/>
            </v:shape>
            <v:rect style="position:absolute;left:8131;top:795;width:384;height:2424" filled="true" fillcolor="#4e80bc" stroked="false">
              <v:fill type="solid"/>
            </v:rect>
            <v:shape style="position:absolute;left:8510;top:848;width:389;height:2376" type="#_x0000_t75" stroked="false">
              <v:imagedata r:id="rId22" o:title=""/>
            </v:shape>
            <v:shape style="position:absolute;left:7171;top:3094;width:394;height:130" type="#_x0000_t75" stroked="false">
              <v:imagedata r:id="rId23" o:title=""/>
            </v:shape>
            <v:shape style="position:absolute;left:2433;top:-333;width:6754;height:3615" coordorigin="2434,-333" coordsize="6754,3615" path="m9187,3219l9178,3219,9178,3214,2506,3214,2506,-328,2496,-328,2496,-333,2434,-333,2434,-318,2491,-318,2491,258,2434,258,2434,272,2491,272,2491,848,2434,848,2434,862,2491,862,2491,1438,2434,1438,2434,1453,2491,1453,2491,2029,2434,2029,2434,2043,2491,2043,2491,2624,2434,2624,2434,2638,2491,2638,2491,3214,2434,3214,2434,3229,2491,3229,2491,3282,2506,3282,2506,3229,3826,3229,3826,3282,3840,3282,3840,3229,5165,3229,5165,3282,5179,3282,5179,3229,6499,3229,6499,3282,6514,3282,6514,3229,7838,3229,7838,3282,7853,3282,7853,3229,9173,3229,9173,3282,9187,3282,9187,3219xe" filled="true" fillcolor="#858585" stroked="false">
              <v:path arrowok="t"/>
              <v:fill type="solid"/>
            </v:shape>
            <v:rect style="position:absolute;left:8587;top:-352;width:111;height:111" filled="true" fillcolor="#4e80bc" stroked="false">
              <v:fill type="solid"/>
            </v:rect>
            <v:shape style="position:absolute;left:8587;top:75;width:111;height:111" type="#_x0000_t75" stroked="false">
              <v:imagedata r:id="rId24" o:title=""/>
            </v:shape>
            <w10:wrap type="none"/>
          </v:group>
        </w:pict>
      </w:r>
      <w:r>
        <w:rPr>
          <w:rFonts w:ascii="Calibri"/>
          <w:sz w:val="20"/>
        </w:rPr>
        <w:t>SCD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STEADY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STATE</w:t>
      </w:r>
    </w:p>
    <w:p>
      <w:pPr>
        <w:pStyle w:val="BodyText"/>
        <w:spacing w:before="9"/>
        <w:rPr>
          <w:rFonts w:ascii="Calibri"/>
          <w:sz w:val="17"/>
        </w:rPr>
      </w:pPr>
    </w:p>
    <w:p>
      <w:pPr>
        <w:spacing w:before="1"/>
        <w:ind w:left="138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82</w:t>
      </w:r>
      <w:r>
        <w:rPr>
          <w:rFonts w:ascii="Calibri"/>
          <w:spacing w:val="89"/>
          <w:sz w:val="20"/>
        </w:rPr>
        <w:t> </w:t>
      </w:r>
      <w:r>
        <w:rPr>
          <w:rFonts w:ascii="Calibri"/>
          <w:position w:val="-5"/>
          <w:sz w:val="20"/>
        </w:rPr>
        <w:t>80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2240" w:h="15840"/>
          <w:pgMar w:top="1360" w:bottom="280" w:left="620" w:right="0"/>
          <w:cols w:num="3" w:equalWidth="0">
            <w:col w:w="1691" w:space="40"/>
            <w:col w:w="3821" w:space="659"/>
            <w:col w:w="5409"/>
          </w:cols>
        </w:sectPr>
      </w:pPr>
    </w:p>
    <w:p>
      <w:pPr>
        <w:pStyle w:val="BodyText"/>
        <w:spacing w:before="2"/>
        <w:rPr>
          <w:rFonts w:ascii="Calibri"/>
          <w:sz w:val="13"/>
        </w:rPr>
      </w:pPr>
    </w:p>
    <w:p>
      <w:pPr>
        <w:spacing w:before="61"/>
        <w:ind w:left="148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</w:t>
      </w:r>
    </w:p>
    <w:p>
      <w:pPr>
        <w:pStyle w:val="BodyText"/>
        <w:spacing w:before="4"/>
        <w:rPr>
          <w:rFonts w:ascii="Calibri"/>
          <w:sz w:val="23"/>
        </w:rPr>
      </w:pPr>
    </w:p>
    <w:p>
      <w:pPr>
        <w:spacing w:before="61"/>
        <w:ind w:left="148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tabs>
          <w:tab w:pos="1872" w:val="left" w:leader="none"/>
        </w:tabs>
        <w:spacing w:line="208" w:lineRule="auto" w:before="33"/>
        <w:ind w:left="1493" w:right="0" w:firstLine="0"/>
        <w:jc w:val="center"/>
        <w:rPr>
          <w:rFonts w:ascii="Calibri"/>
          <w:sz w:val="20"/>
        </w:rPr>
      </w:pPr>
      <w:r>
        <w:rPr>
          <w:rFonts w:ascii="Calibri"/>
          <w:position w:val="-11"/>
          <w:sz w:val="20"/>
        </w:rPr>
        <w:t>0</w:t>
        <w:tab/>
      </w:r>
      <w:r>
        <w:rPr>
          <w:rFonts w:ascii="Calibri"/>
          <w:sz w:val="20"/>
        </w:rPr>
        <w:t>4</w:t>
      </w:r>
    </w:p>
    <w:p>
      <w:pPr>
        <w:spacing w:line="222" w:lineRule="exact" w:before="0"/>
        <w:ind w:left="1592" w:right="0" w:firstLine="0"/>
        <w:jc w:val="left"/>
        <w:rPr>
          <w:rFonts w:ascii="Calibri"/>
          <w:sz w:val="20"/>
        </w:rPr>
      </w:pPr>
      <w:r>
        <w:rPr>
          <w:rFonts w:ascii="Calibri"/>
          <w:w w:val="100"/>
          <w:sz w:val="20"/>
        </w:rPr>
        <w:t>0</w:t>
      </w:r>
    </w:p>
    <w:p>
      <w:pPr>
        <w:tabs>
          <w:tab w:pos="1300" w:val="left" w:leader="none"/>
          <w:tab w:pos="2495" w:val="left" w:leader="none"/>
        </w:tabs>
        <w:spacing w:before="15"/>
        <w:ind w:left="0" w:right="1092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FOLIC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ACID</w:t>
        <w:tab/>
        <w:t>PROGUANIL</w:t>
        <w:tab/>
        <w:t>LIBERAL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FLUIDS</w:t>
      </w:r>
      <w:r>
        <w:rPr>
          <w:rFonts w:ascii="Calibri"/>
          <w:spacing w:val="36"/>
          <w:sz w:val="20"/>
        </w:rPr>
        <w:t> </w:t>
      </w:r>
      <w:r>
        <w:rPr>
          <w:rFonts w:ascii="Calibri"/>
          <w:sz w:val="20"/>
        </w:rPr>
        <w:t>HYDROXYUREA</w:t>
      </w:r>
      <w:r>
        <w:rPr>
          <w:rFonts w:ascii="Calibri"/>
          <w:spacing w:val="80"/>
          <w:sz w:val="20"/>
        </w:rPr>
        <w:t> </w:t>
      </w:r>
      <w:r>
        <w:rPr>
          <w:rFonts w:ascii="Calibri"/>
          <w:sz w:val="20"/>
        </w:rPr>
        <w:t>AMOXICILLIN</w:t>
      </w:r>
    </w:p>
    <w:p>
      <w:pPr>
        <w:spacing w:before="59"/>
        <w:ind w:left="423" w:right="1604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Drug/Intervention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3"/>
        <w:rPr>
          <w:rFonts w:ascii="Calibri"/>
          <w:b/>
          <w:sz w:val="17"/>
        </w:rPr>
      </w:pPr>
    </w:p>
    <w:p>
      <w:pPr>
        <w:pStyle w:val="Heading1"/>
        <w:spacing w:line="530" w:lineRule="auto" w:before="90"/>
        <w:ind w:left="1362" w:right="1993" w:hanging="543"/>
        <w:jc w:val="left"/>
      </w:pPr>
      <w:r>
        <w:rPr/>
        <w:t>Figure</w:t>
      </w:r>
      <w:r>
        <w:rPr>
          <w:spacing w:val="-3"/>
        </w:rPr>
        <w:t> </w:t>
      </w:r>
      <w:r>
        <w:rPr/>
        <w:t>4.7:</w:t>
      </w:r>
      <w:r>
        <w:rPr>
          <w:spacing w:val="-1"/>
        </w:rPr>
        <w:t> </w:t>
      </w:r>
      <w:r>
        <w:rPr/>
        <w:t>Routine</w:t>
      </w:r>
      <w:r>
        <w:rPr>
          <w:spacing w:val="-3"/>
        </w:rPr>
        <w:t> </w:t>
      </w:r>
      <w:r>
        <w:rPr/>
        <w:t>Drugs/Interventions</w:t>
      </w:r>
      <w:r>
        <w:rPr>
          <w:spacing w:val="-4"/>
        </w:rPr>
        <w:t> </w:t>
      </w:r>
      <w:r>
        <w:rPr/>
        <w:t>used 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Management of</w:t>
      </w:r>
      <w:r>
        <w:rPr>
          <w:spacing w:val="-5"/>
        </w:rPr>
        <w:t> </w:t>
      </w:r>
      <w:r>
        <w:rPr/>
        <w:t>Sickle</w:t>
      </w:r>
      <w:r>
        <w:rPr>
          <w:spacing w:val="-3"/>
        </w:rPr>
        <w:t> </w:t>
      </w:r>
      <w:r>
        <w:rPr/>
        <w:t>Cell</w:t>
      </w:r>
      <w:r>
        <w:rPr>
          <w:spacing w:val="-57"/>
        </w:rPr>
        <w:t> </w:t>
      </w:r>
      <w:r>
        <w:rPr/>
        <w:t>Disease Patients in</w:t>
      </w:r>
      <w:r>
        <w:rPr>
          <w:spacing w:val="3"/>
        </w:rPr>
        <w:t> </w:t>
      </w:r>
      <w:r>
        <w:rPr/>
        <w:t>the</w:t>
      </w:r>
      <w:r>
        <w:rPr>
          <w:spacing w:val="-4"/>
        </w:rPr>
        <w:t> </w:t>
      </w:r>
      <w:r>
        <w:rPr/>
        <w:t>Study</w:t>
      </w:r>
    </w:p>
    <w:p>
      <w:pPr>
        <w:spacing w:after="0" w:line="530" w:lineRule="auto"/>
        <w:jc w:val="left"/>
        <w:sectPr>
          <w:type w:val="continuous"/>
          <w:pgSz w:w="12240" w:h="15840"/>
          <w:pgMar w:top="1360" w:bottom="280" w:left="62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5"/>
        </w:rPr>
      </w:pPr>
    </w:p>
    <w:p>
      <w:pPr>
        <w:spacing w:before="1"/>
        <w:ind w:left="1372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15.919998pt;margin-top:6.45147pt;width:296.4pt;height:214.6pt;mso-position-horizontal-relative:page;mso-position-vertical-relative:paragraph;z-index:-20253184" coordorigin="2318,129" coordsize="5928,4292">
            <v:rect style="position:absolute;left:2697;top:714;width:418;height:3644" filled="true" fillcolor="#4e80bc" stroked="false">
              <v:fill type="solid"/>
            </v:rect>
            <v:shape style="position:absolute;left:3110;top:709;width:428;height:3653" type="#_x0000_t75" stroked="false">
              <v:imagedata r:id="rId25" o:title=""/>
            </v:shape>
            <v:rect style="position:absolute;left:4161;top:1770;width:418;height:2588" filled="true" fillcolor="#4e80bc" stroked="false">
              <v:fill type="solid"/>
            </v:rect>
            <v:shape style="position:absolute;left:4574;top:1660;width:428;height:2703" type="#_x0000_t75" stroked="false">
              <v:imagedata r:id="rId26" o:title=""/>
            </v:shape>
            <v:rect style="position:absolute;left:5625;top:3301;width:418;height:1056" filled="true" fillcolor="#4e80bc" stroked="false">
              <v:fill type="solid"/>
            </v:rect>
            <v:shape style="position:absolute;left:6038;top:1871;width:428;height:2492" type="#_x0000_t75" stroked="false">
              <v:imagedata r:id="rId27" o:title=""/>
            </v:shape>
            <v:rect style="position:absolute;left:7089;top:3671;width:418;height:687" filled="true" fillcolor="#4e80bc" stroked="false">
              <v:fill type="solid"/>
            </v:rect>
            <v:shape style="position:absolute;left:7502;top:3297;width:428;height:1066" type="#_x0000_t75" stroked="false">
              <v:imagedata r:id="rId28" o:title=""/>
            </v:shape>
            <v:shape style="position:absolute;left:2318;top:129;width:5928;height:4292" coordorigin="2318,129" coordsize="5928,4292" path="m8246,4358l8237,4358,8237,4353,2390,4353,2390,134,2381,134,2381,129,2318,129,2318,143,2376,143,2376,657,2318,657,2318,671,2376,671,2376,1185,2318,1185,2318,1199,2376,1199,2376,1713,2318,1713,2318,1727,2376,1727,2376,2241,2318,2241,2318,2255,2376,2255,2376,2769,2318,2769,2318,2783,2376,2783,2376,3297,2318,3297,2318,3311,2376,3311,2376,3825,2318,3825,2318,3839,2376,3839,2376,4353,2318,4353,2318,4367,2376,4367,2376,4420,2390,4420,2390,4367,3840,4367,3840,4420,3854,4420,3854,4367,5304,4367,5304,4420,5318,4420,5318,4367,6768,4367,6768,4420,6782,4420,6782,4367,8232,4367,8232,4420,8246,4420,8246,4358xe" filled="true" fillcolor="#858585" stroked="false">
              <v:path arrowok="t"/>
              <v:fill type="solid"/>
            </v:shape>
            <v:shape style="position:absolute;left:2803;top:424;width:641;height:202" type="#_x0000_t202" filled="false" stroked="false">
              <v:textbox inset="0,0,0,0">
                <w:txbxContent>
                  <w:p>
                    <w:pPr>
                      <w:tabs>
                        <w:tab w:pos="417" w:val="left" w:leader="none"/>
                      </w:tabs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69</w:t>
                      <w:tab/>
                      <w:t>69</w:t>
                    </w:r>
                  </w:p>
                </w:txbxContent>
              </v:textbox>
              <w10:wrap type="none"/>
            </v:shape>
            <v:shape style="position:absolute;left:4267;top:1480;width:2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49</w:t>
                    </w:r>
                  </w:p>
                </w:txbxContent>
              </v:textbox>
              <w10:wrap type="none"/>
            </v:shape>
            <v:shape style="position:absolute;left:4684;top:1374;width:2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51</w:t>
                    </w:r>
                  </w:p>
                </w:txbxContent>
              </v:textbox>
              <w10:wrap type="none"/>
            </v:shape>
            <v:shape style="position:absolute;left:6148;top:1585;width:2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47</w:t>
                    </w:r>
                  </w:p>
                </w:txbxContent>
              </v:textbox>
              <w10:wrap type="none"/>
            </v:shape>
            <v:shape style="position:absolute;left:5731;top:3006;width:2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7612;top:3006;width:2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7195;top:3376;width:2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80</w:t>
      </w:r>
    </w:p>
    <w:p>
      <w:pPr>
        <w:pStyle w:val="BodyText"/>
        <w:spacing w:before="3"/>
        <w:rPr>
          <w:rFonts w:ascii="Calibri"/>
          <w:sz w:val="18"/>
        </w:rPr>
      </w:pPr>
    </w:p>
    <w:p>
      <w:pPr>
        <w:spacing w:before="61"/>
        <w:ind w:left="137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70</w:t>
      </w:r>
    </w:p>
    <w:p>
      <w:pPr>
        <w:pStyle w:val="BodyText"/>
        <w:spacing w:before="3"/>
        <w:rPr>
          <w:rFonts w:ascii="Calibri"/>
          <w:sz w:val="18"/>
        </w:rPr>
      </w:pPr>
    </w:p>
    <w:p>
      <w:pPr>
        <w:spacing w:before="61"/>
        <w:ind w:left="1372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85.520073pt;margin-top:15.513659pt;width:12.1pt;height:94.3pt;mso-position-horizontal-relative:page;mso-position-vertical-relative:paragraph;z-index:15748096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Percentage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Utilisation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60</w:t>
      </w:r>
    </w:p>
    <w:p>
      <w:pPr>
        <w:pStyle w:val="BodyText"/>
        <w:spacing w:before="3"/>
        <w:rPr>
          <w:rFonts w:ascii="Calibri"/>
          <w:sz w:val="23"/>
        </w:rPr>
      </w:pPr>
    </w:p>
    <w:p>
      <w:pPr>
        <w:spacing w:before="0"/>
        <w:ind w:left="137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50</w:t>
      </w:r>
    </w:p>
    <w:p>
      <w:pPr>
        <w:pStyle w:val="BodyText"/>
        <w:spacing w:before="3"/>
        <w:rPr>
          <w:rFonts w:ascii="Calibri"/>
          <w:sz w:val="18"/>
        </w:rPr>
      </w:pPr>
    </w:p>
    <w:p>
      <w:pPr>
        <w:spacing w:line="208" w:lineRule="exact" w:before="61"/>
        <w:ind w:left="137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</w:t>
      </w:r>
    </w:p>
    <w:p>
      <w:pPr>
        <w:spacing w:line="208" w:lineRule="exact" w:before="0"/>
        <w:ind w:left="8096" w:right="0" w:firstLine="0"/>
        <w:jc w:val="left"/>
        <w:rPr>
          <w:rFonts w:ascii="Calibri"/>
          <w:sz w:val="20"/>
        </w:rPr>
      </w:pPr>
      <w:r>
        <w:rPr/>
        <w:pict>
          <v:rect style="position:absolute;margin-left:427.920013pt;margin-top:1.977971pt;width:5.52pt;height:5.52pt;mso-position-horizontal-relative:page;mso-position-vertical-relative:paragraph;z-index:15747072" filled="true" fillcolor="#4e80bc" stroked="false">
            <v:fill type="solid"/>
            <w10:wrap type="none"/>
          </v:rect>
        </w:pict>
      </w:r>
      <w:r>
        <w:rPr>
          <w:rFonts w:ascii="Calibri"/>
          <w:sz w:val="20"/>
        </w:rPr>
        <w:t>SCD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CRISES</w:t>
      </w:r>
    </w:p>
    <w:p>
      <w:pPr>
        <w:tabs>
          <w:tab w:pos="8096" w:val="left" w:leader="none"/>
        </w:tabs>
        <w:spacing w:before="116"/>
        <w:ind w:left="1372" w:right="0" w:firstLine="0"/>
        <w:jc w:val="lef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3064320">
            <wp:simplePos x="0" y="0"/>
            <wp:positionH relativeFrom="page">
              <wp:posOffset>5437632</wp:posOffset>
            </wp:positionH>
            <wp:positionV relativeFrom="paragraph">
              <wp:posOffset>124478</wp:posOffset>
            </wp:positionV>
            <wp:extent cx="70103" cy="70103"/>
            <wp:effectExtent l="0" t="0" r="0" b="0"/>
            <wp:wrapNone/>
            <wp:docPr id="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t>30</w:t>
        <w:tab/>
        <w:t>SCD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STEADY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STATE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61"/>
        <w:ind w:left="137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pStyle w:val="BodyText"/>
        <w:spacing w:before="3"/>
        <w:rPr>
          <w:rFonts w:ascii="Calibri"/>
          <w:sz w:val="18"/>
        </w:rPr>
      </w:pPr>
    </w:p>
    <w:p>
      <w:pPr>
        <w:spacing w:before="61"/>
        <w:ind w:left="137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</w:t>
      </w:r>
    </w:p>
    <w:p>
      <w:pPr>
        <w:pStyle w:val="BodyText"/>
        <w:spacing w:before="3"/>
        <w:rPr>
          <w:rFonts w:ascii="Calibri"/>
          <w:sz w:val="18"/>
        </w:rPr>
      </w:pPr>
    </w:p>
    <w:p>
      <w:pPr>
        <w:spacing w:before="61"/>
        <w:ind w:left="1477" w:right="0" w:firstLine="0"/>
        <w:jc w:val="left"/>
        <w:rPr>
          <w:rFonts w:ascii="Calibri"/>
          <w:sz w:val="20"/>
        </w:rPr>
      </w:pPr>
      <w:r>
        <w:rPr>
          <w:rFonts w:ascii="Calibri"/>
          <w:w w:val="100"/>
          <w:sz w:val="20"/>
        </w:rPr>
        <w:t>0</w:t>
      </w:r>
    </w:p>
    <w:p>
      <w:pPr>
        <w:tabs>
          <w:tab w:pos="1363" w:val="left" w:leader="none"/>
          <w:tab w:pos="2879" w:val="left" w:leader="none"/>
          <w:tab w:pos="4396" w:val="left" w:leader="none"/>
        </w:tabs>
        <w:spacing w:before="15"/>
        <w:ind w:left="0" w:right="2242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VITAMIN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C</w:t>
        <w:tab/>
        <w:t>VITAMIN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B12</w:t>
        <w:tab/>
        <w:t>VITAMIN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B6</w:t>
        <w:tab/>
        <w:t>VITAMIN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E</w:t>
      </w:r>
    </w:p>
    <w:p>
      <w:pPr>
        <w:spacing w:before="63"/>
        <w:ind w:left="10" w:right="2242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Vitamin/Antioxidant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Heading1"/>
        <w:spacing w:before="214"/>
        <w:jc w:val="left"/>
      </w:pPr>
      <w:r>
        <w:rPr/>
        <w:t>Figure</w:t>
      </w:r>
      <w:r>
        <w:rPr>
          <w:spacing w:val="-2"/>
        </w:rPr>
        <w:t> </w:t>
      </w:r>
      <w:r>
        <w:rPr/>
        <w:t>4.8: Vitamin/Antioxidant</w:t>
      </w:r>
      <w:r>
        <w:rPr>
          <w:spacing w:val="-3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Sickle</w:t>
      </w:r>
      <w:r>
        <w:rPr>
          <w:spacing w:val="-1"/>
        </w:rPr>
        <w:t> </w:t>
      </w:r>
      <w:r>
        <w:rPr/>
        <w:t>Cell</w:t>
      </w:r>
      <w:r>
        <w:rPr>
          <w:spacing w:val="-5"/>
        </w:rPr>
        <w:t> </w:t>
      </w:r>
      <w:r>
        <w:rPr/>
        <w:t>Disease</w:t>
      </w:r>
      <w:r>
        <w:rPr>
          <w:spacing w:val="-1"/>
        </w:rPr>
        <w:t> </w:t>
      </w:r>
      <w:r>
        <w:rPr/>
        <w:t>Patients</w:t>
      </w:r>
      <w:r>
        <w:rPr>
          <w:spacing w:val="-3"/>
        </w:rPr>
        <w:t> </w:t>
      </w:r>
      <w:r>
        <w:rPr/>
        <w:t>in the</w:t>
      </w:r>
      <w:r>
        <w:rPr>
          <w:spacing w:val="-6"/>
        </w:rPr>
        <w:t> </w:t>
      </w:r>
      <w:r>
        <w:rPr/>
        <w:t>Study</w:t>
      </w:r>
    </w:p>
    <w:p>
      <w:pPr>
        <w:spacing w:after="0"/>
        <w:jc w:val="left"/>
        <w:sectPr>
          <w:pgSz w:w="12240" w:h="15840"/>
          <w:pgMar w:header="0" w:footer="1017" w:top="1500" w:bottom="1200" w:left="62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</w:rPr>
      </w:pPr>
    </w:p>
    <w:p>
      <w:pPr>
        <w:spacing w:before="61"/>
        <w:ind w:left="1463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25.279999pt;margin-top:9.451499pt;width:404.4pt;height:207.85pt;mso-position-horizontal-relative:page;mso-position-vertical-relative:paragraph;z-index:15752192" coordorigin="2506,189" coordsize="8088,4157">
            <v:rect style="position:absolute;left:2817;top:1014;width:327;height:3274" filled="true" fillcolor="#4e80bc" stroked="false">
              <v:fill type="solid"/>
            </v:rect>
            <v:shape style="position:absolute;left:3139;top:1177;width:341;height:3116" type="#_x0000_t75" stroked="false">
              <v:imagedata r:id="rId30" o:title=""/>
            </v:shape>
            <v:rect style="position:absolute;left:3964;top:2104;width:327;height:2184" filled="true" fillcolor="#4e80bc" stroked="false">
              <v:fill type="solid"/>
            </v:rect>
            <v:shape style="position:absolute;left:4286;top:3155;width:336;height:1138" type="#_x0000_t75" stroked="false">
              <v:imagedata r:id="rId31" o:title=""/>
            </v:shape>
            <v:rect style="position:absolute;left:5107;top:1797;width:327;height:2492" filled="true" fillcolor="#4e80bc" stroked="false">
              <v:fill type="solid"/>
            </v:rect>
            <v:shape style="position:absolute;left:5428;top:2373;width:336;height:1920" type="#_x0000_t75" stroked="false">
              <v:imagedata r:id="rId32" o:title=""/>
            </v:shape>
            <v:rect style="position:absolute;left:6254;top:1557;width:327;height:2732" filled="true" fillcolor="#4e80bc" stroked="false">
              <v:fill type="solid"/>
            </v:rect>
            <v:shape style="position:absolute;left:6576;top:2541;width:336;height:1752" type="#_x0000_t75" stroked="false">
              <v:imagedata r:id="rId33" o:title=""/>
            </v:shape>
            <v:rect style="position:absolute;left:7396;top:2617;width:327;height:1671" filled="true" fillcolor="#4e80bc" stroked="false">
              <v:fill type="solid"/>
            </v:rect>
            <v:shape style="position:absolute;left:7718;top:3294;width:336;height:999" type="#_x0000_t75" stroked="false">
              <v:imagedata r:id="rId34" o:title=""/>
            </v:shape>
            <v:rect style="position:absolute;left:8539;top:4221;width:332;height:68" filled="true" fillcolor="#4e80bc" stroked="false">
              <v:fill type="solid"/>
            </v:rect>
            <v:shape style="position:absolute;left:8865;top:4211;width:336;height:82" type="#_x0000_t75" stroked="false">
              <v:imagedata r:id="rId35" o:title=""/>
            </v:shape>
            <v:rect style="position:absolute;left:9686;top:4048;width:327;height:240" filled="true" fillcolor="#4e80bc" stroked="false">
              <v:fill type="solid"/>
            </v:rect>
            <v:shape style="position:absolute;left:2505;top:189;width:8088;height:4157" coordorigin="2506,189" coordsize="8088,4157" path="m10594,4283l10584,4283,10584,4279,2582,4279,2582,194,2573,194,2573,189,2506,189,2506,203,2568,203,2568,871,2506,871,2506,885,2568,885,2568,1552,2506,1552,2506,1567,2568,1567,2568,2234,2506,2234,2506,2248,2568,2248,2568,2915,2506,2915,2506,2930,2568,2930,2568,3597,2506,3597,2506,3611,2568,3611,2568,4279,2506,4279,2506,4293,2568,4293,2568,4346,2582,4346,2582,4293,3710,4293,3710,4346,3725,4346,3725,4293,4858,4293,4858,4346,4872,4346,4872,4293,6000,4293,6000,4346,6014,4346,6014,4293,7142,4293,7142,4346,7157,4346,7157,4293,8290,4293,8290,4346,8304,4346,8304,4293,9432,4293,9432,4346,9446,4346,9446,4293,10579,4293,10579,4346,10594,4346,10594,4283xe" filled="true" fillcolor="#858585" stroked="false">
              <v:path arrowok="t"/>
              <v:fill type="solid"/>
            </v:shape>
            <v:rect style="position:absolute;left:8721;top:837;width:106;height:111" filled="true" fillcolor="#4e80bc" stroked="false">
              <v:fill type="solid"/>
            </v:rect>
            <v:shape style="position:absolute;left:8721;top:1201;width:111;height:106" type="#_x0000_t75" stroked="false">
              <v:imagedata r:id="rId36" o:title=""/>
            </v:shape>
            <v:shape style="position:absolute;left:2880;top:719;width:2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96</w:t>
                    </w:r>
                  </w:p>
                </w:txbxContent>
              </v:textbox>
              <w10:wrap type="none"/>
            </v:shape>
            <v:shape style="position:absolute;left:3206;top:892;width:2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91</w:t>
                    </w:r>
                  </w:p>
                </w:txbxContent>
              </v:textbox>
              <w10:wrap type="none"/>
            </v:shape>
            <v:shape style="position:absolute;left:8875;top:801;width:93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SCD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CRISES</w:t>
                    </w:r>
                  </w:p>
                </w:txbxContent>
              </v:textbox>
              <w10:wrap type="none"/>
            </v:shape>
            <v:shape style="position:absolute;left:6312;top:1266;width:2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8875;top:1161;width:1560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SCD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STEADY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STATE</w:t>
                    </w:r>
                  </w:p>
                </w:txbxContent>
              </v:textbox>
              <w10:wrap type="none"/>
            </v:shape>
            <v:shape style="position:absolute;left:5169;top:1501;width:2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73</w:t>
                    </w:r>
                  </w:p>
                </w:txbxContent>
              </v:textbox>
              <w10:wrap type="none"/>
            </v:shape>
            <v:shape style="position:absolute;left:4022;top:1809;width:2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64</w:t>
                    </w:r>
                  </w:p>
                </w:txbxContent>
              </v:textbox>
              <w10:wrap type="none"/>
            </v:shape>
            <v:shape style="position:absolute;left:5496;top:2082;width:2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56</w:t>
                    </w:r>
                  </w:p>
                </w:txbxContent>
              </v:textbox>
              <w10:wrap type="none"/>
            </v:shape>
            <v:shape style="position:absolute;left:6638;top:2255;width:2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51</w:t>
                    </w:r>
                  </w:p>
                </w:txbxContent>
              </v:textbox>
              <w10:wrap type="none"/>
            </v:shape>
            <v:shape style="position:absolute;left:7459;top:2322;width:2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49</w:t>
                    </w:r>
                  </w:p>
                </w:txbxContent>
              </v:textbox>
              <w10:wrap type="none"/>
            </v:shape>
            <v:shape style="position:absolute;left:4348;top:2869;width:2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33</w:t>
                    </w:r>
                  </w:p>
                </w:txbxContent>
              </v:textbox>
              <w10:wrap type="none"/>
            </v:shape>
            <v:shape style="position:absolute;left:7785;top:3004;width:2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29</w:t>
                    </w:r>
                  </w:p>
                </w:txbxContent>
              </v:textbox>
              <w10:wrap type="none"/>
            </v:shape>
            <v:shape style="position:absolute;left:9796;top:3753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8654;top:3925;width:449;height:202" type="#_x0000_t202" filled="false" stroked="false">
              <v:textbox inset="0,0,0,0">
                <w:txbxContent>
                  <w:p>
                    <w:pPr>
                      <w:tabs>
                        <w:tab w:pos="326" w:val="left" w:leader="none"/>
                      </w:tabs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</w:t>
                      <w:tab/>
                      <w:t>2</w:t>
                    </w:r>
                  </w:p>
                </w:txbxContent>
              </v:textbox>
              <w10:wrap type="none"/>
            </v:shape>
            <v:shape style="position:absolute;left:10128;top:3993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120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5"/>
        </w:rPr>
      </w:pPr>
    </w:p>
    <w:p>
      <w:pPr>
        <w:spacing w:before="0"/>
        <w:ind w:left="146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6"/>
        </w:rPr>
      </w:pPr>
    </w:p>
    <w:p>
      <w:pPr>
        <w:spacing w:before="1"/>
        <w:ind w:left="1564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90.080078pt;margin-top:-6.436268pt;width:12.1pt;height:94.3pt;mso-position-horizontal-relative:page;mso-position-vertical-relative:paragraph;z-index:15752704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Percentage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Utilisation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80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5"/>
        </w:rPr>
      </w:pPr>
    </w:p>
    <w:p>
      <w:pPr>
        <w:spacing w:before="0"/>
        <w:ind w:left="156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60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5"/>
        </w:rPr>
      </w:pPr>
    </w:p>
    <w:p>
      <w:pPr>
        <w:spacing w:before="0"/>
        <w:ind w:left="156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5"/>
        </w:rPr>
      </w:pPr>
    </w:p>
    <w:p>
      <w:pPr>
        <w:spacing w:before="0"/>
        <w:ind w:left="156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5"/>
        </w:rPr>
      </w:pPr>
    </w:p>
    <w:p>
      <w:pPr>
        <w:spacing w:before="0"/>
        <w:ind w:left="1664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112.080002pt;margin-top:16.981499pt;width:47.8pt;height:46.3pt;mso-position-horizontal-relative:page;mso-position-vertical-relative:paragraph;z-index:-15708672;mso-wrap-distance-left:0;mso-wrap-distance-right:0" coordorigin="2242,340" coordsize="956,926" path="m2290,1152l2261,1152,2242,1172,2242,1180,2323,1266,2328,1266,2333,1262,2338,1262,2338,1252,2304,1224,2311,1214,2294,1214,2261,1176,2270,1166,2270,1162,2275,1162,2275,1156,2285,1156,2290,1152xm2318,1146l2266,1146,2266,1152,2290,1152,2290,1156,2304,1156,2309,1162,2309,1166,2314,1166,2314,1196,2309,1200,2304,1200,2294,1214,2311,1214,2314,1210,2328,1196,2328,1190,2333,1186,2333,1166,2328,1162,2328,1156,2318,1146xm2352,1066l2347,1066,2347,1070,2342,1070,2342,1076,2338,1076,2338,1080,2333,1080,2333,1084,2390,1200,2400,1200,2400,1196,2405,1190,2400,1190,2390,1162,2405,1146,2381,1146,2352,1084,2382,1084,2352,1070,2352,1066xm2304,1138l2280,1138,2270,1146,2314,1146,2314,1142,2309,1142,2304,1138xm2382,1084l2352,1084,2414,1114,2381,1146,2405,1146,2424,1124,2467,1124,2382,1084xm2467,1124l2424,1124,2458,1138,2467,1128,2467,1124xm2438,998l2414,998,2395,1018,2395,1026,2400,1026,2482,1108,2486,1108,2496,1100,2491,1100,2453,1060,2462,1052,2443,1052,2414,1018,2424,1008,2429,1008,2429,1004,2434,1004,2438,998xm2539,1046l2496,1046,2496,1052,2530,1060,2539,1060,2539,1056,2544,1052,2539,1052,2539,1046xm2472,988l2424,988,2424,994,2419,994,2419,998,2453,998,2458,1004,2462,1004,2462,1008,2467,1012,2467,1026,2462,1026,2462,1036,2458,1036,2443,1052,2467,1052,2467,1046,2534,1046,2506,1036,2506,1032,2477,1032,2477,1026,2482,1022,2482,1004,2477,998,2477,994,2472,988xm2506,912l2501,912,2501,916,2496,916,2496,922,2491,922,2491,926,2544,1042,2544,1046,2549,1046,2558,1036,2558,1032,2544,1004,2559,988,2539,988,2510,932,2550,932,2506,912xm2491,1026l2482,1026,2477,1032,2491,1032,2491,1026xm2467,984l2429,984,2429,988,2467,988,2467,984xm2550,932l2510,932,2568,960,2539,988,2559,988,2582,964,2621,964,2550,932xm2453,980l2443,980,2438,984,2458,984,2453,980xm2626,964l2582,964,2611,980,2621,980,2621,974,2626,970,2626,964xm2654,936l2621,936,2626,940,2650,940,2654,936xm2621,826l2587,826,2578,836,2573,844,2568,850,2568,888,2573,892,2582,912,2592,916,2597,926,2606,932,2611,936,2659,936,2669,932,2674,922,2626,922,2621,916,2611,912,2587,888,2587,878,2582,874,2582,854,2587,850,2587,844,2597,836,2602,836,2602,830,2616,830,2621,826xm2688,892l2674,892,2674,902,2669,902,2669,906,2659,916,2654,916,2650,922,2678,922,2678,916,2688,906,2688,892xm2683,878l2678,878,2678,892,2693,892,2693,888,2688,888,2688,884,2683,884,2683,878xm2678,740l2674,740,2630,782,2630,792,2712,874,2722,874,2741,854,2722,854,2688,826,2696,816,2678,816,2650,786,2683,748,2683,744,2678,740xm2765,820l2755,820,2722,854,2741,854,2765,830,2765,820xm2626,820l2592,820,2592,826,2626,826,2626,820xm2621,816l2602,816,2602,820,2621,820,2621,816xm2712,782l2707,782,2678,816,2696,816,2717,792,2717,786,2712,786,2712,782xm2752,716l2722,716,2798,792,2803,792,2808,786,2813,786,2813,778,2752,716xm2803,634l2789,634,2842,748,2846,748,2856,740,2842,710,2854,696,2832,696,2803,634xm2760,666l2750,666,2688,730,2688,734,2693,740,2698,740,2722,716,2752,716,2736,700,2760,676,2760,666xm2803,614l2798,614,2798,620,2794,620,2794,624,2789,624,2789,628,2784,628,2784,634,2803,634,2866,662,2832,696,2854,696,2875,672,2918,672,2803,620,2803,614xm2918,672l2875,672,2909,686,2914,686,2914,682,2918,676,2918,672xm2866,566l2846,566,2846,576,2851,576,2933,658,2938,658,2942,652,2942,648,2866,566xm2875,552l2861,552,2861,556,2856,556,2851,566,2866,566,2976,614,2986,614,2986,604,2982,596,2966,596,2875,556,2875,552xm2947,476l2938,476,2938,480,2928,484,2928,504,2966,596,2982,596,2942,494,2961,494,2947,480,2947,476xm2961,494l2942,494,3019,572,3029,572,3029,562,2961,494xm3072,518l3038,518,3043,524,3067,524,3072,518xm3058,394l3029,394,3024,398,3014,398,2995,418,2990,426,2986,432,2986,442,2981,446,2986,456,2986,470,2990,476,2995,484,3000,490,3005,500,3014,504,3029,518,3077,518,3086,514,3089,508,3058,508,3053,504,3038,504,3005,470,3005,466,3000,460,3000,436,3005,432,3005,426,3019,412,3029,412,3034,408,3076,408,3072,404,3062,398,3058,394xm3076,408l3038,408,3043,412,3053,412,3091,452,3091,456,3096,460,3096,470,3091,480,3091,484,3072,504,3067,504,3062,508,3089,508,3091,504,3101,500,3106,490,3106,484,3110,476,3110,456,3106,446,3106,436,3086,418,3076,408xm3077,340l3072,340,3072,346,3067,346,3067,350,3062,350,3062,356,3149,436,3149,442,3154,442,3173,422,3154,422,3077,340xm3192,388l3187,388,3154,422,3173,422,3197,398,3197,394,3192,394,3192,388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79.759995pt;margin-top:16.021498pt;width:36.75pt;height:36.7pt;mso-position-horizontal-relative:page;mso-position-vertical-relative:paragraph;z-index:-15708160;mso-wrap-distance-left:0;mso-wrap-distance-right:0" coordorigin="3595,320" coordsize="735,734" path="m3605,954l3600,954,3600,960,3595,960,3595,968,3682,1054,3686,1054,3686,1050,3691,1050,3691,1040,3605,954xm3706,896l3658,896,3653,906,3634,926,3634,934,3715,1016,3725,1016,3743,998,3720,998,3691,964,3701,954,3682,954,3653,926,3667,912,3672,912,3672,906,3710,906,3710,902,3706,902,3706,896xm3763,944l3739,944,3739,950,3744,950,3744,954,3749,960,3749,968,3744,968,3744,974,3720,998,3743,998,3749,992,3749,988,3758,978,3758,974,3763,974,3763,944xm3710,906l3691,906,3691,912,3696,912,3696,916,3701,920,3701,934,3696,940,3696,944,3682,954,3701,954,3710,944,3715,944,3715,940,3758,940,3754,934,3749,930,3715,930,3715,912,3710,906xm3758,940l3734,940,3734,944,3758,944,3758,940xm3744,926l3715,926,3715,930,3749,930,3744,926xm3806,926l3782,926,3792,930,3802,930,3806,926xm3715,844l3710,844,3710,848,3706,848,3706,858,3763,912,3778,926,3811,926,3816,920,3826,916,3830,912,3787,912,3773,896,3715,844xm3773,786l3768,786,3768,792,3763,792,3763,800,3826,864,3826,872,3830,878,3830,888,3826,892,3826,896,3821,896,3821,902,3816,906,3811,906,3806,912,3830,912,3840,902,3840,896,3845,892,3845,868,3840,858,3840,854,3830,844,3773,786xm3691,888l3677,888,3672,892,3667,892,3662,896,3701,896,3691,888xm3874,728l3830,728,3802,758,3797,758,3797,768,3802,768,3883,854,3888,854,3888,848,3893,848,3893,844,3898,844,3898,840,3864,806,3874,796,3854,796,3816,762,3830,748,3835,748,3835,744,3840,744,3845,738,3883,738,3878,734,3874,728xm3883,738l3854,738,3859,744,3864,744,3864,748,3869,748,3869,752,3874,758,3874,776,3869,776,3869,782,3854,796,3874,796,3888,782,3888,748,3883,744,3883,738xm3936,652l3907,652,3907,656,3902,656,3869,690,3869,694,3874,694,3955,782,3960,782,3960,776,3965,776,3965,772,3970,772,3970,768,3965,768,3926,728,3936,724,3940,720,3917,720,3888,690,3912,666,3950,666,3950,662,3946,662,3936,652xm4018,720l3974,720,4003,734,4008,734,4008,728,4013,728,4013,724,4018,724,4018,720xm3869,724l3840,724,3835,728,3869,728,3869,724xm3955,672l3931,672,3936,676,3936,680,3941,680,3941,694,3936,700,3936,704,3931,710,3917,720,3940,720,3946,714,4008,714,3979,704,3974,700,3950,700,3950,694,3955,694,3955,672xm4008,714l3965,714,3970,720,4013,720,4008,714xm4037,560l3998,560,3994,566,3984,570,3979,574,3974,584,3970,590,3965,600,3960,604,3960,628,3965,632,3974,652,3979,656,3984,666,3994,672,3998,676,4008,680,4013,686,4022,690,4042,690,4051,686,4056,680,4066,676,4070,672,4022,672,4018,666,4013,666,3984,638,3979,628,3979,600,3984,594,3989,584,3994,580,3998,580,4003,574,4056,574,4051,570,4042,566,4037,560xm3950,666l3922,666,3926,672,3950,672,3950,666xm4056,574l4027,574,4037,584,4042,584,4051,594,4066,608,4070,618,4070,628,4075,632,4070,638,4070,648,4066,656,4056,666,4051,666,4046,672,4070,672,4075,662,4085,656,4085,648,4090,642,4090,618,4085,614,4080,604,4075,600,4066,580,4056,574xm4094,474l4085,474,4042,518,4042,522,4046,522,4128,608,4133,608,4133,604,4138,604,4138,600,4142,600,4142,594,4104,556,4114,546,4094,546,4061,518,4094,484,4094,474xm4022,556l4013,556,4008,560,4027,560,4022,556xm4133,518l4123,518,4094,546,4114,546,4133,528,4133,518xm4157,408l4152,408,4109,450,4109,460,4190,542,4200,542,4220,522,4195,522,4166,488,4175,480,4157,480,4128,450,4162,416,4162,412,4157,412,4157,408xm4234,484l4234,488,4195,522,4220,522,4243,498,4243,488,4238,488,4234,484xm4190,450l4186,450,4157,480,4175,480,4195,460,4195,454,4190,454,4190,450xm4195,368l4190,368,4190,374,4186,374,4176,384,4176,392,4262,474,4267,474,4267,470,4272,470,4272,464,4219,408,4214,402,4210,402,4210,398,4205,392,4200,392,4195,388,4249,388,4200,374,4195,368xm4277,392l4219,392,4224,398,4301,422,4320,422,4320,416,4325,412,4330,412,4330,408,4325,408,4325,402,4291,402,4291,398,4282,398,4277,392xm4243,320l4234,320,4234,326,4229,326,4229,330,4301,402,4325,402,4243,320xm4249,388l4200,388,4205,392,4262,392,4249,388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33.759995pt;margin-top:15.841497pt;width:40.1pt;height:40pt;mso-position-horizontal-relative:page;mso-position-vertical-relative:paragraph;z-index:-15707648;mso-wrap-distance-left:0;mso-wrap-distance-right:0" coordorigin="4675,317" coordsize="802,800" path="m4762,983l4728,983,4723,989,4714,989,4709,997,4699,1003,4680,1023,4680,1027,4675,1027,4675,1031,4680,1031,4762,1113,4762,1117,4766,1117,4766,1113,4771,1113,4785,1099,4766,1099,4699,1027,4709,1013,4714,1007,4723,1003,4728,1003,4733,997,4780,997,4776,993,4766,989,4762,983xm4780,997l4747,997,4757,1003,4762,1003,4790,1031,4795,1041,4795,1061,4790,1071,4790,1075,4766,1099,4785,1099,4795,1089,4805,1071,4810,1065,4810,1037,4800,1017,4786,1003,4780,997xm4776,931l4771,931,4766,935,4766,941,4853,1027,4858,1027,4862,1023,4862,1017,4776,931xm4896,979l4882,979,4891,983,4896,979xm4872,859l4843,859,4843,863,4834,863,4834,869,4819,883,4819,893,4814,897,4814,921,4819,927,4819,935,4824,941,4829,951,4843,965,4862,975,4867,979,4901,979,4910,975,4919,965,4877,965,4872,959,4867,959,4858,951,4848,945,4843,941,4838,931,4838,927,4834,921,4834,917,4829,911,4829,903,4834,897,4834,887,4838,887,4838,883,4848,873,4853,873,4858,869,4872,869,4872,859xm4925,959l4901,959,4896,965,4919,965,4925,959xm4934,921l4925,921,4925,935,4920,941,4920,945,4910,955,4906,955,4906,959,4930,959,4930,951,4934,945,4934,941,4939,941,4939,927,4934,927,4934,921xm4886,821l4882,821,4882,825,4877,825,4877,831,4872,831,4872,835,4958,917,4958,921,4963,921,4963,917,4968,917,4987,897,4963,897,4886,821xm5006,869l4997,869,4963,897,4987,897,5006,877,5006,869xm4867,855l4858,855,4853,859,4867,859,4867,855xm5016,715l4997,715,4987,719,4982,719,4973,725,4968,735,4958,739,4954,749,4954,753,4949,763,4949,783,4958,801,4958,807,4987,835,4997,839,5002,845,5040,845,5050,835,5059,831,5016,831,5011,825,5006,825,4968,787,4968,777,4963,773,4963,767,4968,757,4968,753,4987,735,5045,735,5040,725,5030,725,5026,719,5016,715xm5045,735l5021,735,5040,753,5054,767,5054,773,5059,777,5059,807,5040,825,5035,825,5026,831,5059,831,5064,821,5069,815,5074,807,5078,801,5078,783,5074,777,5074,767,5069,763,5064,753,5059,749,5054,739,5045,735xm5074,633l5069,633,5030,677,5026,677,5026,681,5112,767,5117,767,5122,763,5122,757,5126,757,5126,753,5088,719,5095,711,5078,711,5045,677,5078,643,5078,637,5074,633xm5117,677l5107,677,5078,711,5095,711,5117,687,5117,677xm5141,561l5141,567,5098,605,5098,609,5093,609,5093,615,5098,615,5179,695,5179,701,5184,701,5184,695,5189,695,5203,681,5184,681,5150,647,5162,637,5141,637,5112,609,5150,575,5150,567,5146,567,5141,561xm5227,643l5222,643,5184,681,5203,681,5232,653,5232,647,5227,647,5227,643xm5174,605l5174,609,5141,637,5162,637,5184,619,5184,609,5179,609,5174,605xm5189,527l5174,527,5174,533,5170,533,5165,537,5165,547,5246,633,5251,633,5251,629,5256,629,5261,623,5261,619,5198,557,5194,557,5194,551,5189,547,5251,547,5189,527xm5304,575l5294,575,5294,581,5304,581,5304,575xm5266,551l5213,551,5290,575,5309,575,5314,571,5314,561,5285,561,5285,557,5270,557,5266,551xm5232,475l5227,475,5227,479,5222,479,5222,485,5218,485,5218,489,5280,551,5285,551,5285,557,5290,561,5314,561,5232,475xm5251,547l5198,547,5203,551,5256,551,5251,547xm5290,417l5285,417,5280,423,5280,427,5275,427,5275,431,5328,547,5333,551,5333,547,5338,547,5342,543,5342,537,5328,509,5342,495,5323,495,5294,437,5332,437,5290,417xm5332,437l5294,437,5352,465,5323,495,5342,495,5366,471,5405,471,5332,437xm5410,471l5366,471,5395,485,5400,485,5405,479,5405,475,5410,475,5410,471xm5443,437l5395,437,5405,441,5410,447,5434,447,5443,437xm5410,327l5376,327,5357,345,5352,355,5352,393,5357,397,5362,407,5390,437,5453,437,5458,427,5410,427,5400,417,5390,413,5371,393,5371,383,5366,379,5366,359,5371,355,5371,351,5381,341,5386,341,5386,335,5395,335,5400,331,5410,331,5410,327xm5472,397l5458,397,5458,407,5453,407,5453,413,5443,423,5438,423,5434,427,5462,427,5462,423,5467,417,5467,413,5472,413,5472,397xm5467,383l5462,383,5462,397,5477,397,5477,393,5472,393,5472,389,5467,383xm5405,321l5386,321,5381,327,5405,327,5405,321xm5400,317l5395,317,5395,321,5400,321,5400,31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93.760010pt;margin-top:17.261497pt;width:37.7pt;height:34.5pt;mso-position-horizontal-relative:page;mso-position-vertical-relative:paragraph;z-index:-15707136;mso-wrap-distance-left:0;mso-wrap-distance-right:0" coordorigin="5875,345" coordsize="754,690" path="m5936,959l5909,959,5986,1035,5995,1035,5995,1031,6000,1031,6000,1027,5936,959xm6034,869l5976,869,5976,873,5957,893,5952,893,5952,901,5957,901,6038,983,6038,989,6043,989,6043,983,6048,983,6048,979,6053,979,6053,973,6014,935,6019,925,6005,925,5971,897,5990,877,5995,877,6000,873,6034,873,6034,869xm5942,911l5938,911,5875,973,5875,983,5885,983,5909,959,5936,959,5923,945,5947,921,5947,915,5942,911xm6096,921l6053,921,6058,925,6086,935,6086,939,6091,939,6091,935,6096,935,6096,931,6101,931,6101,925,6096,925,6096,921xm6038,877l6019,877,6019,883,6024,887,6024,901,6019,907,6019,911,6014,911,6005,925,6024,925,6024,921,6091,921,6062,911,6062,907,6034,907,6034,901,6038,897,6038,877xm6067,781l6062,781,6062,787,6058,787,6058,791,6053,791,6053,801,6106,911,6106,915,6115,915,6115,911,6120,911,6120,907,6106,877,6120,863,6101,863,6067,801,6107,801,6067,781xm6034,873l6010,873,6014,877,6034,877,6034,873xm6024,859l5990,859,5990,863,5981,863,5981,869,6029,869,6024,863,6024,859xm6107,801l6067,801,6130,829,6101,863,6120,863,6144,839,6182,839,6107,801xm6005,853l6000,859,6010,859,6005,853xm6187,839l6144,839,6173,853,6178,853,6178,849,6182,849,6182,845,6187,845,6187,839xm6139,719l6125,719,6125,725,6120,725,6115,733,6115,739,6110,739,6197,825,6206,825,6206,819,6211,819,6211,815,6130,733,6158,733,6139,725,6139,719xm6158,733l6130,733,6240,781,6250,781,6250,777,6254,777,6254,773,6250,763,6230,763,6158,733xm6211,643l6202,643,6197,653,6192,653,6192,671,6230,763,6250,763,6206,661,6226,661,6211,647,6211,643xm6226,661l6206,661,6283,739,6293,739,6293,733,6298,733,6298,729,6226,661xm6317,709l6312,709,6312,715,6317,715,6317,709xm6274,579l6264,579,6264,585,6259,585,6259,589,6254,589,6254,595,6307,709,6322,709,6322,699,6307,671,6321,657,6302,657,6274,599,6314,599,6274,579xm6314,599l6274,599,6331,629,6302,657,6321,657,6346,633,6384,633,6314,599xm6389,633l6346,633,6374,647,6384,647,6384,643,6389,643,6389,633xm6398,489l6370,489,6360,493,6355,493,6341,509,6317,527,6317,537,6398,619,6398,623,6408,623,6408,619,6421,605,6408,605,6336,533,6346,517,6355,513,6360,509,6365,509,6370,503,6418,503,6413,499,6403,493,6398,489xm6418,503l6389,503,6394,509,6398,509,6413,523,6422,527,6427,533,6427,541,6432,547,6432,575,6418,589,6408,605,6421,605,6427,599,6437,595,6446,575,6446,571,6451,561,6451,547,6446,541,6446,533,6442,523,6427,509,6418,503xm6480,393l6461,393,6456,397,6446,403,6442,407,6432,413,6427,417,6422,427,6418,431,6418,441,6413,445,6413,455,6418,465,6418,469,6422,479,6427,485,6432,493,6446,509,6456,513,6461,517,6470,523,6504,523,6509,517,6518,513,6522,509,6485,509,6475,503,6470,503,6461,493,6456,493,6451,485,6437,469,6437,465,6432,459,6432,431,6451,413,6509,413,6504,403,6494,403,6490,397,6480,393xm6509,413l6480,413,6485,417,6490,417,6504,431,6523,451,6523,465,6528,469,6528,475,6523,479,6523,485,6504,503,6499,503,6494,509,6522,509,6538,493,6538,485,6542,479,6542,455,6538,445,6533,441,6533,431,6523,427,6518,417,6509,413xm6509,345l6499,345,6499,349,6494,349,6494,355,6581,441,6590,441,6608,421,6586,421,6509,345xm6624,389l6619,389,6586,421,6608,421,6629,397,6629,393,6624,393,6624,38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47.76001pt;margin-top:16.061499pt;width:40.35pt;height:40.3pt;mso-position-horizontal-relative:page;mso-position-vertical-relative:paragraph;z-index:-15706624;mso-wrap-distance-left:0;mso-wrap-distance-right:0" coordorigin="6955,321" coordsize="807,806" path="m6998,1017l6974,1017,6955,1035,6955,1045,7042,1127,7046,1127,7046,1123,7051,1123,7051,1117,7018,1085,7027,1075,7008,1075,6974,1041,6984,1027,6989,1021,6994,1021,6998,1017xm7022,1003l6994,1003,6989,1007,6984,1007,6984,1011,6979,1011,6979,1017,7008,1017,7013,1021,7018,1021,7022,1027,7027,1031,7027,1055,7008,1075,7027,1075,7037,1069,7037,1065,7042,1059,7042,1051,7046,1045,7046,1031,7042,1027,7042,1021,7032,1011,7022,1003xm7080,921l7075,921,7032,965,7027,965,7027,969,7032,969,7109,1051,7114,1055,7118,1055,7118,1051,7134,1035,7118,1035,7085,1003,7094,993,7075,993,7046,965,7085,931,7085,925,7080,925,7080,921xm7157,997l7152,997,7118,1035,7134,1035,7162,1007,7162,1003,7157,997xm7114,965l7104,965,7075,993,7094,993,7114,973,7118,973,7118,969,7114,969,7114,965xm7123,901l7099,901,7181,989,7186,989,7186,983,7190,983,7190,979,7195,979,7195,973,7138,921,7138,915,7133,911,7128,911,7123,907,7123,901xm7200,907l7142,907,7224,931,7229,935,7238,935,7238,931,7243,931,7248,925,7248,915,7219,915,7214,911,7205,911,7200,907xm7162,835l7157,835,7152,839,7152,845,7224,915,7248,915,7162,835xm7186,901l7128,901,7133,907,7190,907,7186,901xm7123,883l7109,883,7109,887,7104,887,7099,891,7099,897,7094,897,7094,901,7181,901,7123,883xm7237,801l7214,801,7291,877,7296,877,7301,873,7301,869,7237,801xm7291,705l7286,705,7282,709,7277,709,7277,719,7330,835,7334,839,7334,835,7339,835,7339,829,7344,829,7344,825,7330,795,7344,781,7325,781,7296,725,7336,725,7291,705xm7248,753l7238,753,7176,815,7176,819,7181,819,7181,825,7186,825,7214,801,7237,801,7224,787,7248,763,7248,753xm7336,725l7296,725,7354,753,7325,781,7344,781,7368,757,7406,757,7336,725xm7411,757l7368,757,7397,771,7402,771,7406,767,7406,763,7411,763,7411,757xm7398,633l7382,633,7406,739,7406,749,7411,749,7411,753,7421,753,7440,733,7421,733,7398,633xm7469,685l7464,685,7421,733,7440,733,7474,699,7474,691,7469,691,7469,685xm7387,609l7382,609,7382,613,7330,661,7330,667,7334,671,7339,671,7382,633,7398,633,7397,629,7397,619,7392,619,7392,613,7387,613,7387,609xm7493,537l7459,537,7450,541,7445,547,7435,551,7430,561,7426,565,7421,575,7421,579,7416,589,7421,595,7421,609,7430,629,7450,647,7459,651,7464,657,7474,661,7478,661,7488,667,7502,667,7507,661,7517,657,7527,647,7483,647,7474,643,7469,637,7464,637,7445,619,7445,613,7440,605,7435,599,7435,579,7440,575,7440,571,7445,561,7450,555,7459,555,7464,551,7517,551,7507,547,7502,541,7493,537xm7517,551l7483,551,7493,561,7498,561,7507,565,7512,571,7517,575,7517,579,7522,585,7526,595,7526,599,7531,605,7531,613,7526,619,7526,623,7522,629,7517,637,7512,643,7507,643,7502,647,7527,647,7541,633,7541,623,7546,619,7546,595,7541,589,7541,579,7536,571,7522,555,7517,551xm7594,571l7579,571,7584,575,7594,571xm7555,459l7526,459,7522,469,7517,475,7517,485,7512,489,7512,517,7517,527,7522,531,7526,541,7541,555,7550,561,7555,565,7565,571,7598,571,7608,565,7619,555,7574,555,7570,551,7565,551,7560,547,7550,541,7541,531,7536,523,7536,517,7526,509,7526,493,7531,485,7531,479,7546,465,7550,465,7555,459xm7632,513l7622,513,7622,527,7618,531,7618,537,7613,541,7608,541,7598,551,7594,551,7589,555,7619,555,7627,547,7627,541,7632,537,7632,531,7637,527,7637,517,7632,517,7632,513xm7478,531l7474,531,7464,537,7488,537,7478,531xm7584,411l7579,411,7574,417,7574,421,7661,509,7666,509,7666,503,7670,503,7670,499,7584,411xm7632,369l7622,369,7622,373,7618,373,7608,383,7608,389,7694,475,7699,475,7699,469,7704,469,7704,465,7709,465,7632,389,7694,389,7637,373,7632,369xm7570,451l7541,451,7541,455,7531,455,7531,459,7570,459,7570,451xm7565,445l7550,445,7550,451,7565,451,7565,445xm7709,393l7651,393,7656,397,7733,421,7752,421,7752,417,7757,417,7757,411,7762,411,7762,403,7728,403,7723,397,7714,397,7709,393xm7675,321l7670,321,7670,325,7666,325,7666,331,7718,383,7718,389,7728,397,7733,397,7738,403,7762,403,7675,321xm7694,389l7642,389,7642,393,7699,393,7694,38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11.359985pt;margin-top:15.781498pt;width:34.35pt;height:34.3pt;mso-position-horizontal-relative:page;mso-position-vertical-relative:paragraph;z-index:-15706112;mso-wrap-distance-left:0;mso-wrap-distance-right:0" coordorigin="8227,316" coordsize="687,686" path="m8270,888l8246,888,8227,906,8227,916,8314,1002,8318,1002,8318,998,8323,998,8323,988,8290,956,8304,946,8280,946,8246,912,8256,898,8261,898,8266,892,8270,892,8270,888xm8304,878l8256,878,8256,882,8251,882,8251,888,8280,888,8285,892,8290,892,8294,898,8294,902,8299,902,8299,906,8304,912,8304,922,8299,926,8299,932,8294,932,8294,936,8280,946,8304,946,8314,936,8314,932,8318,926,8318,902,8314,898,8314,892,8304,882,8304,878xm8352,792l8347,792,8304,836,8299,836,8299,840,8304,840,8304,844,8386,922,8386,926,8395,926,8415,906,8390,906,8357,874,8368,864,8347,864,8318,836,8357,802,8357,796,8352,796,8352,792xm8429,868l8390,906,8415,906,8438,882,8438,878,8434,874,8429,868xm8290,874l8266,874,8266,878,8294,878,8290,874xm8386,836l8381,836,8347,864,8368,864,8390,844,8390,840,8386,840,8386,836xm8413,762l8395,762,8472,840,8472,844,8477,844,8477,840,8482,840,8482,836,8486,830,8482,830,8413,762xm8424,716l8419,716,8357,778,8357,786,8362,786,8366,792,8366,786,8395,762,8413,762,8405,754,8429,724,8429,720,8424,716xm8448,692l8443,692,8443,696,8438,696,8438,700,8434,700,8434,706,8438,706,8525,792,8530,792,8530,786,8534,786,8534,778,8496,740,8505,730,8486,730,8448,692xm8559,696l8534,696,8578,740,8582,740,8582,734,8587,734,8587,724,8559,696xm8501,638l8496,638,8496,642,8491,642,8491,648,8486,648,8486,652,8491,652,8525,686,8486,730,8505,730,8534,696,8559,696,8501,638xm8534,604l8530,604,8530,610,8525,610,8525,614,8611,700,8611,706,8616,700,8621,700,8621,696,8626,696,8626,692,8621,692,8534,604xm8659,538l8602,538,8592,542,8587,552,8563,572,8563,580,8650,666,8650,662,8654,662,8674,642,8654,642,8582,576,8592,562,8602,556,8606,552,8611,552,8616,546,8667,546,8659,538xm8667,546l8635,546,8640,552,8645,552,8659,566,8669,572,8674,576,8674,580,8678,590,8678,614,8674,620,8669,628,8654,642,8674,642,8688,628,8693,620,8693,614,8698,604,8698,590,8693,580,8693,576,8688,566,8678,562,8674,552,8667,546xm8659,480l8654,480,8654,484,8650,484,8650,490,8645,490,8645,494,8731,580,8741,580,8741,576,8746,576,8746,566,8659,480xm8712,442l8693,442,8693,446,8688,452,8683,452,8683,456,8770,542,8779,542,8779,538,8784,538,8784,532,8707,456,8757,456,8712,442xm8645,532l8616,532,8606,538,8650,538,8645,532xm8794,466l8731,466,8813,490,8832,490,8832,484,8837,480,8837,470,8798,470,8794,466xm8750,388l8746,388,8746,394,8741,394,8741,402,8789,452,8794,452,8798,456,8798,460,8808,470,8837,470,8750,388xm8784,460l8726,460,8726,466,8784,466,8784,460xm8757,456l8712,456,8717,460,8770,460,8757,456xm8827,316l8822,316,8779,360,8774,360,8774,364,8779,364,8779,370,8861,446,8861,452,8870,452,8890,432,8866,432,8832,398,8844,388,8822,388,8794,360,8832,326,8832,322,8827,322,8827,316xm8904,394l8866,432,8890,432,8914,408,8914,402,8904,394xm8861,360l8856,360,8822,388,8844,388,8866,370,8866,364,8861,364,8861,36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67.040009pt;margin-top:15.821498pt;width:35.8pt;height:35.7pt;mso-position-horizontal-relative:page;mso-position-vertical-relative:paragraph;z-index:-15705600;mso-wrap-distance-left:0;mso-wrap-distance-right:0" coordorigin="9341,316" coordsize="716,714" path="m9370,926l9355,926,9341,940,9341,950,9427,1030,9432,1030,9432,1026,9437,1026,9437,1022,9360,940,9400,940,9370,926xm9400,940l9360,940,9470,988,9475,988,9475,984,9480,984,9480,978,9476,968,9461,968,9400,940xm9442,848l9432,848,9422,858,9422,864,9418,864,9418,872,9422,872,9461,968,9476,968,9432,868,9461,868,9442,848xm9461,868l9432,868,9514,944,9518,944,9518,940,9523,940,9523,934,9461,868xm9552,768l9514,768,9509,772,9499,776,9494,782,9490,790,9485,796,9480,806,9475,810,9475,834,9480,844,9485,848,9490,858,9494,864,9499,872,9509,878,9514,882,9523,888,9528,892,9538,896,9557,896,9566,892,9571,888,9581,882,9585,878,9538,878,9533,872,9528,872,9494,840,9494,806,9518,782,9573,782,9566,776,9557,772,9552,768xm9573,782l9538,782,9542,786,9547,786,9552,790,9557,790,9566,800,9571,806,9576,814,9586,824,9586,858,9566,878,9585,878,9590,872,9595,864,9600,858,9605,848,9605,824,9600,820,9595,810,9590,806,9586,796,9581,790,9573,782xm9624,690l9595,690,9590,694,9586,694,9552,728,9638,814,9638,820,9643,820,9643,814,9648,814,9648,810,9653,810,9653,806,9614,768,9619,758,9605,758,9571,728,9586,720,9586,714,9590,710,9595,710,9600,704,9634,704,9634,700,9629,700,9629,694,9624,690xm9701,758l9658,758,9686,772,9691,772,9691,768,9696,768,9696,762,9701,762,9701,758xm9662,738l9619,738,9619,744,9605,758,9624,758,9629,752,9691,752,9667,744,9662,738xm9696,752l9648,752,9653,758,9696,758,9696,752xm9634,704l9610,704,9619,714,9624,714,9624,738,9634,738,9638,734,9638,710,9634,704xm9701,614l9672,614,9667,618,9662,618,9634,648,9634,656,9720,738,9725,738,9725,734,9730,734,9730,728,9696,694,9706,686,9686,686,9653,648,9672,628,9715,628,9710,624,9701,614xm9715,628l9691,628,9701,638,9706,642,9706,648,9710,652,9710,656,9706,662,9706,666,9686,686,9706,686,9715,680,9715,676,9720,666,9725,662,9725,642,9720,638,9720,632,9715,628xm9715,570l9706,570,9706,574,9701,574,9701,580,9787,666,9797,666,9797,662,9802,662,9802,656,9763,618,9775,604,9749,604,9715,570xm9691,608l9682,608,9677,614,9691,614,9691,608xm9824,574l9802,574,9840,614,9850,614,9850,608,9854,608,9854,604,9824,574xm9768,518l9758,518,9758,522,9754,528,9792,566,9749,604,9775,604,9802,574,9824,574,9768,518xm9802,480l9797,484,9792,484,9792,494,9878,580,9883,580,9883,574,9888,574,9888,566,9802,480xm9854,440l9840,440,9830,450,9830,460,9917,542,9922,542,9922,536,9926,536,9926,532,9874,474,9869,474,9864,470,9864,464,9859,464,9850,454,9898,454,9854,440xm9941,464l9878,464,9955,488,9974,488,9974,484,9979,484,9979,480,9984,480,9984,474,9979,474,9979,470,9946,470,9941,464xm9898,388l9893,388,9883,398,9883,402,9931,450,9936,450,9955,470,9979,470,9898,388xm9926,460l9869,460,9874,464,9931,464,9926,460xm9898,454l9854,454,9859,460,9917,460,9898,454xm9974,316l9965,316,9922,360,9922,368,10003,446,10003,450,10013,450,10033,430,10008,430,9979,398,9989,388,9970,388,9941,360,9974,326,9974,316xm10051,392l10046,392,10008,430,10033,430,10056,408,10056,398,10051,398,10051,392xm10008,360l9998,360,9970,388,9989,388,10008,368,10008,360xe" filled="true" fillcolor="#000000" stroked="false">
            <v:path arrowok="t"/>
            <v:fill type="solid"/>
            <w10:wrap type="topAndBottom"/>
          </v:shape>
        </w:pict>
      </w:r>
      <w:r>
        <w:rPr>
          <w:rFonts w:ascii="Calibri"/>
          <w:w w:val="100"/>
          <w:sz w:val="20"/>
        </w:rPr>
        <w:t>0</w:t>
      </w:r>
    </w:p>
    <w:p>
      <w:pPr>
        <w:spacing w:before="78"/>
        <w:ind w:left="1084" w:right="790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Analgesic</w:t>
      </w:r>
      <w:r>
        <w:rPr>
          <w:rFonts w:ascii="Calibri"/>
          <w:b/>
          <w:spacing w:val="-4"/>
          <w:sz w:val="20"/>
        </w:rPr>
        <w:t> </w:t>
      </w:r>
      <w:r>
        <w:rPr>
          <w:rFonts w:ascii="Calibri"/>
          <w:b/>
          <w:sz w:val="20"/>
        </w:rPr>
        <w:t>Used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"/>
        <w:rPr>
          <w:rFonts w:ascii="Calibri"/>
          <w:b/>
          <w:sz w:val="22"/>
        </w:rPr>
      </w:pPr>
    </w:p>
    <w:p>
      <w:pPr>
        <w:pStyle w:val="Heading1"/>
        <w:spacing w:before="90"/>
        <w:jc w:val="left"/>
      </w:pPr>
      <w:r>
        <w:rPr/>
        <w:t>Figure</w:t>
      </w:r>
      <w:r>
        <w:rPr>
          <w:spacing w:val="-3"/>
        </w:rPr>
        <w:t> </w:t>
      </w:r>
      <w:r>
        <w:rPr/>
        <w:t>4.9: Analgesic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in Sickle</w:t>
      </w:r>
      <w:r>
        <w:rPr>
          <w:spacing w:val="-3"/>
        </w:rPr>
        <w:t> </w:t>
      </w:r>
      <w:r>
        <w:rPr/>
        <w:t>Cell</w:t>
      </w:r>
      <w:r>
        <w:rPr>
          <w:spacing w:val="-5"/>
        </w:rPr>
        <w:t> </w:t>
      </w:r>
      <w:r>
        <w:rPr/>
        <w:t>Disease</w:t>
      </w:r>
      <w:r>
        <w:rPr>
          <w:spacing w:val="-2"/>
        </w:rPr>
        <w:t> </w:t>
      </w:r>
      <w:r>
        <w:rPr/>
        <w:t>Patients</w:t>
      </w:r>
      <w:r>
        <w:rPr>
          <w:spacing w:val="-3"/>
        </w:rPr>
        <w:t> </w:t>
      </w:r>
      <w:r>
        <w:rPr/>
        <w:t>in the</w:t>
      </w:r>
      <w:r>
        <w:rPr>
          <w:spacing w:val="-2"/>
        </w:rPr>
        <w:t> </w:t>
      </w:r>
      <w:r>
        <w:rPr/>
        <w:t>Study</w:t>
      </w:r>
    </w:p>
    <w:p>
      <w:pPr>
        <w:spacing w:after="0"/>
        <w:jc w:val="left"/>
        <w:sectPr>
          <w:pgSz w:w="12240" w:h="15840"/>
          <w:pgMar w:header="0" w:footer="1017" w:top="1500" w:bottom="1200" w:left="62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1017" w:top="1500" w:bottom="1200" w:left="620" w:right="0"/>
        </w:sectPr>
      </w:pPr>
    </w:p>
    <w:p>
      <w:pPr>
        <w:pStyle w:val="BodyText"/>
        <w:spacing w:before="9"/>
        <w:rPr>
          <w:b/>
          <w:sz w:val="15"/>
        </w:rPr>
      </w:pPr>
    </w:p>
    <w:p>
      <w:pPr>
        <w:spacing w:before="1"/>
        <w:ind w:left="0" w:right="2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120</w:t>
      </w:r>
    </w:p>
    <w:p>
      <w:pPr>
        <w:pStyle w:val="BodyText"/>
        <w:rPr>
          <w:rFonts w:ascii="Calibri"/>
          <w:sz w:val="20"/>
        </w:rPr>
      </w:pPr>
    </w:p>
    <w:p>
      <w:pPr>
        <w:spacing w:before="150"/>
        <w:ind w:left="0" w:right="2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>
      <w:pPr>
        <w:pStyle w:val="BodyText"/>
        <w:rPr>
          <w:rFonts w:ascii="Calibri"/>
          <w:sz w:val="20"/>
        </w:rPr>
      </w:pPr>
    </w:p>
    <w:p>
      <w:pPr>
        <w:spacing w:before="145"/>
        <w:ind w:left="0" w:right="0" w:firstLine="0"/>
        <w:jc w:val="right"/>
        <w:rPr>
          <w:rFonts w:ascii="Calibri"/>
          <w:sz w:val="20"/>
        </w:rPr>
      </w:pPr>
      <w:r>
        <w:rPr/>
        <w:pict>
          <v:shape style="position:absolute;margin-left:85.520073pt;margin-top:-1.406328pt;width:12.1pt;height:94.3pt;mso-position-horizontal-relative:page;mso-position-vertical-relative:paragraph;z-index:15753728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Percentage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Utilisation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80</w:t>
      </w:r>
    </w:p>
    <w:p>
      <w:pPr>
        <w:pStyle w:val="BodyText"/>
        <w:rPr>
          <w:rFonts w:ascii="Calibri"/>
          <w:sz w:val="20"/>
        </w:rPr>
      </w:pPr>
    </w:p>
    <w:p>
      <w:pPr>
        <w:spacing w:before="150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60</w:t>
      </w:r>
    </w:p>
    <w:p>
      <w:pPr>
        <w:pStyle w:val="BodyText"/>
        <w:rPr>
          <w:rFonts w:ascii="Calibri"/>
          <w:sz w:val="20"/>
        </w:rPr>
      </w:pPr>
    </w:p>
    <w:p>
      <w:pPr>
        <w:spacing w:before="145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40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spacing w:before="131"/>
        <w:ind w:left="19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spacing w:before="135"/>
        <w:ind w:left="59" w:right="0" w:firstLine="0"/>
        <w:jc w:val="left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100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spacing w:before="131"/>
        <w:ind w:left="1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>
      <w:pPr>
        <w:pStyle w:val="BodyText"/>
        <w:spacing w:before="5"/>
        <w:rPr>
          <w:rFonts w:ascii="Calibri"/>
        </w:rPr>
      </w:pPr>
    </w:p>
    <w:p>
      <w:pPr>
        <w:spacing w:before="0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83</w:t>
      </w:r>
    </w:p>
    <w:p>
      <w:pPr>
        <w:spacing w:before="135"/>
        <w:ind w:left="850" w:right="239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71</w:t>
      </w:r>
    </w:p>
    <w:p>
      <w:pPr>
        <w:spacing w:before="44"/>
        <w:ind w:left="586" w:right="503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62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6"/>
        </w:rPr>
      </w:pPr>
    </w:p>
    <w:p>
      <w:pPr>
        <w:spacing w:before="0"/>
        <w:ind w:left="396" w:right="542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67</w:t>
      </w:r>
    </w:p>
    <w:p>
      <w:pPr>
        <w:pStyle w:val="BodyText"/>
        <w:spacing w:before="11"/>
        <w:rPr>
          <w:rFonts w:ascii="Calibri"/>
          <w:sz w:val="18"/>
        </w:rPr>
      </w:pPr>
    </w:p>
    <w:p>
      <w:pPr>
        <w:spacing w:before="0"/>
        <w:ind w:left="67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52</w:t>
      </w:r>
      <w:r>
        <w:rPr>
          <w:rFonts w:ascii="Calibri"/>
          <w:spacing w:val="9"/>
          <w:sz w:val="20"/>
        </w:rPr>
        <w:t> </w:t>
      </w:r>
      <w:r>
        <w:rPr>
          <w:rFonts w:ascii="Calibri"/>
          <w:position w:val="-5"/>
          <w:sz w:val="20"/>
        </w:rPr>
        <w:t>50</w:t>
      </w:r>
    </w:p>
    <w:p>
      <w:pPr>
        <w:pStyle w:val="BodyText"/>
        <w:rPr>
          <w:rFonts w:ascii="Calibri"/>
          <w:sz w:val="32"/>
        </w:rPr>
      </w:pPr>
      <w:r>
        <w:rPr/>
        <w:br w:type="column"/>
      </w:r>
      <w:r>
        <w:rPr>
          <w:rFonts w:ascii="Calibri"/>
          <w:sz w:val="32"/>
        </w:rPr>
      </w:r>
    </w:p>
    <w:p>
      <w:pPr>
        <w:pStyle w:val="BodyText"/>
        <w:rPr>
          <w:rFonts w:ascii="Calibri"/>
          <w:sz w:val="32"/>
        </w:rPr>
      </w:pPr>
    </w:p>
    <w:p>
      <w:pPr>
        <w:pStyle w:val="BodyText"/>
        <w:rPr>
          <w:rFonts w:ascii="Calibri"/>
          <w:sz w:val="32"/>
        </w:rPr>
      </w:pPr>
    </w:p>
    <w:p>
      <w:pPr>
        <w:pStyle w:val="BodyText"/>
        <w:rPr>
          <w:rFonts w:ascii="Calibri"/>
          <w:sz w:val="32"/>
        </w:rPr>
      </w:pPr>
    </w:p>
    <w:p>
      <w:pPr>
        <w:pStyle w:val="BodyText"/>
        <w:spacing w:before="8"/>
        <w:rPr>
          <w:rFonts w:ascii="Calibri"/>
          <w:sz w:val="42"/>
        </w:rPr>
      </w:pPr>
    </w:p>
    <w:p>
      <w:pPr>
        <w:spacing w:before="0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54</w:t>
      </w:r>
      <w:r>
        <w:rPr>
          <w:rFonts w:ascii="Calibri"/>
          <w:spacing w:val="14"/>
          <w:sz w:val="20"/>
        </w:rPr>
        <w:t> </w:t>
      </w:r>
      <w:r>
        <w:rPr>
          <w:rFonts w:ascii="Calibri"/>
          <w:position w:val="-11"/>
          <w:sz w:val="20"/>
        </w:rPr>
        <w:t>50</w:t>
      </w:r>
    </w:p>
    <w:p>
      <w:pPr>
        <w:spacing w:before="144"/>
        <w:ind w:left="137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38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spacing w:before="4"/>
        <w:rPr>
          <w:rFonts w:ascii="Calibri"/>
          <w:sz w:val="17"/>
        </w:rPr>
      </w:pPr>
    </w:p>
    <w:p>
      <w:pPr>
        <w:spacing w:line="338" w:lineRule="auto" w:before="0"/>
        <w:ind w:left="141" w:right="3142" w:firstLine="0"/>
        <w:jc w:val="left"/>
        <w:rPr>
          <w:rFonts w:ascii="Calibri"/>
          <w:sz w:val="21"/>
        </w:rPr>
      </w:pPr>
      <w:r>
        <w:rPr>
          <w:rFonts w:ascii="Calibri"/>
          <w:sz w:val="21"/>
        </w:rPr>
        <w:t>HbSS + F</w:t>
      </w:r>
      <w:r>
        <w:rPr>
          <w:rFonts w:ascii="Calibri"/>
          <w:spacing w:val="-46"/>
          <w:sz w:val="21"/>
        </w:rPr>
        <w:t> </w:t>
      </w:r>
      <w:r>
        <w:rPr>
          <w:rFonts w:ascii="Calibri"/>
          <w:sz w:val="21"/>
        </w:rPr>
        <w:t>HbSS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HbSC</w:t>
      </w:r>
    </w:p>
    <w:p>
      <w:pPr>
        <w:spacing w:after="0" w:line="338" w:lineRule="auto"/>
        <w:jc w:val="left"/>
        <w:rPr>
          <w:rFonts w:ascii="Calibri"/>
          <w:sz w:val="21"/>
        </w:rPr>
        <w:sectPr>
          <w:type w:val="continuous"/>
          <w:pgSz w:w="12240" w:h="15840"/>
          <w:pgMar w:top="1360" w:bottom="280" w:left="620" w:right="0"/>
          <w:cols w:num="7" w:equalWidth="0">
            <w:col w:w="1681" w:space="40"/>
            <w:col w:w="503" w:space="39"/>
            <w:col w:w="363" w:space="40"/>
            <w:col w:w="1333" w:space="40"/>
            <w:col w:w="1182" w:space="223"/>
            <w:col w:w="2103" w:space="39"/>
            <w:col w:w="4034"/>
          </w:cols>
        </w:sectPr>
      </w:pPr>
    </w:p>
    <w:p>
      <w:pPr>
        <w:pStyle w:val="BodyText"/>
        <w:spacing w:before="4"/>
        <w:rPr>
          <w:rFonts w:ascii="Calibri"/>
          <w:sz w:val="27"/>
        </w:rPr>
      </w:pPr>
    </w:p>
    <w:p>
      <w:pPr>
        <w:spacing w:before="61"/>
        <w:ind w:left="147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spacing w:line="323" w:lineRule="exact" w:before="88"/>
        <w:ind w:left="1084" w:right="714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0</w:t>
      </w:r>
      <w:r>
        <w:rPr>
          <w:rFonts w:ascii="Calibri"/>
          <w:spacing w:val="72"/>
          <w:sz w:val="20"/>
        </w:rPr>
        <w:t> </w:t>
      </w:r>
      <w:r>
        <w:rPr>
          <w:rFonts w:ascii="Calibri"/>
          <w:position w:val="10"/>
          <w:sz w:val="20"/>
        </w:rPr>
        <w:t>3  </w:t>
      </w:r>
      <w:r>
        <w:rPr>
          <w:rFonts w:ascii="Calibri"/>
          <w:spacing w:val="22"/>
          <w:position w:val="10"/>
          <w:sz w:val="20"/>
        </w:rPr>
        <w:t> </w:t>
      </w:r>
      <w:r>
        <w:rPr>
          <w:rFonts w:ascii="Calibri"/>
          <w:sz w:val="20"/>
        </w:rPr>
        <w:t>0</w:t>
      </w:r>
    </w:p>
    <w:p>
      <w:pPr>
        <w:spacing w:line="223" w:lineRule="exact" w:before="0"/>
        <w:ind w:left="1578" w:right="0" w:firstLine="0"/>
        <w:jc w:val="left"/>
        <w:rPr>
          <w:rFonts w:ascii="Calibri"/>
          <w:sz w:val="20"/>
        </w:rPr>
      </w:pPr>
      <w:r>
        <w:rPr>
          <w:rFonts w:ascii="Calibri"/>
          <w:w w:val="100"/>
          <w:sz w:val="20"/>
        </w:rPr>
        <w:t>0</w:t>
      </w:r>
    </w:p>
    <w:p>
      <w:pPr>
        <w:spacing w:after="0" w:line="223" w:lineRule="exact"/>
        <w:jc w:val="left"/>
        <w:rPr>
          <w:rFonts w:ascii="Calibri"/>
          <w:sz w:val="20"/>
        </w:rPr>
        <w:sectPr>
          <w:type w:val="continuous"/>
          <w:pgSz w:w="12240" w:h="15840"/>
          <w:pgMar w:top="1360" w:bottom="280" w:left="620" w:right="0"/>
        </w:sectPr>
      </w:pPr>
    </w:p>
    <w:p>
      <w:pPr>
        <w:tabs>
          <w:tab w:pos="3248" w:val="left" w:leader="none"/>
          <w:tab w:pos="4323" w:val="left" w:leader="none"/>
        </w:tabs>
        <w:spacing w:before="15"/>
        <w:ind w:left="2068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20.959999pt;margin-top:-196.608505pt;width:298.8pt;height:194.2pt;mso-position-horizontal-relative:page;mso-position-vertical-relative:paragraph;z-index:-20246528" coordorigin="2419,-3932" coordsize="5976,3884">
            <v:shape style="position:absolute;left:2673;top:-3294;width:274;height:3188" type="#_x0000_t75" stroked="false">
              <v:imagedata r:id="rId37" o:title=""/>
            </v:shape>
            <v:rect style="position:absolute;left:2942;top:-3289;width:264;height:3178" filled="true" fillcolor="#bf4f4c" stroked="false">
              <v:fill type="solid"/>
            </v:rect>
            <v:shape style="position:absolute;left:3201;top:-3294;width:274;height:3188" type="#_x0000_t75" stroked="false">
              <v:imagedata r:id="rId38" o:title=""/>
            </v:shape>
            <v:shape style="position:absolute;left:3859;top:-2089;width:269;height:1983" type="#_x0000_t75" stroked="false">
              <v:imagedata r:id="rId39" o:title=""/>
            </v:shape>
            <v:rect style="position:absolute;left:4123;top:-2368;width:264;height:2256" filled="true" fillcolor="#bf4f4c" stroked="false">
              <v:fill type="solid"/>
            </v:rect>
            <v:shape style="position:absolute;left:4382;top:-2757;width:274;height:2650" type="#_x0000_t75" stroked="false">
              <v:imagedata r:id="rId40" o:title=""/>
            </v:shape>
            <v:shape style="position:absolute;left:5040;top:-2248;width:269;height:2141" type="#_x0000_t75" stroked="false">
              <v:imagedata r:id="rId41" o:title=""/>
            </v:shape>
            <v:rect style="position:absolute;left:5304;top:-1768;width:264;height:1656" filled="true" fillcolor="#bf4f4c" stroked="false">
              <v:fill type="solid"/>
            </v:rect>
            <v:shape style="position:absolute;left:5563;top:-1705;width:274;height:1599" type="#_x0000_t75" stroked="false">
              <v:imagedata r:id="rId42" o:title=""/>
            </v:shape>
            <v:shape style="position:absolute;left:7401;top:-1326;width:269;height:1220" type="#_x0000_t75" stroked="false">
              <v:imagedata r:id="rId43" o:title=""/>
            </v:shape>
            <v:rect style="position:absolute;left:7665;top:-1830;width:264;height:1719" filled="true" fillcolor="#bf4f4c" stroked="false">
              <v:fill type="solid"/>
            </v:rect>
            <v:shape style="position:absolute;left:7924;top:-1705;width:274;height:1599" type="#_x0000_t75" stroked="false">
              <v:imagedata r:id="rId44" o:title=""/>
            </v:shape>
            <v:rect style="position:absolute;left:6484;top:-208;width:264;height:96" filled="true" fillcolor="#bf4f4c" stroked="false">
              <v:fill type="solid"/>
            </v:rect>
            <v:shape style="position:absolute;left:2419;top:-3933;width:5976;height:3884" coordorigin="2419,-3932" coordsize="5976,3884" path="m8395,-116l8386,-116,8386,-121,2491,-121,2491,-3927,2482,-3927,2482,-3932,2419,-3932,2419,-3918,2477,-3918,2477,-3299,2419,-3299,2419,-3284,2477,-3284,2477,-2660,2419,-2660,2419,-2646,2477,-2646,2477,-2027,2419,-2027,2419,-2012,2477,-2012,2477,-1393,2419,-1393,2419,-1379,2477,-1379,2477,-755,2419,-755,2419,-740,2477,-740,2477,-121,2419,-121,2419,-107,2477,-107,2477,-49,2491,-49,2491,-107,3658,-107,3658,-49,3672,-49,3672,-107,4838,-107,4838,-49,4853,-49,4853,-107,6019,-107,6019,-49,6034,-49,6034,-107,7200,-107,7200,-49,7214,-49,7214,-107,8381,-107,8381,-49,8395,-49,8395,-116xe" filled="true" fillcolor="#858585" stroked="false">
              <v:path arrowok="t"/>
              <v:fill type="solid"/>
            </v:shape>
            <v:shape style="position:absolute;left:8184;top:-3702;width:116;height:116" type="#_x0000_t75" stroked="false">
              <v:imagedata r:id="rId45" o:title=""/>
            </v:shape>
            <v:rect style="position:absolute;left:8179;top:-3342;width:116;height:116" filled="true" fillcolor="#bf4f4c" stroked="false">
              <v:fill type="solid"/>
            </v:rect>
            <v:shape style="position:absolute;left:8184;top:-2982;width:116;height:116" type="#_x0000_t75" stroked="false">
              <v:imagedata r:id="rId46" o:title=""/>
            </v:shape>
            <w10:wrap type="none"/>
          </v:group>
        </w:pict>
      </w:r>
      <w:r>
        <w:rPr>
          <w:rFonts w:ascii="Calibri"/>
          <w:sz w:val="20"/>
        </w:rPr>
        <w:t>Folic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Acid</w:t>
        <w:tab/>
        <w:t>Proguanil</w:t>
        <w:tab/>
      </w:r>
      <w:r>
        <w:rPr>
          <w:rFonts w:ascii="Calibri"/>
          <w:spacing w:val="-1"/>
          <w:sz w:val="20"/>
        </w:rPr>
        <w:t>Liberal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z w:val="20"/>
        </w:rPr>
        <w:t>Fluid</w:t>
      </w:r>
    </w:p>
    <w:p>
      <w:pPr>
        <w:spacing w:before="1"/>
        <w:ind w:left="456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Intake</w:t>
      </w:r>
    </w:p>
    <w:p>
      <w:pPr>
        <w:tabs>
          <w:tab w:pos="1384" w:val="left" w:leader="none"/>
        </w:tabs>
        <w:spacing w:before="15"/>
        <w:ind w:left="126" w:right="0" w:firstLine="0"/>
        <w:jc w:val="lef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  <w:t>Hydroxyurea</w:t>
        <w:tab/>
        <w:t>Amoxicillin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2240" w:h="15840"/>
          <w:pgMar w:top="1360" w:bottom="280" w:left="620" w:right="0"/>
          <w:cols w:num="2" w:equalWidth="0">
            <w:col w:w="5310" w:space="40"/>
            <w:col w:w="6270"/>
          </w:cols>
        </w:sectPr>
      </w:pPr>
    </w:p>
    <w:p>
      <w:pPr>
        <w:spacing w:before="58"/>
        <w:ind w:left="3820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Drug/Intervention</w:t>
      </w:r>
      <w:r>
        <w:rPr>
          <w:rFonts w:ascii="Calibri"/>
          <w:b/>
          <w:spacing w:val="-12"/>
          <w:sz w:val="20"/>
        </w:rPr>
        <w:t> </w:t>
      </w:r>
      <w:r>
        <w:rPr>
          <w:rFonts w:ascii="Calibri"/>
          <w:b/>
          <w:sz w:val="20"/>
        </w:rPr>
        <w:t>Used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3"/>
        <w:rPr>
          <w:rFonts w:ascii="Calibri"/>
          <w:b/>
          <w:sz w:val="20"/>
        </w:rPr>
      </w:pPr>
    </w:p>
    <w:p>
      <w:pPr>
        <w:pStyle w:val="Heading1"/>
        <w:spacing w:line="535" w:lineRule="auto" w:before="90"/>
        <w:ind w:left="1242" w:right="1433" w:hanging="423"/>
        <w:jc w:val="left"/>
      </w:pPr>
      <w:r>
        <w:rPr/>
        <w:t>Figure</w:t>
      </w:r>
      <w:r>
        <w:rPr>
          <w:spacing w:val="-5"/>
        </w:rPr>
        <w:t> </w:t>
      </w:r>
      <w:r>
        <w:rPr/>
        <w:t>4.10:</w:t>
      </w:r>
      <w:r>
        <w:rPr>
          <w:spacing w:val="-2"/>
        </w:rPr>
        <w:t> </w:t>
      </w:r>
      <w:r>
        <w:rPr/>
        <w:t>Routine</w:t>
      </w:r>
      <w:r>
        <w:rPr>
          <w:spacing w:val="-5"/>
        </w:rPr>
        <w:t> </w:t>
      </w:r>
      <w:r>
        <w:rPr/>
        <w:t>Drug/Intervention</w:t>
      </w:r>
      <w:r>
        <w:rPr>
          <w:spacing w:val="-2"/>
        </w:rPr>
        <w:t> </w:t>
      </w:r>
      <w:r>
        <w:rPr/>
        <w:t>Utilisation</w:t>
      </w:r>
      <w:r>
        <w:rPr>
          <w:spacing w:val="-3"/>
        </w:rPr>
        <w:t> </w:t>
      </w:r>
      <w:r>
        <w:rPr/>
        <w:t>Pattern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Sickle</w:t>
      </w:r>
      <w:r>
        <w:rPr>
          <w:spacing w:val="-4"/>
        </w:rPr>
        <w:t> </w:t>
      </w:r>
      <w:r>
        <w:rPr/>
        <w:t>Cell</w:t>
      </w:r>
      <w:r>
        <w:rPr>
          <w:spacing w:val="-7"/>
        </w:rPr>
        <w:t> </w:t>
      </w:r>
      <w:r>
        <w:rPr/>
        <w:t>Disease</w:t>
      </w:r>
      <w:r>
        <w:rPr>
          <w:spacing w:val="-4"/>
        </w:rPr>
        <w:t> </w:t>
      </w:r>
      <w:r>
        <w:rPr/>
        <w:t>patients</w:t>
      </w:r>
      <w:r>
        <w:rPr>
          <w:spacing w:val="-57"/>
        </w:rPr>
        <w:t> </w:t>
      </w:r>
      <w:r>
        <w:rPr/>
        <w:t>Grouped</w:t>
      </w:r>
      <w:r>
        <w:rPr>
          <w:spacing w:val="2"/>
        </w:rPr>
        <w:t> </w:t>
      </w:r>
      <w:r>
        <w:rPr/>
        <w:t>by</w:t>
      </w:r>
      <w:r>
        <w:rPr>
          <w:spacing w:val="2"/>
        </w:rPr>
        <w:t> </w:t>
      </w:r>
      <w:r>
        <w:rPr/>
        <w:t>Haemoglobin</w:t>
      </w:r>
      <w:r>
        <w:rPr>
          <w:spacing w:val="3"/>
        </w:rPr>
        <w:t> </w:t>
      </w:r>
      <w:r>
        <w:rPr/>
        <w:t>Variant</w:t>
      </w:r>
    </w:p>
    <w:p>
      <w:pPr>
        <w:spacing w:after="0" w:line="535" w:lineRule="auto"/>
        <w:jc w:val="left"/>
        <w:sectPr>
          <w:type w:val="continuous"/>
          <w:pgSz w:w="12240" w:h="15840"/>
          <w:pgMar w:top="1360" w:bottom="280" w:left="62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5"/>
        </w:rPr>
      </w:pPr>
    </w:p>
    <w:p>
      <w:pPr>
        <w:spacing w:before="1"/>
        <w:ind w:left="1372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15.919998pt;margin-top:6.45147pt;width:301.7pt;height:192.75pt;mso-position-horizontal-relative:page;mso-position-vertical-relative:paragraph;z-index:-20245504" coordorigin="2318,129" coordsize="6034,3855">
            <v:shape style="position:absolute;left:2625;top:556;width:341;height:3370" type="#_x0000_t75" stroked="false">
              <v:imagedata r:id="rId47" o:title=""/>
            </v:shape>
            <v:rect style="position:absolute;left:2961;top:705;width:332;height:3216" filled="true" fillcolor="#bf4f4c" stroked="false">
              <v:fill type="solid"/>
            </v:rect>
            <v:shape style="position:absolute;left:3288;top:743;width:341;height:3183" type="#_x0000_t75" stroked="false">
              <v:imagedata r:id="rId48" o:title=""/>
            </v:shape>
            <v:shape style="position:absolute;left:4118;top:983;width:341;height:2943" type="#_x0000_t75" stroked="false">
              <v:imagedata r:id="rId49" o:title=""/>
            </v:shape>
            <v:rect style="position:absolute;left:4454;top:1837;width:332;height:2084" filled="true" fillcolor="#bf4f4c" stroked="false">
              <v:fill type="solid"/>
            </v:rect>
            <v:shape style="position:absolute;left:4780;top:743;width:341;height:3183" type="#_x0000_t75" stroked="false">
              <v:imagedata r:id="rId50" o:title=""/>
            </v:shape>
            <v:shape style="position:absolute;left:5606;top:2356;width:341;height:1570" type="#_x0000_t75" stroked="false">
              <v:imagedata r:id="rId51" o:title=""/>
            </v:shape>
            <v:rect style="position:absolute;left:5942;top:2265;width:332;height:1656" filled="true" fillcolor="#bf4f4c" stroked="false">
              <v:fill type="solid"/>
            </v:rect>
            <v:shape style="position:absolute;left:6268;top:2356;width:341;height:1570" type="#_x0000_t75" stroked="false">
              <v:imagedata r:id="rId52" o:title=""/>
            </v:shape>
            <v:shape style="position:absolute;left:7099;top:3445;width:341;height:480" type="#_x0000_t75" stroked="false">
              <v:imagedata r:id="rId53" o:title=""/>
            </v:shape>
            <v:rect style="position:absolute;left:7435;top:3023;width:332;height:898" filled="true" fillcolor="#bf4f4c" stroked="false">
              <v:fill type="solid"/>
            </v:rect>
            <v:shape style="position:absolute;left:7761;top:3114;width:341;height:812" type="#_x0000_t75" stroked="false">
              <v:imagedata r:id="rId54" o:title=""/>
            </v:shape>
            <v:shape style="position:absolute;left:2318;top:129;width:6034;height:3855" coordorigin="2318,129" coordsize="6034,3855" path="m8352,3921l8342,3921,8342,3916,2390,3916,2390,134,2381,134,2381,129,2318,129,2318,143,2376,143,2376,599,2318,599,2318,614,2376,614,2376,1075,2318,1075,2318,1089,2376,1089,2376,1550,2318,1550,2318,1564,2376,1564,2376,2020,2318,2020,2318,2035,2376,2035,2376,2495,2318,2495,2318,2510,2376,2510,2376,2971,2318,2971,2318,2985,2376,2985,2376,3441,2318,3441,2318,3455,2376,3455,2376,3916,2318,3916,2318,3931,2376,3931,2376,3983,2390,3983,2390,3931,3864,3931,3864,3983,3878,3983,3878,3931,5357,3931,5357,3983,5371,3983,5371,3931,6845,3931,6845,3983,6859,3983,6859,3931,8338,3931,8338,3983,8352,3983,8352,3921xe" filled="true" fillcolor="#858585" stroked="false">
              <v:path arrowok="t"/>
              <v:fill type="solid"/>
            </v:shape>
            <v:shape style="position:absolute;left:2558;top:265;width:2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71</w:t>
                    </w:r>
                  </w:p>
                </w:txbxContent>
              </v:textbox>
              <w10:wrap type="none"/>
            </v:shape>
            <v:shape style="position:absolute;left:3028;top:409;width:2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68</w:t>
                    </w:r>
                  </w:p>
                </w:txbxContent>
              </v:textbox>
              <w10:wrap type="none"/>
            </v:shape>
            <v:shape style="position:absolute;left:3499;top:496;width:2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67</w:t>
                    </w:r>
                  </w:p>
                </w:txbxContent>
              </v:textbox>
              <w10:wrap type="none"/>
            </v:shape>
            <v:shape style="position:absolute;left:4848;top:457;width:2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67</w:t>
                    </w:r>
                  </w:p>
                </w:txbxContent>
              </v:textbox>
              <w10:wrap type="none"/>
            </v:shape>
            <v:shape style="position:absolute;left:4185;top:693;width:2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62</w:t>
                    </w:r>
                  </w:p>
                </w:txbxContent>
              </v:textbox>
              <w10:wrap type="none"/>
            </v:shape>
            <v:shape style="position:absolute;left:4516;top:1547;width:2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44</w:t>
                    </w:r>
                  </w:p>
                </w:txbxContent>
              </v:textbox>
              <w10:wrap type="none"/>
            </v:shape>
            <v:shape style="position:absolute;left:5678;top:1969;width:886;height:298" type="#_x0000_t202" filled="false" stroked="false">
              <v:textbox inset="0,0,0,0">
                <w:txbxContent>
                  <w:p>
                    <w:pPr>
                      <w:spacing w:line="298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33</w:t>
                    </w:r>
                    <w:r>
                      <w:rPr>
                        <w:rFonts w:ascii="Calibri"/>
                        <w:spacing w:val="81"/>
                        <w:sz w:val="20"/>
                      </w:rPr>
                      <w:t> </w:t>
                    </w:r>
                    <w:r>
                      <w:rPr>
                        <w:rFonts w:ascii="Calibri"/>
                        <w:position w:val="10"/>
                        <w:sz w:val="20"/>
                      </w:rPr>
                      <w:t>35</w:t>
                    </w:r>
                    <w:r>
                      <w:rPr>
                        <w:rFonts w:ascii="Calibri"/>
                        <w:spacing w:val="82"/>
                        <w:position w:val="1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33</w:t>
                    </w:r>
                  </w:p>
                </w:txbxContent>
              </v:textbox>
              <w10:wrap type="none"/>
            </v:shape>
            <v:shape style="position:absolute;left:7497;top:2728;width:555;height:298" type="#_x0000_t202" filled="false" stroked="false">
              <v:textbox inset="0,0,0,0">
                <w:txbxContent>
                  <w:p>
                    <w:pPr>
                      <w:spacing w:line="189" w:lineRule="auto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19</w:t>
                    </w:r>
                    <w:r>
                      <w:rPr>
                        <w:rFonts w:ascii="Calibri"/>
                        <w:spacing w:val="81"/>
                        <w:sz w:val="20"/>
                      </w:rPr>
                      <w:t> </w:t>
                    </w:r>
                    <w:r>
                      <w:rPr>
                        <w:rFonts w:ascii="Calibri"/>
                        <w:position w:val="-9"/>
                        <w:sz w:val="20"/>
                      </w:rPr>
                      <w:t>17</w:t>
                    </w:r>
                  </w:p>
                </w:txbxContent>
              </v:textbox>
              <w10:wrap type="none"/>
            </v:shape>
            <v:shape style="position:absolute;left:7166;top:3155;width:2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80</w:t>
      </w:r>
    </w:p>
    <w:p>
      <w:pPr>
        <w:pStyle w:val="BodyText"/>
        <w:spacing w:before="11"/>
        <w:rPr>
          <w:rFonts w:ascii="Calibri"/>
          <w:sz w:val="18"/>
        </w:rPr>
      </w:pPr>
    </w:p>
    <w:p>
      <w:pPr>
        <w:spacing w:before="0"/>
        <w:ind w:left="137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70</w:t>
      </w:r>
    </w:p>
    <w:p>
      <w:pPr>
        <w:pStyle w:val="BodyText"/>
        <w:spacing w:before="11"/>
        <w:rPr>
          <w:rFonts w:ascii="Calibri"/>
          <w:sz w:val="13"/>
        </w:rPr>
      </w:pPr>
    </w:p>
    <w:p>
      <w:pPr>
        <w:spacing w:before="61"/>
        <w:ind w:left="1372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85.520073pt;margin-top:10.003769pt;width:12.1pt;height:94.3pt;mso-position-horizontal-relative:page;mso-position-vertical-relative:paragraph;z-index:15756288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Percentage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Utilisation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60</w:t>
      </w:r>
    </w:p>
    <w:p>
      <w:pPr>
        <w:pStyle w:val="BodyText"/>
        <w:spacing w:before="7"/>
        <w:rPr>
          <w:rFonts w:ascii="Calibri"/>
          <w:sz w:val="18"/>
        </w:rPr>
      </w:pPr>
    </w:p>
    <w:p>
      <w:pPr>
        <w:spacing w:before="0"/>
        <w:ind w:left="137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50</w:t>
      </w:r>
    </w:p>
    <w:p>
      <w:pPr>
        <w:pStyle w:val="BodyText"/>
        <w:spacing w:before="1"/>
        <w:rPr>
          <w:rFonts w:ascii="Calibri"/>
          <w:sz w:val="18"/>
        </w:rPr>
      </w:pPr>
    </w:p>
    <w:p>
      <w:pPr>
        <w:tabs>
          <w:tab w:pos="8245" w:val="left" w:leader="none"/>
        </w:tabs>
        <w:spacing w:before="0"/>
        <w:ind w:left="1372" w:right="0" w:firstLine="0"/>
        <w:jc w:val="lef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3071488">
            <wp:simplePos x="0" y="0"/>
            <wp:positionH relativeFrom="page">
              <wp:posOffset>5504688</wp:posOffset>
            </wp:positionH>
            <wp:positionV relativeFrom="paragraph">
              <wp:posOffset>51072</wp:posOffset>
            </wp:positionV>
            <wp:extent cx="67055" cy="70103"/>
            <wp:effectExtent l="0" t="0" r="0" b="0"/>
            <wp:wrapNone/>
            <wp:docPr id="7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t>40</w:t>
        <w:tab/>
      </w:r>
      <w:r>
        <w:rPr>
          <w:rFonts w:ascii="Calibri"/>
          <w:position w:val="1"/>
          <w:sz w:val="20"/>
        </w:rPr>
        <w:t>HbSS</w:t>
      </w:r>
      <w:r>
        <w:rPr>
          <w:rFonts w:ascii="Calibri"/>
          <w:spacing w:val="1"/>
          <w:position w:val="1"/>
          <w:sz w:val="20"/>
        </w:rPr>
        <w:t> </w:t>
      </w:r>
      <w:r>
        <w:rPr>
          <w:rFonts w:ascii="Calibri"/>
          <w:position w:val="1"/>
          <w:sz w:val="20"/>
        </w:rPr>
        <w:t>+</w:t>
      </w:r>
      <w:r>
        <w:rPr>
          <w:rFonts w:ascii="Calibri"/>
          <w:spacing w:val="-2"/>
          <w:position w:val="1"/>
          <w:sz w:val="20"/>
        </w:rPr>
        <w:t> </w:t>
      </w:r>
      <w:r>
        <w:rPr>
          <w:rFonts w:ascii="Calibri"/>
          <w:position w:val="1"/>
          <w:sz w:val="20"/>
        </w:rPr>
        <w:t>F</w:t>
      </w:r>
    </w:p>
    <w:p>
      <w:pPr>
        <w:tabs>
          <w:tab w:pos="8202" w:val="left" w:leader="none"/>
        </w:tabs>
        <w:spacing w:before="106"/>
        <w:ind w:left="1372" w:right="0" w:firstLine="0"/>
        <w:jc w:val="left"/>
        <w:rPr>
          <w:rFonts w:ascii="Calibri"/>
          <w:sz w:val="20"/>
        </w:rPr>
      </w:pPr>
      <w:r>
        <w:rPr/>
        <w:pict>
          <v:rect style="position:absolute;margin-left:433.200012pt;margin-top:9.301462pt;width:5.52pt;height:5.52pt;mso-position-horizontal-relative:page;mso-position-vertical-relative:paragraph;z-index:-20244480" filled="true" fillcolor="#bf4f4c" stroked="false">
            <v:fill type="solid"/>
            <w10:wrap type="none"/>
          </v:rect>
        </w:pict>
      </w:r>
      <w:r>
        <w:rPr>
          <w:rFonts w:ascii="Calibri"/>
          <w:position w:val="-11"/>
          <w:sz w:val="20"/>
        </w:rPr>
        <w:t>30</w:t>
        <w:tab/>
      </w:r>
      <w:r>
        <w:rPr>
          <w:rFonts w:ascii="Calibri"/>
          <w:sz w:val="20"/>
        </w:rPr>
        <w:t>HbSS</w:t>
      </w:r>
    </w:p>
    <w:p>
      <w:pPr>
        <w:spacing w:line="237" w:lineRule="exact" w:before="1"/>
        <w:ind w:left="0" w:right="2986" w:firstLine="0"/>
        <w:jc w:val="righ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5504688</wp:posOffset>
            </wp:positionH>
            <wp:positionV relativeFrom="paragraph">
              <wp:posOffset>48405</wp:posOffset>
            </wp:positionV>
            <wp:extent cx="67055" cy="70103"/>
            <wp:effectExtent l="0" t="0" r="0" b="0"/>
            <wp:wrapNone/>
            <wp:docPr id="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t>HbSC</w:t>
      </w:r>
    </w:p>
    <w:p>
      <w:pPr>
        <w:spacing w:line="237" w:lineRule="exact" w:before="0"/>
        <w:ind w:left="137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pStyle w:val="BodyText"/>
        <w:spacing w:before="12"/>
        <w:rPr>
          <w:rFonts w:ascii="Calibri"/>
          <w:sz w:val="13"/>
        </w:rPr>
      </w:pPr>
    </w:p>
    <w:p>
      <w:pPr>
        <w:spacing w:before="60"/>
        <w:ind w:left="137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</w:t>
      </w:r>
    </w:p>
    <w:p>
      <w:pPr>
        <w:pStyle w:val="BodyText"/>
        <w:rPr>
          <w:rFonts w:ascii="Calibri"/>
          <w:sz w:val="14"/>
        </w:rPr>
      </w:pPr>
    </w:p>
    <w:p>
      <w:pPr>
        <w:spacing w:before="61"/>
        <w:ind w:left="0" w:right="8560" w:firstLine="0"/>
        <w:jc w:val="center"/>
        <w:rPr>
          <w:rFonts w:ascii="Calibri"/>
          <w:sz w:val="20"/>
        </w:rPr>
      </w:pPr>
      <w:r>
        <w:rPr>
          <w:rFonts w:ascii="Calibri"/>
          <w:w w:val="100"/>
          <w:sz w:val="20"/>
        </w:rPr>
        <w:t>0</w:t>
      </w:r>
    </w:p>
    <w:p>
      <w:pPr>
        <w:tabs>
          <w:tab w:pos="1387" w:val="left" w:leader="none"/>
          <w:tab w:pos="2927" w:val="left" w:leader="none"/>
          <w:tab w:pos="4473" w:val="left" w:leader="none"/>
        </w:tabs>
        <w:spacing w:before="15"/>
        <w:ind w:left="0" w:right="2136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Vitamin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C</w:t>
        <w:tab/>
        <w:t>Vitamin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B12</w:t>
        <w:tab/>
        <w:t>Vitamin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B6</w:t>
        <w:tab/>
        <w:t>Vitamin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E</w:t>
      </w:r>
    </w:p>
    <w:p>
      <w:pPr>
        <w:spacing w:before="58"/>
        <w:ind w:left="111" w:right="2242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Vitamin</w:t>
      </w:r>
      <w:r>
        <w:rPr>
          <w:rFonts w:ascii="Calibri"/>
          <w:b/>
          <w:spacing w:val="-1"/>
          <w:sz w:val="20"/>
        </w:rPr>
        <w:t> </w:t>
      </w:r>
      <w:r>
        <w:rPr>
          <w:rFonts w:ascii="Calibri"/>
          <w:b/>
          <w:sz w:val="20"/>
        </w:rPr>
        <w:t>(Antioxidant)</w:t>
      </w:r>
      <w:r>
        <w:rPr>
          <w:rFonts w:ascii="Calibri"/>
          <w:b/>
          <w:spacing w:val="-13"/>
          <w:sz w:val="20"/>
        </w:rPr>
        <w:t> </w:t>
      </w:r>
      <w:r>
        <w:rPr>
          <w:rFonts w:ascii="Calibri"/>
          <w:b/>
          <w:sz w:val="20"/>
        </w:rPr>
        <w:t>Used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Heading1"/>
        <w:spacing w:line="535" w:lineRule="auto" w:before="214"/>
        <w:ind w:left="1362" w:right="1433" w:hanging="543"/>
        <w:jc w:val="left"/>
      </w:pPr>
      <w:r>
        <w:rPr/>
        <w:t>Figure</w:t>
      </w:r>
      <w:r>
        <w:rPr>
          <w:spacing w:val="-5"/>
        </w:rPr>
        <w:t> </w:t>
      </w:r>
      <w:r>
        <w:rPr/>
        <w:t>4.11:</w:t>
      </w:r>
      <w:r>
        <w:rPr>
          <w:spacing w:val="-4"/>
        </w:rPr>
        <w:t> </w:t>
      </w:r>
      <w:r>
        <w:rPr/>
        <w:t>Vitamin/Antioxidant</w:t>
      </w:r>
      <w:r>
        <w:rPr>
          <w:spacing w:val="-3"/>
        </w:rPr>
        <w:t> </w:t>
      </w:r>
      <w:r>
        <w:rPr/>
        <w:t>Utilisation</w:t>
      </w:r>
      <w:r>
        <w:rPr>
          <w:spacing w:val="-3"/>
        </w:rPr>
        <w:t> </w:t>
      </w:r>
      <w:r>
        <w:rPr/>
        <w:t>Pattern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Sickle</w:t>
      </w:r>
      <w:r>
        <w:rPr>
          <w:spacing w:val="-5"/>
        </w:rPr>
        <w:t> </w:t>
      </w:r>
      <w:r>
        <w:rPr/>
        <w:t>Cell</w:t>
      </w:r>
      <w:r>
        <w:rPr>
          <w:spacing w:val="-8"/>
        </w:rPr>
        <w:t> </w:t>
      </w:r>
      <w:r>
        <w:rPr/>
        <w:t>Disease</w:t>
      </w:r>
      <w:r>
        <w:rPr>
          <w:spacing w:val="-5"/>
        </w:rPr>
        <w:t> </w:t>
      </w:r>
      <w:r>
        <w:rPr/>
        <w:t>Patients</w:t>
      </w:r>
      <w:r>
        <w:rPr>
          <w:spacing w:val="-57"/>
        </w:rPr>
        <w:t> </w:t>
      </w:r>
      <w:r>
        <w:rPr/>
        <w:t>Grouped</w:t>
      </w:r>
      <w:r>
        <w:rPr>
          <w:spacing w:val="2"/>
        </w:rPr>
        <w:t> </w:t>
      </w:r>
      <w:r>
        <w:rPr/>
        <w:t>by</w:t>
      </w:r>
      <w:r>
        <w:rPr>
          <w:spacing w:val="2"/>
        </w:rPr>
        <w:t> </w:t>
      </w:r>
      <w:r>
        <w:rPr/>
        <w:t>Haemoglobin</w:t>
      </w:r>
      <w:r>
        <w:rPr>
          <w:spacing w:val="3"/>
        </w:rPr>
        <w:t> </w:t>
      </w:r>
      <w:r>
        <w:rPr/>
        <w:t>Variant</w:t>
      </w:r>
    </w:p>
    <w:p>
      <w:pPr>
        <w:spacing w:after="0" w:line="535" w:lineRule="auto"/>
        <w:jc w:val="left"/>
        <w:sectPr>
          <w:pgSz w:w="12240" w:h="15840"/>
          <w:pgMar w:header="0" w:footer="1017" w:top="1500" w:bottom="1200" w:left="62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1017" w:top="1500" w:bottom="1200" w:left="620" w:right="0"/>
        </w:sectPr>
      </w:pPr>
    </w:p>
    <w:p>
      <w:pPr>
        <w:pStyle w:val="BodyText"/>
        <w:spacing w:before="9"/>
        <w:rPr>
          <w:b/>
          <w:sz w:val="15"/>
        </w:rPr>
      </w:pPr>
    </w:p>
    <w:p>
      <w:pPr>
        <w:spacing w:before="1"/>
        <w:ind w:left="0" w:right="756" w:firstLine="0"/>
        <w:jc w:val="right"/>
        <w:rPr>
          <w:rFonts w:ascii="Calibri"/>
          <w:sz w:val="20"/>
        </w:rPr>
      </w:pPr>
      <w:r>
        <w:rPr/>
        <w:pict>
          <v:group style="position:absolute;margin-left:120.959999pt;margin-top:.09147pt;width:346.1pt;height:170.3pt;mso-position-horizontal-relative:page;mso-position-vertical-relative:paragraph;z-index:15758848" coordorigin="2419,2" coordsize="6922,3406">
            <v:shape style="position:absolute;left:2640;top:580;width:231;height:2770" type="#_x0000_t75" stroked="false">
              <v:imagedata r:id="rId57" o:title=""/>
            </v:shape>
            <v:rect style="position:absolute;left:2865;top:297;width:216;height:3048" filled="true" fillcolor="#bf4f4c" stroked="false">
              <v:fill type="solid"/>
            </v:rect>
            <v:shape style="position:absolute;left:3076;top:676;width:226;height:2674" type="#_x0000_t75" stroked="false">
              <v:imagedata r:id="rId58" o:title=""/>
            </v:shape>
            <v:shape style="position:absolute;left:3619;top:2121;width:231;height:1229" type="#_x0000_t75" stroked="false">
              <v:imagedata r:id="rId59" o:title=""/>
            </v:shape>
            <v:rect style="position:absolute;left:3844;top:1612;width:216;height:1733" filled="true" fillcolor="#bf4f4c" stroked="false">
              <v:fill type="solid"/>
            </v:rect>
            <v:shape style="position:absolute;left:4056;top:2279;width:226;height:1071" type="#_x0000_t75" stroked="false">
              <v:imagedata r:id="rId60" o:title=""/>
            </v:shape>
            <v:shape style="position:absolute;left:4598;top:1799;width:226;height:1551" type="#_x0000_t75" stroked="false">
              <v:imagedata r:id="rId61" o:title=""/>
            </v:shape>
            <v:rect style="position:absolute;left:4819;top:1098;width:221;height:2247" filled="true" fillcolor="#bf4f4c" stroked="false">
              <v:fill type="solid"/>
            </v:rect>
            <v:shape style="position:absolute;left:5035;top:1189;width:226;height:2160" type="#_x0000_t75" stroked="false">
              <v:imagedata r:id="rId62" o:title=""/>
            </v:shape>
            <v:shape style="position:absolute;left:5577;top:1957;width:226;height:1392" type="#_x0000_t75" stroked="false">
              <v:imagedata r:id="rId63" o:title=""/>
            </v:shape>
            <v:rect style="position:absolute;left:5798;top:1002;width:221;height:2343" filled="true" fillcolor="#bf4f4c" stroked="false">
              <v:fill type="solid"/>
            </v:rect>
            <v:shape style="position:absolute;left:6014;top:1189;width:226;height:2160" type="#_x0000_t75" stroked="false">
              <v:imagedata r:id="rId64" o:title=""/>
            </v:shape>
            <v:shape style="position:absolute;left:6556;top:2409;width:226;height:941" type="#_x0000_t75" stroked="false">
              <v:imagedata r:id="rId65" o:title=""/>
            </v:shape>
            <v:rect style="position:absolute;left:6777;top:1967;width:221;height:1378" filled="true" fillcolor="#bf4f4c" stroked="false">
              <v:fill type="solid"/>
            </v:rect>
            <v:shape style="position:absolute;left:6993;top:2279;width:226;height:1071" type="#_x0000_t75" stroked="false">
              <v:imagedata r:id="rId66" o:title=""/>
            </v:shape>
            <v:shape style="position:absolute;left:8520;top:3316;width:216;height:34" type="#_x0000_t75" stroked="false">
              <v:imagedata r:id="rId67" o:title=""/>
            </v:shape>
            <v:shape style="position:absolute;left:7756;top:3153;width:1196;height:193" coordorigin="7757,3153" coordsize="1196,193" path="m7973,3283l7757,3283,7757,3345,7973,3345,7973,3283xm8952,3153l8736,3153,8736,3345,8952,3345,8952,3153xe" filled="true" fillcolor="#bf4f4c" stroked="false">
              <v:path arrowok="t"/>
              <v:fill type="solid"/>
            </v:shape>
            <v:shape style="position:absolute;left:2419;top:129;width:6922;height:3279" coordorigin="2419,129" coordsize="6922,3279" path="m9341,3345l9331,3345,9331,3340,2491,3340,2491,134,2482,134,2482,129,2419,129,2419,143,2477,143,2477,451,2419,451,2419,465,2477,465,2477,772,2419,772,2419,787,2477,787,2477,1089,2419,1089,2419,1103,2477,1103,2477,1411,2419,1411,2419,1425,2477,1425,2477,1732,2419,1732,2419,1747,2477,1747,2477,2054,2419,2054,2419,2068,2477,2068,2477,2375,2419,2375,2419,2390,2477,2390,2477,2697,2419,2697,2419,2711,2477,2711,2477,3019,2419,3019,2419,3033,2477,3033,2477,3340,2419,3340,2419,3355,2477,3355,2477,3407,2491,3407,2491,3355,3456,3355,3456,3407,3470,3407,3470,3355,4435,3355,4435,3407,4450,3407,4450,3355,5414,3355,5414,3407,5429,3407,5429,3355,6389,3355,6389,3407,6403,3407,6403,3355,7368,3355,7368,3407,7382,3407,7382,3355,8347,3355,8347,3407,8362,3407,8362,3355,9326,3355,9326,3407,9341,3407,9341,3345xe" filled="true" fillcolor="#858585" stroked="false">
              <v:path arrowok="t"/>
              <v:fill type="solid"/>
            </v:shape>
            <v:shape style="position:absolute;left:2870;top:1;width:2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95</w:t>
                    </w:r>
                  </w:p>
                </w:txbxContent>
              </v:textbox>
              <w10:wrap type="none"/>
            </v:shape>
            <v:shape style="position:absolute;left:2654;top:289;width:2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86</w:t>
                    </w:r>
                  </w:p>
                </w:txbxContent>
              </v:textbox>
              <w10:wrap type="none"/>
            </v:shape>
            <v:shape style="position:absolute;left:3086;top:385;width:2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83</w:t>
                    </w:r>
                  </w:p>
                </w:txbxContent>
              </v:textbox>
              <w10:wrap type="none"/>
            </v:shape>
            <v:shape style="position:absolute;left:4828;top:803;width:439;height:298" type="#_x0000_t202" filled="false" stroked="false">
              <v:textbox inset="0,0,0,0">
                <w:txbxContent>
                  <w:p>
                    <w:pPr>
                      <w:spacing w:line="189" w:lineRule="auto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</w:t>
                    </w:r>
                    <w:r>
                      <w:rPr>
                        <w:rFonts w:ascii="Calibri"/>
                        <w:position w:val="-9"/>
                        <w:sz w:val="20"/>
                      </w:rPr>
                      <w:t>67</w:t>
                    </w:r>
                  </w:p>
                </w:txbxContent>
              </v:textbox>
              <w10:wrap type="none"/>
            </v:shape>
            <v:shape style="position:absolute;left:5808;top:707;width:440;height:394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73</w:t>
                    </w:r>
                  </w:p>
                  <w:p>
                    <w:pPr>
                      <w:spacing w:line="215" w:lineRule="exact" w:before="0"/>
                      <w:ind w:left="216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67</w:t>
                    </w:r>
                  </w:p>
                </w:txbxContent>
              </v:textbox>
              <w10:wrap type="none"/>
            </v:shape>
            <v:shape style="position:absolute;left:3849;top:1317;width:2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54</w:t>
                    </w:r>
                  </w:p>
                </w:txbxContent>
              </v:textbox>
              <w10:wrap type="none"/>
            </v:shape>
            <v:shape style="position:absolute;left:4608;top:1509;width:2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48</w:t>
                    </w:r>
                  </w:p>
                </w:txbxContent>
              </v:textbox>
              <w10:wrap type="none"/>
            </v:shape>
            <v:shape style="position:absolute;left:3633;top:1830;width:2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38</w:t>
                    </w:r>
                  </w:p>
                </w:txbxContent>
              </v:textbox>
              <w10:wrap type="none"/>
            </v:shape>
            <v:shape style="position:absolute;left:5587;top:1672;width:2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43</w:t>
                    </w:r>
                  </w:p>
                </w:txbxContent>
              </v:textbox>
              <w10:wrap type="none"/>
            </v:shape>
            <v:shape style="position:absolute;left:6782;top:1672;width:2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43</w:t>
                    </w:r>
                  </w:p>
                </w:txbxContent>
              </v:textbox>
              <w10:wrap type="none"/>
            </v:shape>
            <v:shape style="position:absolute;left:4065;top:1993;width:2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33</w:t>
                    </w:r>
                  </w:p>
                </w:txbxContent>
              </v:textbox>
              <w10:wrap type="none"/>
            </v:shape>
            <v:shape style="position:absolute;left:6566;top:2123;width:2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29</w:t>
                    </w:r>
                  </w:p>
                </w:txbxContent>
              </v:textbox>
              <w10:wrap type="none"/>
            </v:shape>
            <v:shape style="position:absolute;left:7003;top:1993;width:2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33</w:t>
                    </w:r>
                  </w:p>
                </w:txbxContent>
              </v:textbox>
              <w10:wrap type="none"/>
            </v:shape>
            <v:shape style="position:absolute;left:7598;top:2987;width:559;height:269" type="#_x0000_t202" filled="false" stroked="false">
              <v:textbox inset="0,0,0,0">
                <w:txbxContent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</w:t>
                    </w:r>
                    <w:r>
                      <w:rPr>
                        <w:rFonts w:ascii="Calibri"/>
                        <w:spacing w:val="69"/>
                        <w:sz w:val="20"/>
                      </w:rPr>
                      <w:t> </w:t>
                    </w:r>
                    <w:r>
                      <w:rPr>
                        <w:rFonts w:ascii="Calibri"/>
                        <w:position w:val="7"/>
                        <w:sz w:val="20"/>
                      </w:rPr>
                      <w:t>2</w:t>
                    </w:r>
                    <w:r>
                      <w:rPr>
                        <w:rFonts w:ascii="Calibri"/>
                        <w:spacing w:val="74"/>
                        <w:position w:val="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793;top:2857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8577;top:3021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009;top:3054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100</w:t>
      </w:r>
    </w:p>
    <w:p>
      <w:pPr>
        <w:spacing w:before="77"/>
        <w:ind w:left="0" w:right="751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90</w:t>
      </w:r>
    </w:p>
    <w:p>
      <w:pPr>
        <w:spacing w:before="78"/>
        <w:ind w:left="0" w:right="751" w:firstLine="0"/>
        <w:jc w:val="right"/>
        <w:rPr>
          <w:rFonts w:ascii="Calibri"/>
          <w:sz w:val="20"/>
        </w:rPr>
      </w:pPr>
      <w:r>
        <w:rPr/>
        <w:pict>
          <v:shape style="position:absolute;margin-left:85.520073pt;margin-top:11.803675pt;width:12.1pt;height:94.3pt;mso-position-horizontal-relative:page;mso-position-vertical-relative:paragraph;z-index:15761920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Percentage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Utilisation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80</w:t>
      </w:r>
    </w:p>
    <w:p>
      <w:pPr>
        <w:spacing w:before="77"/>
        <w:ind w:left="0" w:right="751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70</w:t>
      </w:r>
    </w:p>
    <w:p>
      <w:pPr>
        <w:spacing w:before="77"/>
        <w:ind w:left="0" w:right="751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60</w:t>
      </w:r>
    </w:p>
    <w:p>
      <w:pPr>
        <w:spacing w:before="78"/>
        <w:ind w:left="0" w:right="751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50</w:t>
      </w:r>
    </w:p>
    <w:p>
      <w:pPr>
        <w:spacing w:before="77"/>
        <w:ind w:left="0" w:right="751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40</w:t>
      </w:r>
    </w:p>
    <w:p>
      <w:pPr>
        <w:spacing w:before="78"/>
        <w:ind w:left="0" w:right="751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30</w:t>
      </w:r>
    </w:p>
    <w:p>
      <w:pPr>
        <w:spacing w:before="77"/>
        <w:ind w:left="0" w:right="751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spacing w:before="78"/>
        <w:ind w:left="0" w:right="751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</w:t>
      </w:r>
    </w:p>
    <w:p>
      <w:pPr>
        <w:spacing w:before="72"/>
        <w:ind w:left="0" w:right="751" w:firstLine="0"/>
        <w:jc w:val="right"/>
        <w:rPr>
          <w:rFonts w:ascii="Calibri"/>
          <w:sz w:val="20"/>
        </w:rPr>
      </w:pPr>
      <w:r>
        <w:rPr/>
        <w:pict>
          <v:shape style="position:absolute;margin-left:167.759995pt;margin-top:21.281471pt;width:31.95pt;height:30pt;mso-position-horizontal-relative:page;mso-position-vertical-relative:paragraph;z-index:15759360" coordorigin="3355,426" coordsize="639,600" path="m3370,930l3360,930,3360,936,3355,936,3355,940,3442,1026,3451,1026,3451,1022,3456,1022,3456,1018,3370,930xm3398,888l3394,888,3389,892,3389,898,3384,898,3480,994,3485,994,3485,988,3490,988,3490,984,3480,974,3504,974,3504,970,3509,970,3509,964,3470,964,3446,936,3446,926,3437,926,3398,888xm3485,888l3451,888,3442,898,3442,902,3475,902,3480,906,3485,906,3494,916,3499,916,3499,922,3504,926,3504,930,3509,936,3509,950,3499,960,3490,960,3485,964,3514,964,3518,960,3518,954,3523,950,3523,926,3518,922,3514,912,3494,892,3490,892,3485,888xm3456,902l3437,902,3437,926,3446,926,3446,912,3451,912,3451,906,3456,902xm3566,906l3538,906,3542,912,3562,912,3566,906xm3499,844l3494,844,3494,850,3490,850,3490,854,3485,854,3485,858,3490,858,3528,898,3528,902,3533,906,3571,906,3581,898,3552,898,3552,892,3547,892,3542,888,3538,888,3538,884,3499,850,3499,844xm3542,806l3533,806,3533,810,3528,810,3528,816,3576,858,3576,878,3571,884,3571,888,3566,888,3566,892,3562,892,3557,898,3581,898,3581,892,3586,888,3586,868,3605,868,3542,806xm3475,884l3466,884,3461,888,3480,888,3475,884xm3605,868l3586,868,3595,878,3600,878,3600,874,3605,874,3605,868xm3571,772l3566,772,3566,778,3562,778,3562,782,3648,874,3653,874,3653,868,3658,868,3662,864,3662,858,3629,830,3643,830,3643,826,3653,826,3653,820,3658,820,3661,816,3619,816,3590,786,3590,782,3581,782,3571,772xm3624,738l3600,738,3590,748,3590,754,3614,754,3619,758,3629,758,3629,764,3634,764,3643,772,3643,778,3648,778,3648,782,3653,786,3653,806,3648,810,3643,810,3638,816,3661,816,3667,810,3667,806,3672,802,3672,796,3667,792,3667,778,3662,772,3662,768,3653,758,3638,744,3634,744,3624,738xm3605,754l3586,754,3586,764,3581,768,3581,782,3590,782,3590,778,3595,772,3595,764,3600,764,3600,758,3605,758,3605,754xm3648,696l3643,696,3643,700,3638,700,3638,710,3701,772,3706,772,3706,768,3710,768,3710,758,3667,714,3667,710,3658,710,3648,700,3648,696xm3682,676l3662,676,3662,682,3658,682,3658,710,3667,710,3667,696,3672,690,3672,686,3682,686,3682,676xm3754,614l3730,614,3720,624,3710,628,3706,634,3706,638,3701,644,3701,648,3696,658,3701,662,3701,672,3706,676,3706,686,3725,706,3730,706,3739,710,3763,710,3773,700,3782,696,3744,696,3734,686,3730,686,3725,682,3725,676,3720,676,3720,672,3715,666,3715,644,3720,644,3720,638,3725,634,3730,634,3734,628,3778,628,3768,618,3763,618,3754,614xm3778,628l3749,628,3758,638,3763,638,3768,644,3768,648,3778,658,3778,682,3763,696,3782,696,3787,690,3787,686,3792,682,3792,676,3797,672,3792,662,3792,652,3787,648,3787,644,3782,634,3778,628xm3677,672l3667,672,3667,676,3677,676,3677,672xm3800,590l3773,590,3830,644,3835,644,3835,638,3840,638,3840,634,3800,590xm3792,552l3778,566,3754,566,3758,570,3763,580,3754,586,3754,590,3758,594,3763,594,3773,590,3800,590,3787,576,3797,562,3802,562,3802,556,3797,556,3792,552xm3869,504l3835,504,3821,518,3821,524,3816,528,3816,532,3811,538,3816,546,3816,556,3821,562,3821,566,3826,570,3830,580,3840,590,3850,590,3854,594,3878,594,3888,590,3898,580,3859,580,3854,576,3850,576,3850,570,3845,570,3853,562,3835,562,3835,556,3830,556,3830,546,3826,542,3826,538,3830,532,3830,528,3845,514,3879,514,3869,504xm3912,546l3902,546,3902,552,3898,556,3898,562,3883,576,3878,576,3878,580,3898,580,3902,576,3902,570,3907,570,3907,566,3912,566,3912,546xm3773,524l3758,524,3744,538,3744,556,3749,562,3749,566,3778,566,3768,562,3768,556,3763,556,3763,552,3758,546,3758,538,3763,538,3763,532,3773,532,3773,524xm3888,518l3864,518,3869,528,3835,562,3853,562,3888,528,3888,518xm3883,460l3878,460,3878,466,3874,466,3874,470,3936,532,3946,532,3946,528,3950,528,3950,524,3907,480,3902,470,3893,470,3883,460xm3768,518l3763,518,3763,524,3768,524,3768,518xm3879,514l3845,514,3854,518,3883,518,3879,514xm3850,498l3845,504,3854,504,3850,498xm3956,442l3922,442,3926,446,3936,446,3936,450,3941,450,3946,456,3979,494,3984,494,3984,490,3989,490,3989,484,3994,484,3994,480,3956,442xm3936,426l3917,426,3912,432,3907,432,3898,442,3898,450,3893,456,3893,470,3902,470,3902,466,3907,460,3907,450,3912,450,3912,446,3917,446,3922,442,3956,442,3950,436,3946,436,3936,42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64.559998pt;margin-top:21.341473pt;width:30.75pt;height:29pt;mso-position-horizontal-relative:page;mso-position-vertical-relative:paragraph;z-index:15759872" coordorigin="7291,427" coordsize="615,580" path="m7373,886l7320,886,7320,891,7315,891,7296,910,7296,915,7291,915,7291,920,7296,920,7296,925,7378,1006,7382,1006,7392,997,7392,992,7358,963,7365,954,7349,954,7310,915,7325,906,7325,901,7330,901,7334,896,7382,896,7373,886xm7382,896l7354,896,7368,910,7368,930,7363,934,7363,939,7358,939,7349,954,7365,954,7368,949,7382,934,7382,930,7387,925,7387,915,7382,910,7382,896xm7358,877l7339,877,7334,882,7330,882,7325,886,7368,886,7358,877xm7459,921l7440,921,7445,925,7454,925,7459,921xm7459,835l7416,835,7406,845,7406,849,7402,859,7402,883,7406,893,7406,897,7421,911,7430,917,7435,921,7469,921,7474,917,7478,917,7483,911,7454,911,7450,907,7440,907,7440,903,7435,903,7430,897,7441,887,7421,887,7416,883,7416,869,7411,869,7416,863,7416,855,7426,845,7469,845,7459,835xm7493,893l7478,893,7478,897,7474,897,7469,903,7469,907,7459,907,7454,911,7483,911,7483,907,7493,897,7493,893xm7498,873l7488,873,7488,883,7483,883,7483,893,7498,893,7498,873xm7474,845l7445,845,7454,855,7421,887,7441,887,7474,855,7474,845xm7531,855l7522,855,7526,859,7531,855xm7541,849l7512,849,7517,855,7536,855,7541,849xm7487,805l7469,805,7502,845,7507,849,7546,849,7546,845,7550,839,7522,839,7487,805xm7546,825l7541,825,7541,835,7536,835,7531,839,7550,839,7550,829,7546,829,7546,825xm7450,829l7426,829,7421,835,7454,835,7450,829xm7488,715l7478,715,7478,719,7474,719,7474,725,7570,821,7579,811,7579,805,7536,763,7536,753,7522,753,7488,715xm7454,773l7450,773,7445,777,7445,783,7459,797,7450,805,7450,815,7459,815,7469,805,7487,805,7478,797,7492,787,7469,787,7454,773xm7493,773l7488,773,7469,787,7492,787,7498,783,7498,777,7493,777,7493,773xm7589,729l7565,729,7565,735,7570,735,7574,739,7608,777,7613,777,7622,767,7622,763,7589,729xm7570,715l7536,715,7531,719,7531,725,7526,729,7526,739,7522,743,7522,753,7536,753,7536,735,7541,735,7541,729,7589,729,7579,719,7574,719,7570,715xm7589,671l7584,671,7584,677,7579,677,7579,681,7642,743,7646,743,7651,739,7651,735,7656,735,7589,671xm7565,709l7550,709,7546,715,7565,715,7565,709xm7637,561l7632,561,7632,565,7627,565,7627,571,7622,571,7661,609,7656,609,7651,615,7642,615,7637,619,7632,619,7627,623,7627,629,7622,633,7622,657,7627,663,7627,667,7656,695,7661,695,7666,701,7690,701,7705,685,7675,685,7670,681,7666,681,7656,671,7651,671,7651,667,7642,657,7642,647,7637,647,7637,639,7642,639,7642,633,7651,623,7696,623,7637,561xm7696,623l7675,623,7699,647,7699,671,7694,677,7694,681,7690,681,7685,685,7705,685,7709,681,7709,671,7714,667,7714,657,7728,657,7696,623xm7570,643l7560,643,7555,647,7555,663,7560,663,7560,667,7565,667,7574,657,7574,647,7570,647,7570,643xm7728,657l7714,657,7718,667,7723,667,7728,663,7728,657xm7699,561l7694,561,7690,565,7690,571,7752,633,7757,633,7762,629,7762,623,7699,561xm7728,533l7723,533,7718,537,7718,543,7781,605,7786,605,7790,599,7790,595,7795,595,7747,547,7747,543,7738,543,7728,533xm7795,513l7771,513,7776,519,7781,519,7786,523,7786,527,7824,561,7829,561,7834,557,7834,551,7795,513xm7680,537l7666,537,7666,543,7661,543,7661,551,7666,551,7670,557,7675,557,7685,547,7685,543,7680,537xm7781,499l7757,499,7747,509,7742,509,7742,513,7738,523,7738,543,7747,543,7747,533,7752,527,7752,523,7757,519,7762,519,7762,513,7795,513,7790,509,7790,503,7786,503,7781,499xm7675,533l7670,533,7670,537,7675,537,7675,533xm7867,519l7848,519,7853,523,7858,523,7867,519xm7867,431l7819,431,7810,441,7810,445,7805,451,7805,479,7810,485,7810,495,7819,503,7829,509,7838,519,7872,519,7877,513,7882,513,7886,503,7843,503,7843,499,7838,499,7834,495,7843,485,7824,485,7824,479,7819,475,7819,455,7824,451,7824,445,7829,441,7872,441,7867,437,7867,431xm7901,479l7886,479,7886,485,7882,489,7882,495,7877,495,7872,499,7872,503,7891,503,7891,499,7896,499,7896,489,7901,489,7901,479xm7877,441l7848,441,7853,445,7862,451,7824,485,7843,485,7877,451,7877,441xm7901,469l7891,469,7891,479,7906,479,7906,475,7901,475,7901,469xm7858,427l7829,427,7824,431,7862,431,7858,427xe" filled="true" fillcolor="#000000" stroked="false">
            <v:path arrowok="t"/>
            <v:fill type="solid"/>
            <w10:wrap type="none"/>
          </v:shape>
        </w:pict>
      </w:r>
      <w:r>
        <w:rPr>
          <w:rFonts w:ascii="Calibri"/>
          <w:w w:val="100"/>
          <w:sz w:val="20"/>
        </w:rPr>
        <w:t>0</w:t>
      </w:r>
    </w:p>
    <w:p>
      <w:pPr>
        <w:pStyle w:val="BodyText"/>
        <w:spacing w:before="5"/>
        <w:rPr>
          <w:rFonts w:ascii="Calibri"/>
          <w:sz w:val="5"/>
        </w:rPr>
      </w:pPr>
    </w:p>
    <w:p>
      <w:pPr>
        <w:pStyle w:val="BodyText"/>
        <w:ind w:left="1607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498742" cy="504825"/>
            <wp:effectExtent l="0" t="0" r="0" b="0"/>
            <wp:docPr id="11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8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42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3"/>
        </w:rPr>
      </w:pPr>
    </w:p>
    <w:p>
      <w:pPr>
        <w:tabs>
          <w:tab w:pos="1453" w:val="left" w:leader="none"/>
          <w:tab w:pos="2365" w:val="left" w:leader="none"/>
        </w:tabs>
        <w:spacing w:line="240" w:lineRule="auto"/>
        <w:ind w:left="436" w:right="-389" w:firstLine="0"/>
        <w:rPr>
          <w:rFonts w:ascii="Calibri"/>
          <w:sz w:val="20"/>
        </w:rPr>
      </w:pPr>
      <w:r>
        <w:rPr>
          <w:rFonts w:ascii="Calibri"/>
          <w:position w:val="3"/>
          <w:sz w:val="20"/>
        </w:rPr>
        <w:pict>
          <v:group style="width:33.4pt;height:32.1pt;mso-position-horizontal-relative:char;mso-position-vertical-relative:line" coordorigin="0,0" coordsize="668,642">
            <v:shape style="position:absolute;left:0;top:0;width:668;height:642" coordorigin="0,0" coordsize="668,642" path="m82,508l53,508,43,514,38,514,29,522,19,528,0,552,0,556,82,638,82,642,91,642,91,638,105,624,86,624,19,552,29,538,38,532,43,528,48,528,53,522,101,522,96,518,86,514,82,508xm101,522l72,522,77,528,82,528,96,542,106,546,110,552,110,562,115,566,115,594,86,624,105,624,110,618,120,614,125,604,125,600,134,580,134,566,130,562,125,552,125,542,115,538,110,528,101,522xm120,480l115,480,115,484,110,484,110,494,173,556,178,556,178,552,182,552,182,542,120,480xm216,514l187,514,192,518,211,518,216,514xm178,436l158,436,154,442,154,446,149,450,149,474,158,484,163,494,182,514,221,514,235,498,192,498,192,494,187,494,173,480,168,470,163,466,163,450,173,446,173,442,178,442,178,436xm235,494l216,494,216,498,235,498,235,494xm235,466l230,466,230,480,226,480,226,490,221,490,221,494,240,494,240,470,235,470,235,466xm96,456l91,456,82,466,82,470,86,470,86,474,101,474,106,470,106,460,101,460,96,456xm182,360l173,360,173,364,168,370,173,370,264,466,269,466,269,460,274,460,274,450,182,360xm197,426l168,426,168,432,163,432,163,436,197,436,197,426xm192,422l178,422,173,426,192,426,192,422xm312,418l274,418,278,422,307,422,312,418xm298,326l278,326,274,330,264,330,245,350,245,354,240,360,240,378,245,384,245,388,250,398,269,418,317,418,322,408,288,408,283,402,278,402,278,398,274,398,259,384,259,370,254,370,254,364,259,360,259,354,269,346,274,346,278,340,322,340,317,336,312,336,302,330,298,326xm322,340l293,340,293,346,298,346,302,350,307,350,307,354,322,370,322,394,317,398,312,398,312,402,307,408,322,408,336,394,336,364,331,360,331,354,326,350,322,340xm340,302l317,302,370,354,379,354,379,350,384,350,384,346,340,302xm336,264l331,264,317,278,298,278,302,282,307,292,298,302,298,306,302,306,302,312,307,312,317,302,340,302,326,288,341,274,341,268,336,268,336,264xm422,302l398,302,408,306,418,306,422,302xm422,216l379,216,365,230,365,240,360,244,360,264,365,268,370,278,394,302,427,302,432,298,437,298,446,288,403,288,398,282,394,282,394,278,402,268,379,268,379,258,374,258,374,240,379,234,379,230,389,226,432,226,422,216xm461,258l446,258,446,264,442,268,442,274,427,288,446,288,446,282,451,282,451,278,456,274,456,268,461,268,461,258xm307,244l288,244,288,268,293,274,293,278,317,278,307,268,307,264,302,264,302,250,307,250,307,244xm432,226l403,226,413,230,418,234,384,268,402,268,432,234,437,234,437,230,432,230,432,226xm456,254l451,254,451,258,456,258,456,254xm317,234l298,234,298,240,293,244,317,244,317,234xm432,168l427,168,427,172,422,172,422,182,485,244,490,244,490,240,494,240,494,230,451,186,451,178,442,178,432,168xm312,230l307,230,307,234,312,234,312,230xm413,210l389,210,384,216,418,216,413,210xm505,154l480,154,480,158,485,158,528,202,533,202,533,196,538,196,538,186,505,154xm485,138l456,138,456,144,451,144,442,154,442,178,451,178,451,162,456,162,456,158,461,158,461,154,505,154,499,148,494,148,485,138xm571,158l542,158,542,162,571,162,571,158xm562,82l542,82,542,86,552,86,552,90,557,96,542,110,542,114,533,124,533,134,528,138,533,144,533,154,538,158,576,158,581,154,581,148,552,148,552,144,547,144,547,124,552,120,552,114,557,114,566,106,589,106,562,82xm589,106l566,106,581,120,581,130,576,134,576,138,566,148,581,148,586,144,586,138,590,134,590,124,605,124,605,120,589,106xm475,134l466,134,461,138,480,138,475,134xm605,124l590,124,595,130,595,134,600,134,600,130,605,130,605,124xm509,114l504,114,504,120,509,120,509,114xm557,72l523,72,509,86,509,90,504,96,504,100,499,106,499,114,514,114,514,100,518,100,518,96,528,86,533,86,533,82,562,82,562,76,557,72xm643,86l610,86,614,90,638,90,643,86xm619,0l595,0,595,4,590,4,581,14,581,18,576,24,576,28,571,34,571,42,576,52,576,58,586,66,590,76,595,82,605,86,648,86,658,76,624,76,619,72,614,72,610,66,605,66,605,62,590,48,590,38,586,34,590,24,595,18,600,18,600,14,610,14,610,10,619,10,619,0xm658,72l638,72,634,76,658,76,658,72xm547,66l533,66,528,72,552,72,547,66xm662,62l648,62,648,66,643,66,643,72,662,72,662,62xm662,42l653,42,653,62,667,62,667,48,662,48,662,42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tab/>
      </w:r>
      <w:r>
        <w:rPr>
          <w:rFonts w:ascii="Calibri"/>
          <w:position w:val="10"/>
          <w:sz w:val="20"/>
        </w:rPr>
        <w:pict>
          <v:group style="width:31.2pt;height:30pt;mso-position-horizontal-relative:char;mso-position-vertical-relative:line" coordorigin="0,0" coordsize="624,600">
            <v:shape style="position:absolute;left:0;top:0;width:624;height:600" coordorigin="0,0" coordsize="624,600" path="m62,524l38,524,115,600,125,600,125,596,130,596,130,592,62,524xm139,452l134,452,134,458,130,458,125,462,125,466,120,472,120,485,125,490,106,490,168,554,173,554,173,548,178,548,178,538,134,500,134,472,139,472,139,466,149,466,149,462,144,458,139,452xm72,476l67,476,5,538,0,538,0,544,5,544,5,548,14,548,38,524,62,524,48,510,77,486,77,480,72,480,72,476xm216,496l211,496,211,500,216,496xm230,490l202,490,202,496,226,496,230,490xm115,476l110,476,110,480,106,480,106,486,101,486,101,490,125,490,120,486,120,485,115,480,115,476xm120,485l120,486,125,490,120,485xm221,414l197,414,202,418,206,418,206,424,211,424,216,428,197,448,197,452,192,458,192,462,187,466,187,476,192,476,192,486,197,490,235,490,235,486,240,480,211,480,206,476,206,472,202,472,202,462,206,458,206,452,211,452,226,438,248,438,221,414xm248,438l226,438,235,452,240,458,235,462,235,472,226,480,245,480,245,472,250,466,250,458,264,458,264,452,248,438xm264,458l250,458,254,462,254,466,259,466,259,462,264,462,264,458xm173,434l158,434,158,448,163,448,163,452,168,452,168,442,173,442,173,434xm216,404l182,404,163,424,163,434,178,434,178,428,182,424,182,418,192,418,192,414,221,414,216,408,216,404xm230,360l226,360,226,366,221,366,221,370,283,434,293,434,293,428,298,428,298,424,254,380,250,370,240,370,230,360xm206,400l192,400,187,404,211,404,206,400xm297,342l269,342,274,346,278,346,326,394,331,394,331,390,336,390,336,380,297,342xm302,304l283,304,283,332,254,332,245,342,245,346,240,352,240,370,250,370,250,366,254,360,254,352,259,352,259,346,264,346,269,342,297,342,293,338,293,314,298,314,298,308,302,308,302,304xm322,288l298,288,288,298,288,304,317,304,365,352,374,352,374,346,379,346,379,342,331,294,326,294,322,288xm278,328l259,328,259,332,283,332,278,328xm408,314l384,314,384,318,403,318,408,314xm408,236l384,236,384,240,389,240,389,246,394,250,374,270,374,274,370,280,370,304,379,314,413,314,413,308,418,308,422,304,394,304,384,294,384,280,389,274,389,270,403,256,428,256,408,236xm428,256l403,256,418,270,418,284,413,288,413,294,408,294,408,298,403,304,422,304,422,298,427,294,427,280,446,280,446,274,428,256xm312,284l307,288,317,288,312,284xm442,280l427,280,432,284,442,284,442,280xm389,222l365,222,346,240,346,246,341,250,341,256,336,260,336,264,341,264,341,270,350,270,350,256,355,256,355,250,370,236,408,236,398,226,394,226,389,222xm427,106l418,106,418,112,413,112,413,120,451,154,432,154,432,160,427,160,413,174,413,208,422,218,422,222,432,226,442,236,446,236,456,246,475,246,480,240,485,240,494,232,470,232,466,226,456,226,451,222,446,222,442,218,442,212,437,212,437,208,427,198,427,178,432,178,432,174,437,168,446,168,451,164,485,164,427,106xm485,164l456,164,461,168,490,194,490,212,485,212,485,222,480,222,480,226,470,226,470,232,494,232,494,226,499,222,499,202,518,202,518,198,485,164xm518,202l499,202,509,212,514,212,514,208,518,208,518,202xm542,74l518,74,514,78,504,82,490,98,490,106,485,112,485,120,490,126,490,130,494,136,494,140,499,144,504,154,509,160,514,160,518,164,528,168,552,168,566,154,533,154,523,144,518,144,514,140,514,136,504,126,504,102,518,88,566,88,557,78,547,78,542,74xm566,88l538,88,547,98,552,98,557,102,557,106,562,106,562,112,566,116,566,140,562,140,562,144,557,150,552,150,547,154,566,154,576,150,576,144,581,140,581,112,576,106,576,98,566,88xm533,0l523,0,523,6,518,6,518,10,523,10,614,102,614,106,619,106,619,102,624,102,624,92,533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position w:val="10"/>
          <w:sz w:val="20"/>
        </w:rPr>
      </w:r>
      <w:r>
        <w:rPr>
          <w:rFonts w:ascii="Calibri"/>
          <w:position w:val="10"/>
          <w:sz w:val="20"/>
        </w:rPr>
        <w:tab/>
      </w:r>
      <w:r>
        <w:rPr>
          <w:rFonts w:ascii="Calibri"/>
          <w:sz w:val="20"/>
        </w:rPr>
        <w:pict>
          <v:group style="width:34.8pt;height:33.1pt;mso-position-horizontal-relative:char;mso-position-vertical-relative:line" coordorigin="0,0" coordsize="696,662">
            <v:shape style="position:absolute;left:0;top:0;width:696;height:662" coordorigin="0,0" coordsize="696,662" path="m48,546l19,546,0,566,0,575,86,662,96,652,96,647,62,614,72,604,53,604,19,570,29,561,29,556,34,556,34,551,43,551,48,546xm77,542l24,542,24,546,53,546,53,551,62,551,67,556,67,561,72,561,72,575,77,580,72,580,72,590,67,590,53,604,72,604,82,599,82,594,86,590,86,585,91,580,91,561,86,556,86,551,77,542xm72,537l34,537,29,542,72,542,72,537xm62,532l38,532,38,537,67,537,62,532xm168,576l149,576,154,580,163,580,168,576xm168,490l125,490,106,510,106,538,110,542,110,552,120,562,130,566,139,576,173,576,178,572,182,572,187,562,149,562,144,558,139,558,134,552,145,542,130,542,120,534,120,514,125,510,125,504,130,500,173,500,173,494,168,490xm202,528l192,528,192,538,187,542,187,548,182,552,178,552,178,558,173,562,192,562,192,558,197,558,197,552,202,548,202,542,206,538,206,534,202,534,202,528xm178,500l149,500,158,504,163,510,130,542,145,542,178,510,178,500xm173,446l168,446,168,452,163,452,163,456,226,518,235,518,235,510,192,466,192,456,182,456,173,446xm158,486l134,486,130,490,163,490,158,486xm240,428l211,428,216,432,221,432,230,442,269,476,269,480,278,470,278,466,240,428xm226,414l202,414,202,418,197,418,187,428,187,432,182,438,182,456,192,456,192,442,202,432,206,432,206,428,240,428,226,414xm273,390l250,390,298,438,312,438,312,432,322,432,326,428,326,422,331,422,331,418,298,418,293,414,273,390xm326,404l322,404,322,414,317,414,317,418,331,418,331,408,326,408,326,404xm274,350l264,350,250,366,226,366,240,380,230,390,230,394,235,394,235,398,240,398,250,390,273,390,259,374,274,360,278,360,274,356,274,350xm355,312l331,312,336,318,341,318,341,322,346,326,331,340,331,346,322,356,322,360,317,366,317,370,322,374,322,384,326,384,336,394,355,394,360,390,365,390,370,384,370,380,341,380,341,374,336,370,336,350,341,350,341,346,355,332,375,332,355,312xm375,332l355,332,370,346,370,360,365,360,365,370,360,374,355,374,355,380,370,380,374,374,374,370,379,366,379,356,394,356,394,350,375,332xm235,350l230,350,230,356,226,356,226,360,221,360,221,366,250,366,235,350xm394,356l379,356,384,360,389,360,394,356xm341,298l317,298,307,308,302,308,302,312,298,318,298,322,293,322,293,332,288,332,288,340,293,346,298,346,302,340,302,332,322,312,355,312,350,308,350,302,346,302,341,298xm400,250l384,250,403,322,403,326,413,336,437,312,418,312,400,250xm451,284l446,284,418,312,437,312,456,294,456,288,451,288,451,284xm394,230l384,230,350,270,350,274,355,274,355,278,360,278,384,250,400,250,398,246,398,236,394,236,394,230xm485,260l461,260,466,264,480,264,485,260xm485,168l446,168,432,182,427,192,422,198,422,226,427,230,427,236,446,254,456,260,494,260,504,250,475,250,470,246,466,246,461,240,456,240,442,226,442,220,437,216,437,198,451,182,499,182,485,168xm499,182l475,182,490,198,499,206,499,216,504,220,504,226,494,236,494,240,490,240,485,246,480,246,475,250,504,250,514,240,514,230,518,226,518,212,514,202,514,198,499,182xm566,182l528,182,533,188,562,188,566,182xm542,100l509,100,509,106,499,116,499,120,494,126,494,150,509,164,514,174,523,182,571,182,576,178,576,174,542,174,538,168,533,168,523,158,518,150,514,144,509,134,509,120,518,116,523,110,533,110,533,106,542,106,542,100xm581,140l576,140,576,154,571,154,571,158,557,174,581,174,581,164,586,164,586,144,581,144,581,140xm470,164l456,164,451,168,480,168,470,164xm552,68l547,68,547,72,542,72,542,78,605,140,614,140,614,134,619,130,552,68xm586,34l581,34,581,38,576,38,576,44,638,106,648,106,648,100,653,100,653,96,605,54,605,44,595,44,586,34xm538,96l518,96,518,100,538,100,538,96xm533,38l523,38,518,44,518,58,523,62,528,62,538,54,538,48,533,44,533,38xm658,14l629,14,634,20,638,20,643,24,643,30,682,62,686,62,691,58,696,58,696,54,691,54,658,14xm638,0l614,0,600,14,595,24,595,44,605,44,605,38,610,34,610,24,614,20,619,20,619,14,658,14,648,6,643,6,638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sz w:val="20"/>
        </w:rPr>
      </w:r>
    </w:p>
    <w:p>
      <w:pPr>
        <w:spacing w:before="174"/>
        <w:ind w:left="1372" w:right="0" w:firstLine="0"/>
        <w:jc w:val="left"/>
        <w:rPr>
          <w:rFonts w:ascii="Calibri"/>
          <w:b/>
          <w:sz w:val="20"/>
        </w:rPr>
      </w:pPr>
      <w:r>
        <w:rPr/>
        <w:pict>
          <v:rect style="position:absolute;margin-left:482.640015pt;margin-top:-94.81852pt;width:5.52pt;height:5.52pt;mso-position-horizontal-relative:page;mso-position-vertical-relative:paragraph;z-index:15760896" filled="true" fillcolor="#bf4f4c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6132576</wp:posOffset>
            </wp:positionH>
            <wp:positionV relativeFrom="paragraph">
              <wp:posOffset>-972547</wp:posOffset>
            </wp:positionV>
            <wp:extent cx="70103" cy="70103"/>
            <wp:effectExtent l="0" t="0" r="0" b="0"/>
            <wp:wrapNone/>
            <wp:docPr id="13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9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z w:val="20"/>
        </w:rPr>
        <w:t>Analgesics</w:t>
      </w:r>
      <w:r>
        <w:rPr>
          <w:rFonts w:ascii="Calibri"/>
          <w:b/>
          <w:spacing w:val="-9"/>
          <w:sz w:val="20"/>
        </w:rPr>
        <w:t> </w:t>
      </w:r>
      <w:r>
        <w:rPr>
          <w:rFonts w:ascii="Calibri"/>
          <w:b/>
          <w:sz w:val="20"/>
        </w:rPr>
        <w:t>Used</w:t>
      </w:r>
    </w:p>
    <w:p>
      <w:pPr>
        <w:pStyle w:val="BodyText"/>
        <w:rPr>
          <w:rFonts w:ascii="Calibri"/>
          <w:b/>
          <w:sz w:val="20"/>
        </w:rPr>
      </w:pPr>
      <w:r>
        <w:rPr/>
        <w:br w:type="column"/>
      </w:r>
      <w:r>
        <w:rPr>
          <w:rFonts w:ascii="Calibri"/>
          <w:b/>
          <w:sz w:val="20"/>
        </w:rPr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line="352" w:lineRule="auto" w:before="154"/>
        <w:ind w:left="1525" w:right="1670" w:firstLine="43"/>
        <w:jc w:val="left"/>
        <w:rPr>
          <w:rFonts w:ascii="Calibri"/>
          <w:sz w:val="20"/>
        </w:rPr>
      </w:pPr>
      <w:r>
        <w:rPr>
          <w:rFonts w:ascii="Calibri"/>
          <w:sz w:val="20"/>
        </w:rPr>
        <w:t>HbSS + F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z w:val="20"/>
        </w:rPr>
        <w:t>HbSS</w:t>
      </w:r>
      <w:r>
        <w:rPr>
          <w:rFonts w:ascii="Calibri"/>
          <w:spacing w:val="1"/>
          <w:sz w:val="20"/>
        </w:rPr>
        <w:t> </w:t>
      </w:r>
      <w:r>
        <w:rPr>
          <w:rFonts w:ascii="Calibri"/>
          <w:sz w:val="20"/>
        </w:rPr>
        <w:t>HbSC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6"/>
        </w:rPr>
      </w:pPr>
    </w:p>
    <w:p>
      <w:pPr>
        <w:pStyle w:val="BodyText"/>
        <w:ind w:left="-35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31.45pt;height:30pt;mso-position-horizontal-relative:char;mso-position-vertical-relative:line" coordorigin="0,0" coordsize="629,600">
            <v:shape style="position:absolute;left:0;top:0;width:629;height:600" coordorigin="0,0" coordsize="629,600" path="m29,500l10,500,0,508,0,518,86,600,91,600,96,596,96,590,19,514,61,514,29,500xm61,514l19,514,130,562,130,556,134,556,134,552,139,552,139,548,135,538,115,538,61,514xm101,418l91,418,91,422,82,428,82,432,77,432,77,442,82,446,120,538,135,538,91,436,115,436,101,422,101,418xm115,436l91,436,173,514,178,514,178,508,182,508,182,504,115,436xm24,494l14,494,14,500,24,500,24,494xm211,374l182,374,154,404,154,432,158,436,163,446,163,452,168,456,178,460,182,466,187,466,192,470,221,470,235,456,202,456,197,452,192,452,178,436,173,436,173,428,168,422,168,408,187,388,230,388,221,380,216,380,211,374xm230,388l202,388,206,394,211,394,221,404,226,408,226,412,230,412,230,418,235,422,235,432,230,436,230,446,226,446,221,452,216,452,216,456,235,456,245,446,245,442,250,436,250,418,245,412,245,408,240,404,235,394,230,388xm226,332l226,336,221,336,216,340,216,346,278,408,283,408,283,404,288,404,288,398,293,398,293,394,250,356,250,340,235,340,226,332xm274,288l269,288,264,292,264,298,350,384,360,384,360,380,365,380,365,374,331,340,350,340,350,336,355,336,359,332,326,332,293,298,293,292,283,292,274,288xm254,308l245,308,245,312,240,312,240,316,235,316,235,340,250,340,250,326,254,322,259,322,259,312,254,308xm355,268l331,268,331,274,336,274,341,278,341,284,346,284,346,288,355,298,355,322,350,322,346,326,336,326,331,332,359,332,370,322,370,316,374,312,374,308,370,302,370,292,365,284,365,278,355,268xm336,254l298,254,293,260,293,264,288,268,288,274,283,278,283,292,293,292,293,288,298,288,298,274,302,274,307,268,355,268,346,260,341,260,336,254xm322,178l317,178,317,182,312,182,312,188,307,188,307,192,403,284,408,284,408,278,413,278,413,274,370,230,370,216,360,216,322,178xm322,250l307,250,302,254,326,254,322,250xm403,178l374,178,374,182,365,192,389,192,394,196,403,196,403,202,408,206,446,240,451,240,456,236,456,230,408,182,403,182,403,178xm384,192l360,192,360,216,370,216,370,206,374,202,374,196,384,196,384,192xm427,134l422,134,418,140,418,144,413,144,413,148,475,212,480,212,480,206,485,206,485,202,490,202,490,196,427,134xm456,106l451,106,446,110,446,116,509,178,514,178,518,172,518,168,475,124,475,116,466,116,456,106xm524,86l494,86,499,92,509,92,509,96,514,100,552,134,557,134,557,130,562,130,562,124,524,86xm408,110l394,110,394,116,389,116,389,124,394,124,394,130,403,130,408,124,408,110xm514,76l475,76,475,82,466,92,466,100,461,106,466,116,475,116,475,100,485,92,490,92,490,86,524,86,514,76xm595,92l571,92,576,96,590,96,595,92xm581,0l557,0,533,24,533,28,528,34,528,48,533,52,533,62,562,92,600,92,610,86,614,82,581,82,581,76,571,76,562,68,570,58,552,58,547,52,547,48,542,44,542,34,547,28,547,24,552,24,557,14,600,14,590,4,586,4,581,0xm624,44l619,44,619,52,614,52,614,58,605,68,605,72,600,72,595,76,590,76,586,82,614,82,614,76,624,68,624,62,629,62,629,48,624,48,624,44xm509,72l485,72,480,76,509,76,509,72xm600,14l576,14,586,24,552,58,570,58,600,24,605,24,605,20,600,14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type w:val="continuous"/>
          <w:pgSz w:w="12240" w:h="15840"/>
          <w:pgMar w:top="1360" w:bottom="280" w:left="620" w:right="0"/>
          <w:cols w:num="3" w:equalWidth="0">
            <w:col w:w="2435" w:space="815"/>
            <w:col w:w="2740" w:space="1676"/>
            <w:col w:w="3954"/>
          </w:cols>
        </w:sectPr>
      </w:pPr>
    </w:p>
    <w:p>
      <w:pPr>
        <w:pStyle w:val="BodyTex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6132576</wp:posOffset>
            </wp:positionH>
            <wp:positionV relativeFrom="page">
              <wp:posOffset>2630423</wp:posOffset>
            </wp:positionV>
            <wp:extent cx="70103" cy="70103"/>
            <wp:effectExtent l="0" t="0" r="0" b="0"/>
            <wp:wrapNone/>
            <wp:docPr id="15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0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Heading1"/>
        <w:spacing w:line="535" w:lineRule="auto" w:before="214"/>
        <w:ind w:left="1362" w:right="1433" w:hanging="543"/>
        <w:jc w:val="left"/>
      </w:pPr>
      <w:r>
        <w:rPr/>
        <w:t>Figure</w:t>
      </w:r>
      <w:r>
        <w:rPr>
          <w:spacing w:val="-4"/>
        </w:rPr>
        <w:t> </w:t>
      </w:r>
      <w:r>
        <w:rPr/>
        <w:t>4.12:</w:t>
      </w:r>
      <w:r>
        <w:rPr>
          <w:spacing w:val="-2"/>
        </w:rPr>
        <w:t> </w:t>
      </w:r>
      <w:r>
        <w:rPr/>
        <w:t>Analgesic</w:t>
      </w:r>
      <w:r>
        <w:rPr>
          <w:spacing w:val="-3"/>
        </w:rPr>
        <w:t> </w:t>
      </w:r>
      <w:r>
        <w:rPr/>
        <w:t>Utilisation</w:t>
      </w:r>
      <w:r>
        <w:rPr>
          <w:spacing w:val="-2"/>
        </w:rPr>
        <w:t> </w:t>
      </w:r>
      <w:r>
        <w:rPr/>
        <w:t>Pattern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Sickle</w:t>
      </w:r>
      <w:r>
        <w:rPr>
          <w:spacing w:val="-4"/>
        </w:rPr>
        <w:t> </w:t>
      </w:r>
      <w:r>
        <w:rPr/>
        <w:t>Cell</w:t>
      </w:r>
      <w:r>
        <w:rPr>
          <w:spacing w:val="-6"/>
        </w:rPr>
        <w:t> </w:t>
      </w:r>
      <w:r>
        <w:rPr/>
        <w:t>Disease</w:t>
      </w:r>
      <w:r>
        <w:rPr>
          <w:spacing w:val="-4"/>
        </w:rPr>
        <w:t> </w:t>
      </w:r>
      <w:r>
        <w:rPr/>
        <w:t>Patients</w:t>
      </w:r>
      <w:r>
        <w:rPr>
          <w:spacing w:val="-4"/>
        </w:rPr>
        <w:t> </w:t>
      </w:r>
      <w:r>
        <w:rPr/>
        <w:t>grouped</w:t>
      </w:r>
      <w:r>
        <w:rPr>
          <w:spacing w:val="-2"/>
        </w:rPr>
        <w:t> </w:t>
      </w:r>
      <w:r>
        <w:rPr/>
        <w:t>by</w:t>
      </w:r>
      <w:r>
        <w:rPr>
          <w:spacing w:val="-57"/>
        </w:rPr>
        <w:t> </w:t>
      </w:r>
      <w:r>
        <w:rPr/>
        <w:t>Haemoglobin</w:t>
      </w:r>
      <w:r>
        <w:rPr>
          <w:spacing w:val="2"/>
        </w:rPr>
        <w:t> </w:t>
      </w:r>
      <w:r>
        <w:rPr/>
        <w:t>Variant</w:t>
      </w:r>
    </w:p>
    <w:p>
      <w:pPr>
        <w:spacing w:after="0" w:line="535" w:lineRule="auto"/>
        <w:jc w:val="left"/>
        <w:sectPr>
          <w:type w:val="continuous"/>
          <w:pgSz w:w="12240" w:h="15840"/>
          <w:pgMar w:top="1360" w:bottom="280" w:left="620" w:right="0"/>
        </w:sectPr>
      </w:pPr>
    </w:p>
    <w:p>
      <w:pPr>
        <w:spacing w:before="32"/>
        <w:ind w:left="1372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15.919998pt;margin-top:7.521511pt;width:210pt;height:162.25pt;mso-position-horizontal-relative:page;mso-position-vertical-relative:paragraph;z-index:15762432" coordorigin="2318,150" coordsize="4200,3245">
            <v:rect style="position:absolute;left:3000;top:942;width:831;height:2391" filled="true" fillcolor="#4e80bc" stroked="false">
              <v:fill type="solid"/>
            </v:rect>
            <v:shape style="position:absolute;left:3369;top:625;width:92;height:634" coordorigin="3370,626" coordsize="92,634" path="m3408,1245l3370,1245,3370,1259,3461,1259,3461,1254,3408,1254,3408,1245xm3422,635l3408,635,3408,1254,3422,1254,3422,635xm3461,1245l3422,1245,3422,1254,3461,1254,3461,1245xm3461,626l3370,626,3370,640,3408,640,3408,635,3461,635,3461,626xm3461,635l3422,635,3422,640,3461,640,3461,635xe" filled="true" fillcolor="#000000" stroked="false">
              <v:path arrowok="t"/>
              <v:fill type="solid"/>
            </v:shape>
            <v:rect style="position:absolute;left:5068;top:1561;width:826;height:1772" filled="true" fillcolor="#4e80bc" stroked="false">
              <v:fill type="solid"/>
            </v:rect>
            <v:shape style="position:absolute;left:5438;top:1244;width:87;height:629" coordorigin="5438,1245" coordsize="87,629" path="m5472,1859l5438,1859,5438,1874,5525,1874,5525,1869,5472,1869,5472,1859xm5486,1254l5472,1254,5472,1869,5486,1869,5486,1254xm5525,1859l5486,1859,5486,1869,5525,1869,5525,1859xm5525,1245l5438,1245,5438,1259,5472,1259,5472,1254,5525,1254,5525,1245xm5525,1254l5486,1254,5486,1259,5525,1259,5525,1254xe" filled="true" fillcolor="#000000" stroked="false">
              <v:path arrowok="t"/>
              <v:fill type="solid"/>
            </v:shape>
            <v:shape style="position:absolute;left:2318;top:150;width:4200;height:3245" coordorigin="2318,150" coordsize="4200,3245" path="m6518,3333l6514,3333,6514,3328,2390,3328,2390,160,2381,160,2381,150,2318,150,2318,165,2376,165,2376,606,2318,606,2318,621,2376,621,2376,1058,2318,1058,2318,1072,2376,1072,2376,1514,2318,1514,2318,1528,2376,1528,2376,1965,2318,1965,2318,1979,2376,1979,2376,2416,2318,2416,2318,2430,2376,2430,2376,2872,2318,2872,2318,2886,2376,2886,2376,3323,2318,3323,2318,3338,2371,3338,2371,3395,2386,3395,2386,3342,4440,3342,4440,3395,4454,3395,4454,3342,6504,3342,6504,3395,6518,3395,6518,3333xe" filled="true" fillcolor="#858585" stroked="false">
              <v:path arrowok="t"/>
              <v:fill type="solid"/>
            </v:shape>
            <v:shape style="position:absolute;left:3187;top:162;width:478;height:389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91" w:firstLine="0"/>
                      <w:jc w:val="righ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22"/>
                      </w:rPr>
                      <w:t>*</w:t>
                    </w:r>
                  </w:p>
                  <w:p>
                    <w:pPr>
                      <w:spacing w:line="202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10.55</w:t>
                    </w:r>
                  </w:p>
                </w:txbxContent>
              </v:textbox>
              <w10:wrap type="none"/>
            </v:shape>
            <v:shape style="position:absolute;left:5304;top:868;width:377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7.82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20073pt;margin-top:12.692756pt;width:12.1pt;height:149.450pt;mso-position-horizontal-relative:page;mso-position-vertical-relative:paragraph;z-index:15762944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sz w:val="20"/>
                    </w:rPr>
                    <w:t>Mean</w:t>
                  </w:r>
                  <w:r>
                    <w:rPr>
                      <w:rFonts w:ascii="Calibri" w:hAns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White</w:t>
                  </w:r>
                  <w:r>
                    <w:rPr>
                      <w:rFonts w:ascii="Calibri" w:hAns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Blood</w:t>
                  </w:r>
                  <w:r>
                    <w:rPr>
                      <w:rFonts w:ascii="Calibri" w:hAnsi="Calibri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Cell</w:t>
                  </w:r>
                  <w:r>
                    <w:rPr>
                      <w:rFonts w:ascii="Calibri" w:hAnsi="Calibri"/>
                      <w:b/>
                      <w:spacing w:val="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Count</w:t>
                  </w:r>
                  <w:r>
                    <w:rPr>
                      <w:rFonts w:ascii="Calibri" w:hAnsi="Calibri"/>
                      <w:b/>
                      <w:spacing w:val="-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×</w:t>
                  </w:r>
                  <w:r>
                    <w:rPr>
                      <w:rFonts w:ascii="Calibri" w:hAnsi="Calibri"/>
                      <w:b/>
                      <w:spacing w:val="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109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14</w:t>
      </w:r>
    </w:p>
    <w:p>
      <w:pPr>
        <w:pStyle w:val="BodyText"/>
        <w:rPr>
          <w:rFonts w:ascii="Calibri"/>
          <w:sz w:val="17"/>
        </w:rPr>
      </w:pPr>
    </w:p>
    <w:p>
      <w:pPr>
        <w:spacing w:before="0"/>
        <w:ind w:left="137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12</w:t>
      </w:r>
    </w:p>
    <w:p>
      <w:pPr>
        <w:pStyle w:val="BodyText"/>
        <w:spacing w:before="12"/>
        <w:rPr>
          <w:rFonts w:ascii="Calibri"/>
          <w:sz w:val="16"/>
        </w:rPr>
      </w:pPr>
    </w:p>
    <w:p>
      <w:pPr>
        <w:spacing w:before="0"/>
        <w:ind w:left="137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</w:t>
      </w:r>
    </w:p>
    <w:p>
      <w:pPr>
        <w:pStyle w:val="BodyText"/>
        <w:spacing w:before="4"/>
        <w:rPr>
          <w:rFonts w:ascii="Calibri"/>
          <w:sz w:val="12"/>
        </w:rPr>
      </w:pPr>
    </w:p>
    <w:p>
      <w:pPr>
        <w:spacing w:before="61"/>
        <w:ind w:left="1477" w:right="0" w:firstLine="0"/>
        <w:jc w:val="left"/>
        <w:rPr>
          <w:rFonts w:ascii="Calibri"/>
          <w:sz w:val="20"/>
        </w:rPr>
      </w:pPr>
      <w:r>
        <w:rPr>
          <w:rFonts w:ascii="Calibri"/>
          <w:w w:val="100"/>
          <w:sz w:val="20"/>
        </w:rPr>
        <w:t>8</w:t>
      </w:r>
    </w:p>
    <w:p>
      <w:pPr>
        <w:pStyle w:val="BodyText"/>
        <w:rPr>
          <w:rFonts w:ascii="Calibri"/>
          <w:sz w:val="12"/>
        </w:rPr>
      </w:pPr>
    </w:p>
    <w:p>
      <w:pPr>
        <w:spacing w:before="61"/>
        <w:ind w:left="1477" w:right="0" w:firstLine="0"/>
        <w:jc w:val="left"/>
        <w:rPr>
          <w:rFonts w:ascii="Calibri"/>
          <w:sz w:val="20"/>
        </w:rPr>
      </w:pPr>
      <w:r>
        <w:rPr>
          <w:rFonts w:ascii="Calibri"/>
          <w:w w:val="100"/>
          <w:sz w:val="20"/>
        </w:rPr>
        <w:t>6</w:t>
      </w:r>
    </w:p>
    <w:p>
      <w:pPr>
        <w:pStyle w:val="BodyText"/>
        <w:spacing w:before="4"/>
        <w:rPr>
          <w:rFonts w:ascii="Calibri"/>
          <w:sz w:val="12"/>
        </w:rPr>
      </w:pPr>
    </w:p>
    <w:p>
      <w:pPr>
        <w:spacing w:before="61"/>
        <w:ind w:left="1477" w:right="0" w:firstLine="0"/>
        <w:jc w:val="left"/>
        <w:rPr>
          <w:rFonts w:ascii="Calibri"/>
          <w:sz w:val="20"/>
        </w:rPr>
      </w:pPr>
      <w:r>
        <w:rPr>
          <w:rFonts w:ascii="Calibri"/>
          <w:w w:val="100"/>
          <w:sz w:val="20"/>
        </w:rPr>
        <w:t>4</w:t>
      </w:r>
    </w:p>
    <w:p>
      <w:pPr>
        <w:pStyle w:val="BodyText"/>
        <w:rPr>
          <w:rFonts w:ascii="Calibri"/>
          <w:sz w:val="12"/>
        </w:rPr>
      </w:pPr>
    </w:p>
    <w:p>
      <w:pPr>
        <w:spacing w:before="61"/>
        <w:ind w:left="1477" w:right="0" w:firstLine="0"/>
        <w:jc w:val="left"/>
        <w:rPr>
          <w:rFonts w:ascii="Calibri"/>
          <w:sz w:val="20"/>
        </w:rPr>
      </w:pPr>
      <w:r>
        <w:rPr>
          <w:rFonts w:ascii="Calibri"/>
          <w:w w:val="100"/>
          <w:sz w:val="20"/>
        </w:rPr>
        <w:t>2</w:t>
      </w:r>
    </w:p>
    <w:p>
      <w:pPr>
        <w:pStyle w:val="BodyText"/>
        <w:spacing w:before="4"/>
        <w:rPr>
          <w:rFonts w:ascii="Calibri"/>
          <w:sz w:val="12"/>
        </w:rPr>
      </w:pPr>
    </w:p>
    <w:p>
      <w:pPr>
        <w:spacing w:before="61"/>
        <w:ind w:left="1477" w:right="0" w:firstLine="0"/>
        <w:jc w:val="left"/>
        <w:rPr>
          <w:rFonts w:ascii="Calibri"/>
          <w:sz w:val="20"/>
        </w:rPr>
      </w:pPr>
      <w:r>
        <w:rPr>
          <w:rFonts w:ascii="Calibri"/>
          <w:w w:val="100"/>
          <w:sz w:val="20"/>
        </w:rPr>
        <w:t>0</w:t>
      </w:r>
    </w:p>
    <w:p>
      <w:pPr>
        <w:tabs>
          <w:tab w:pos="2078" w:val="left" w:leader="none"/>
        </w:tabs>
        <w:spacing w:before="15"/>
        <w:ind w:left="0" w:right="3969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YES</w:t>
        <w:tab/>
        <w:t>NO</w:t>
      </w:r>
    </w:p>
    <w:p>
      <w:pPr>
        <w:spacing w:before="58"/>
        <w:ind w:left="1084" w:right="5043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Amoxicillin</w:t>
      </w:r>
      <w:r>
        <w:rPr>
          <w:rFonts w:ascii="Calibri"/>
          <w:b/>
          <w:spacing w:val="-1"/>
          <w:sz w:val="20"/>
        </w:rPr>
        <w:t> </w:t>
      </w:r>
      <w:r>
        <w:rPr>
          <w:rFonts w:ascii="Calibri"/>
          <w:b/>
          <w:sz w:val="20"/>
        </w:rPr>
        <w:t>Utilisation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1"/>
        <w:rPr>
          <w:rFonts w:ascii="Calibri"/>
          <w:b/>
          <w:sz w:val="19"/>
        </w:rPr>
      </w:pPr>
    </w:p>
    <w:p>
      <w:pPr>
        <w:pStyle w:val="BodyText"/>
        <w:spacing w:line="360" w:lineRule="auto" w:before="90"/>
        <w:ind w:left="820" w:right="1433"/>
      </w:pPr>
      <w:r>
        <w:rPr>
          <w:b/>
        </w:rPr>
        <w:t>*</w:t>
      </w:r>
      <w:r>
        <w:rPr>
          <w:b/>
          <w:spacing w:val="11"/>
        </w:rPr>
        <w:t> </w:t>
      </w:r>
      <w:r>
        <w:rPr/>
        <w:t>Statistically</w:t>
      </w:r>
      <w:r>
        <w:rPr>
          <w:spacing w:val="7"/>
        </w:rPr>
        <w:t> </w:t>
      </w:r>
      <w:r>
        <w:rPr/>
        <w:t>significant</w:t>
      </w:r>
      <w:r>
        <w:rPr>
          <w:spacing w:val="16"/>
        </w:rPr>
        <w:t> </w:t>
      </w:r>
      <w:r>
        <w:rPr/>
        <w:t>difference</w:t>
      </w:r>
      <w:r>
        <w:rPr>
          <w:spacing w:val="10"/>
        </w:rPr>
        <w:t> </w:t>
      </w:r>
      <w:r>
        <w:rPr/>
        <w:t>at</w:t>
      </w:r>
      <w:r>
        <w:rPr>
          <w:spacing w:val="16"/>
        </w:rPr>
        <w:t> </w:t>
      </w:r>
      <w:r>
        <w:rPr/>
        <w:t>p</w:t>
      </w:r>
      <w:r>
        <w:rPr>
          <w:spacing w:val="11"/>
        </w:rPr>
        <w:t> </w:t>
      </w:r>
      <w:r>
        <w:rPr/>
        <w:t>&lt;</w:t>
      </w:r>
      <w:r>
        <w:rPr>
          <w:spacing w:val="10"/>
        </w:rPr>
        <w:t> </w:t>
      </w:r>
      <w:r>
        <w:rPr/>
        <w:t>0.05</w:t>
      </w:r>
      <w:r>
        <w:rPr>
          <w:spacing w:val="11"/>
        </w:rPr>
        <w:t> </w:t>
      </w:r>
      <w:r>
        <w:rPr/>
        <w:t>compared</w:t>
      </w:r>
      <w:r>
        <w:rPr>
          <w:spacing w:val="11"/>
        </w:rPr>
        <w:t> </w:t>
      </w:r>
      <w:r>
        <w:rPr/>
        <w:t>with</w:t>
      </w:r>
      <w:r>
        <w:rPr>
          <w:spacing w:val="7"/>
        </w:rPr>
        <w:t> </w:t>
      </w:r>
      <w:r>
        <w:rPr/>
        <w:t>patients</w:t>
      </w:r>
      <w:r>
        <w:rPr>
          <w:spacing w:val="9"/>
        </w:rPr>
        <w:t> </w:t>
      </w:r>
      <w:r>
        <w:rPr/>
        <w:t>who</w:t>
      </w:r>
      <w:r>
        <w:rPr>
          <w:spacing w:val="16"/>
        </w:rPr>
        <w:t> </w:t>
      </w:r>
      <w:r>
        <w:rPr/>
        <w:t>do</w:t>
      </w:r>
      <w:r>
        <w:rPr>
          <w:spacing w:val="16"/>
        </w:rPr>
        <w:t> </w:t>
      </w:r>
      <w:r>
        <w:rPr/>
        <w:t>not</w:t>
      </w:r>
      <w:r>
        <w:rPr>
          <w:spacing w:val="16"/>
        </w:rPr>
        <w:t> </w:t>
      </w:r>
      <w:r>
        <w:rPr/>
        <w:t>use</w:t>
      </w:r>
      <w:r>
        <w:rPr>
          <w:spacing w:val="-57"/>
        </w:rPr>
        <w:t> </w:t>
      </w:r>
      <w:r>
        <w:rPr/>
        <w:t>amoxicillin.</w:t>
      </w:r>
    </w:p>
    <w:p>
      <w:pPr>
        <w:pStyle w:val="Heading1"/>
        <w:spacing w:line="530" w:lineRule="auto" w:before="204"/>
        <w:ind w:left="2144" w:right="1433" w:hanging="1325"/>
        <w:jc w:val="left"/>
      </w:pPr>
      <w:r>
        <w:rPr/>
        <w:t>Figure</w:t>
      </w:r>
      <w:r>
        <w:rPr>
          <w:spacing w:val="-4"/>
        </w:rPr>
        <w:t> </w:t>
      </w:r>
      <w:r>
        <w:rPr/>
        <w:t>4.13:</w:t>
      </w:r>
      <w:r>
        <w:rPr>
          <w:spacing w:val="-2"/>
        </w:rPr>
        <w:t> </w:t>
      </w:r>
      <w:r>
        <w:rPr/>
        <w:t>Amoxicillin</w:t>
      </w:r>
      <w:r>
        <w:rPr>
          <w:spacing w:val="-2"/>
        </w:rPr>
        <w:t> </w:t>
      </w:r>
      <w:r>
        <w:rPr/>
        <w:t>Utilisation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Sickle</w:t>
      </w:r>
      <w:r>
        <w:rPr>
          <w:spacing w:val="-4"/>
        </w:rPr>
        <w:t> </w:t>
      </w:r>
      <w:r>
        <w:rPr/>
        <w:t>Cell</w:t>
      </w:r>
      <w:r>
        <w:rPr>
          <w:spacing w:val="-7"/>
        </w:rPr>
        <w:t> </w:t>
      </w:r>
      <w:r>
        <w:rPr/>
        <w:t>Disease</w:t>
      </w:r>
      <w:r>
        <w:rPr>
          <w:spacing w:val="-3"/>
        </w:rPr>
        <w:t> </w:t>
      </w:r>
      <w:r>
        <w:rPr/>
        <w:t>Patients</w:t>
      </w:r>
      <w:r>
        <w:rPr>
          <w:spacing w:val="-5"/>
        </w:rPr>
        <w:t> </w:t>
      </w:r>
      <w:r>
        <w:rPr/>
        <w:t>compared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their</w:t>
      </w:r>
      <w:r>
        <w:rPr>
          <w:spacing w:val="-57"/>
        </w:rPr>
        <w:t> </w:t>
      </w:r>
      <w:r>
        <w:rPr/>
        <w:t>White</w:t>
      </w:r>
      <w:r>
        <w:rPr>
          <w:spacing w:val="-4"/>
        </w:rPr>
        <w:t> </w:t>
      </w:r>
      <w:r>
        <w:rPr/>
        <w:t>Blood</w:t>
      </w:r>
      <w:r>
        <w:rPr>
          <w:spacing w:val="3"/>
        </w:rPr>
        <w:t> </w:t>
      </w:r>
      <w:r>
        <w:rPr/>
        <w:t>Cell</w:t>
      </w:r>
      <w:r>
        <w:rPr>
          <w:spacing w:val="-2"/>
        </w:rPr>
        <w:t> </w:t>
      </w:r>
      <w:r>
        <w:rPr/>
        <w:t>Counts</w:t>
      </w:r>
    </w:p>
    <w:p>
      <w:pPr>
        <w:spacing w:after="0" w:line="530" w:lineRule="auto"/>
        <w:jc w:val="left"/>
        <w:sectPr>
          <w:pgSz w:w="12240" w:h="15840"/>
          <w:pgMar w:header="0" w:footer="1017" w:top="1500" w:bottom="1200" w:left="620" w:right="0"/>
        </w:sectPr>
      </w:pPr>
    </w:p>
    <w:p>
      <w:pPr>
        <w:pStyle w:val="ListParagraph"/>
        <w:numPr>
          <w:ilvl w:val="1"/>
          <w:numId w:val="32"/>
        </w:numPr>
        <w:tabs>
          <w:tab w:pos="1185" w:val="left" w:leader="none"/>
        </w:tabs>
        <w:spacing w:line="240" w:lineRule="auto" w:before="72" w:after="0"/>
        <w:ind w:left="1184" w:right="0" w:hanging="365"/>
        <w:jc w:val="left"/>
        <w:rPr>
          <w:b/>
          <w:sz w:val="24"/>
        </w:rPr>
      </w:pPr>
      <w:r>
        <w:rPr>
          <w:b/>
          <w:sz w:val="24"/>
        </w:rPr>
        <w:t>Full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Blood Counts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Groups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 w:before="1"/>
        <w:ind w:left="820" w:right="1440"/>
        <w:jc w:val="both"/>
      </w:pPr>
      <w:r>
        <w:rPr/>
        <w:t>The mean platelet count of the SCD in crises and HbAA individuals were within normal range;</w:t>
      </w:r>
      <w:r>
        <w:rPr>
          <w:spacing w:val="1"/>
        </w:rPr>
        <w:t> </w:t>
      </w:r>
      <w:r>
        <w:rPr/>
        <w:t>while the mean platelet count of the SCD in steady state was above normal range. At p &lt; 0.05,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crises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HbAA;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HbAA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steady state; 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statistically significant difference between the SCD in crises and the SCD in steady state (Table</w:t>
      </w:r>
      <w:r>
        <w:rPr>
          <w:spacing w:val="1"/>
        </w:rPr>
        <w:t> </w:t>
      </w:r>
      <w:r>
        <w:rPr/>
        <w:t>4.6).</w:t>
      </w:r>
    </w:p>
    <w:p>
      <w:pPr>
        <w:pStyle w:val="BodyText"/>
        <w:spacing w:line="360" w:lineRule="auto" w:before="199"/>
        <w:ind w:left="820" w:right="1437"/>
        <w:jc w:val="both"/>
      </w:pPr>
      <w:r>
        <w:rPr/>
        <w:t>Although, the mean WBC counts of each group fell within normal range, at p &lt; 0.05, there was a</w:t>
      </w:r>
      <w:r>
        <w:rPr>
          <w:spacing w:val="-57"/>
        </w:rPr>
        <w:t> </w:t>
      </w:r>
      <w:r>
        <w:rPr/>
        <w:t>statistically significant difference between the mean WBC counts of SCD patients in crises and</w:t>
      </w:r>
      <w:r>
        <w:rPr>
          <w:spacing w:val="1"/>
        </w:rPr>
        <w:t> </w:t>
      </w:r>
      <w:r>
        <w:rPr/>
        <w:t>HbAA volunteers; a statistically significant difference between the HbAA and SCD in steady</w:t>
      </w:r>
      <w:r>
        <w:rPr>
          <w:spacing w:val="1"/>
        </w:rPr>
        <w:t> </w:t>
      </w:r>
      <w:r>
        <w:rPr/>
        <w:t>state; and also a statistically significant difference between the SCD in crises and the SCD in</w:t>
      </w:r>
      <w:r>
        <w:rPr>
          <w:spacing w:val="1"/>
        </w:rPr>
        <w:t> </w:t>
      </w:r>
      <w:r>
        <w:rPr/>
        <w:t>steady</w:t>
      </w:r>
      <w:r>
        <w:rPr>
          <w:spacing w:val="-8"/>
        </w:rPr>
        <w:t> </w:t>
      </w:r>
      <w:r>
        <w:rPr/>
        <w:t>state</w:t>
      </w:r>
      <w:r>
        <w:rPr>
          <w:spacing w:val="-4"/>
        </w:rPr>
        <w:t> </w:t>
      </w:r>
      <w:r>
        <w:rPr/>
        <w:t>(Table</w:t>
      </w:r>
      <w:r>
        <w:rPr>
          <w:spacing w:val="1"/>
        </w:rPr>
        <w:t> </w:t>
      </w:r>
      <w:r>
        <w:rPr/>
        <w:t>4.6).</w:t>
      </w:r>
    </w:p>
    <w:p>
      <w:pPr>
        <w:pStyle w:val="BodyText"/>
        <w:spacing w:line="360" w:lineRule="auto" w:before="201"/>
        <w:ind w:left="820" w:right="1440"/>
        <w:jc w:val="both"/>
      </w:pPr>
      <w:r>
        <w:rPr/>
        <w:t>The mean values of neutrophils all fell within normal range. At p &lt; 0.05, there was a statistically</w:t>
      </w:r>
      <w:r>
        <w:rPr>
          <w:spacing w:val="1"/>
        </w:rPr>
        <w:t> </w:t>
      </w:r>
      <w:r>
        <w:rPr/>
        <w:t>significant difference between the SCD in crises and HbAA as well as in the SCD in steady state</w:t>
      </w:r>
      <w:r>
        <w:rPr>
          <w:spacing w:val="1"/>
        </w:rPr>
        <w:t> </w:t>
      </w:r>
      <w:r>
        <w:rPr/>
        <w:t>and HbAA, but no statistically significant difference between the SCD in crises and SCD in</w:t>
      </w:r>
      <w:r>
        <w:rPr>
          <w:spacing w:val="1"/>
        </w:rPr>
        <w:t> </w:t>
      </w:r>
      <w:r>
        <w:rPr/>
        <w:t>steady state (Table 4.6). The mean values of lymphocytes in all three groups fell within normal</w:t>
      </w:r>
      <w:r>
        <w:rPr>
          <w:spacing w:val="1"/>
        </w:rPr>
        <w:t> </w:t>
      </w:r>
      <w:r>
        <w:rPr/>
        <w:t>range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at</w:t>
      </w:r>
      <w:r>
        <w:rPr>
          <w:spacing w:val="4"/>
        </w:rPr>
        <w:t> </w:t>
      </w:r>
      <w:r>
        <w:rPr/>
        <w:t>p</w:t>
      </w:r>
      <w:r>
        <w:rPr>
          <w:spacing w:val="-5"/>
        </w:rPr>
        <w:t> </w:t>
      </w:r>
      <w:r>
        <w:rPr/>
        <w:t>&lt;</w:t>
      </w:r>
      <w:r>
        <w:rPr>
          <w:spacing w:val="-2"/>
        </w:rPr>
        <w:t> </w:t>
      </w:r>
      <w:r>
        <w:rPr/>
        <w:t>0.05</w:t>
      </w:r>
      <w:r>
        <w:rPr>
          <w:spacing w:val="-6"/>
        </w:rPr>
        <w:t> </w:t>
      </w:r>
      <w:r>
        <w:rPr/>
        <w:t>there</w:t>
      </w:r>
      <w:r>
        <w:rPr>
          <w:spacing w:val="-1"/>
        </w:rPr>
        <w:t> </w:t>
      </w:r>
      <w:r>
        <w:rPr/>
        <w:t>was</w:t>
      </w:r>
      <w:r>
        <w:rPr>
          <w:spacing w:val="-3"/>
        </w:rPr>
        <w:t> </w:t>
      </w:r>
      <w:r>
        <w:rPr/>
        <w:t>no</w:t>
      </w:r>
      <w:r>
        <w:rPr>
          <w:spacing w:val="4"/>
        </w:rPr>
        <w:t> </w:t>
      </w:r>
      <w:r>
        <w:rPr/>
        <w:t>statistically</w:t>
      </w:r>
      <w:r>
        <w:rPr>
          <w:spacing w:val="-6"/>
        </w:rPr>
        <w:t> </w:t>
      </w:r>
      <w:r>
        <w:rPr/>
        <w:t>significant</w:t>
      </w:r>
      <w:r>
        <w:rPr>
          <w:spacing w:val="5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between</w:t>
      </w:r>
      <w:r>
        <w:rPr>
          <w:spacing w:val="-6"/>
        </w:rPr>
        <w:t> </w:t>
      </w:r>
      <w:r>
        <w:rPr/>
        <w:t>them</w:t>
      </w:r>
      <w:r>
        <w:rPr>
          <w:spacing w:val="-9"/>
        </w:rPr>
        <w:t> </w:t>
      </w:r>
      <w:r>
        <w:rPr/>
        <w:t>(Table</w:t>
      </w:r>
      <w:r>
        <w:rPr>
          <w:spacing w:val="-2"/>
        </w:rPr>
        <w:t> </w:t>
      </w:r>
      <w:r>
        <w:rPr/>
        <w:t>4.6).</w:t>
      </w:r>
    </w:p>
    <w:p>
      <w:pPr>
        <w:pStyle w:val="BodyText"/>
        <w:spacing w:line="360" w:lineRule="auto" w:before="200"/>
        <w:ind w:left="820" w:right="1441"/>
        <w:jc w:val="both"/>
      </w:pPr>
      <w:r>
        <w:rPr/>
        <w:t>The packed cell volume (PCV) of the two SCD groups fell below the normal range; while that of</w:t>
      </w:r>
      <w:r>
        <w:rPr>
          <w:spacing w:val="-57"/>
        </w:rPr>
        <w:t> </w:t>
      </w:r>
      <w:r>
        <w:rPr/>
        <w:t>the HbAA individuals was within normal range. At p &lt; 0.05, there was a statistically significant</w:t>
      </w:r>
      <w:r>
        <w:rPr>
          <w:spacing w:val="1"/>
        </w:rPr>
        <w:t> </w:t>
      </w:r>
      <w:r>
        <w:rPr/>
        <w:t>difference between the PCV values of the SCD in crises and HbAA as well as the HbAA and</w:t>
      </w:r>
      <w:r>
        <w:rPr>
          <w:spacing w:val="1"/>
        </w:rPr>
        <w:t> </w:t>
      </w:r>
      <w:r>
        <w:rPr/>
        <w:t>SCD in steady state.</w:t>
      </w:r>
      <w:r>
        <w:rPr>
          <w:spacing w:val="1"/>
        </w:rPr>
        <w:t> </w:t>
      </w:r>
      <w:r>
        <w:rPr/>
        <w:t>Although the PCV of the SCD in crises was lower than the PCV of SCD in</w:t>
      </w:r>
      <w:r>
        <w:rPr>
          <w:spacing w:val="1"/>
        </w:rPr>
        <w:t> </w:t>
      </w:r>
      <w:r>
        <w:rPr/>
        <w:t>steady</w:t>
      </w:r>
      <w:r>
        <w:rPr>
          <w:spacing w:val="-10"/>
        </w:rPr>
        <w:t> </w:t>
      </w:r>
      <w:r>
        <w:rPr/>
        <w:t>state,</w:t>
      </w:r>
      <w:r>
        <w:rPr>
          <w:spacing w:val="-1"/>
        </w:rPr>
        <w:t> </w:t>
      </w:r>
      <w:r>
        <w:rPr/>
        <w:t>there was</w:t>
      </w:r>
      <w:r>
        <w:rPr>
          <w:spacing w:val="-1"/>
        </w:rPr>
        <w:t> </w:t>
      </w:r>
      <w:r>
        <w:rPr/>
        <w:t>no</w:t>
      </w:r>
      <w:r>
        <w:rPr>
          <w:spacing w:val="6"/>
        </w:rPr>
        <w:t> </w:t>
      </w:r>
      <w:r>
        <w:rPr/>
        <w:t>statistically</w:t>
      </w:r>
      <w:r>
        <w:rPr>
          <w:spacing w:val="-4"/>
        </w:rPr>
        <w:t> </w:t>
      </w:r>
      <w:r>
        <w:rPr/>
        <w:t>significant</w:t>
      </w:r>
      <w:r>
        <w:rPr>
          <w:spacing w:val="5"/>
        </w:rPr>
        <w:t> </w:t>
      </w:r>
      <w:r>
        <w:rPr/>
        <w:t>difference between</w:t>
      </w:r>
      <w:r>
        <w:rPr>
          <w:spacing w:val="-4"/>
        </w:rPr>
        <w:t> </w:t>
      </w:r>
      <w:r>
        <w:rPr/>
        <w:t>them</w:t>
      </w:r>
      <w:r>
        <w:rPr>
          <w:spacing w:val="-8"/>
        </w:rPr>
        <w:t> </w:t>
      </w:r>
      <w:r>
        <w:rPr/>
        <w:t>(Table 4.6).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jc w:val="left"/>
      </w:pPr>
      <w:r>
        <w:rPr/>
        <w:t>Table</w:t>
      </w:r>
      <w:r>
        <w:rPr>
          <w:spacing w:val="-2"/>
        </w:rPr>
        <w:t> </w:t>
      </w:r>
      <w:r>
        <w:rPr/>
        <w:t>4.6: Mean</w:t>
      </w:r>
      <w:r>
        <w:rPr>
          <w:spacing w:val="-5"/>
        </w:rPr>
        <w:t> </w:t>
      </w:r>
      <w:r>
        <w:rPr/>
        <w:t>Haematological</w:t>
      </w:r>
      <w:r>
        <w:rPr>
          <w:spacing w:val="-4"/>
        </w:rPr>
        <w:t> </w:t>
      </w:r>
      <w:r>
        <w:rPr/>
        <w:t>Parameters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all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Groups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0"/>
        </w:rPr>
      </w:pPr>
    </w:p>
    <w:p>
      <w:pPr>
        <w:pStyle w:val="BodyText"/>
        <w:spacing w:line="20" w:lineRule="exact"/>
        <w:ind w:left="191" w:right="-15"/>
        <w:rPr>
          <w:sz w:val="2"/>
        </w:rPr>
      </w:pPr>
      <w:r>
        <w:rPr>
          <w:sz w:val="2"/>
        </w:rPr>
        <w:pict>
          <v:group style="width:569.050pt;height:.5pt;mso-position-horizontal-relative:char;mso-position-vertical-relative:line" coordorigin="0,0" coordsize="11381,10">
            <v:rect style="position:absolute;left:0;top:0;width:11381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258" w:lineRule="exact"/>
        <w:ind w:left="2725"/>
      </w:pPr>
      <w:r>
        <w:rPr/>
        <w:t>Suggested</w:t>
      </w:r>
    </w:p>
    <w:p>
      <w:pPr>
        <w:pStyle w:val="BodyText"/>
        <w:spacing w:before="132"/>
        <w:ind w:left="2725"/>
      </w:pPr>
      <w:r>
        <w:rPr>
          <w:spacing w:val="-1"/>
        </w:rPr>
        <w:t>Normal</w:t>
      </w:r>
      <w:r>
        <w:rPr>
          <w:spacing w:val="-11"/>
        </w:rPr>
        <w:t> </w:t>
      </w:r>
      <w:r>
        <w:rPr>
          <w:spacing w:val="-1"/>
        </w:rPr>
        <w:t>Ranges</w:t>
      </w:r>
    </w:p>
    <w:p>
      <w:pPr>
        <w:pStyle w:val="BodyText"/>
        <w:spacing w:line="253" w:lineRule="exact"/>
        <w:ind w:left="899"/>
      </w:pPr>
      <w:r>
        <w:rPr/>
        <w:br w:type="column"/>
      </w:r>
      <w:r>
        <w:rPr/>
        <w:t>Genotype</w:t>
      </w:r>
      <w:r>
        <w:rPr>
          <w:spacing w:val="-3"/>
        </w:rPr>
        <w:t> </w:t>
      </w:r>
      <w:r>
        <w:rPr/>
        <w:t>(Mean</w:t>
      </w:r>
      <w:r>
        <w:rPr>
          <w:spacing w:val="-6"/>
        </w:rPr>
        <w:t> </w:t>
      </w:r>
      <w:r>
        <w:rPr/>
        <w:t>±</w:t>
      </w:r>
      <w:r>
        <w:rPr>
          <w:spacing w:val="-4"/>
        </w:rPr>
        <w:t> </w:t>
      </w:r>
      <w:r>
        <w:rPr/>
        <w:t>SEM)</w:t>
      </w:r>
    </w:p>
    <w:p>
      <w:pPr>
        <w:spacing w:after="0" w:line="253" w:lineRule="exact"/>
        <w:sectPr>
          <w:type w:val="continuous"/>
          <w:pgSz w:w="12240" w:h="15840"/>
          <w:pgMar w:top="1360" w:bottom="280" w:left="620" w:right="0"/>
          <w:cols w:num="2" w:equalWidth="0">
            <w:col w:w="4220" w:space="40"/>
            <w:col w:w="736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</w:p>
    <w:tbl>
      <w:tblPr>
        <w:tblW w:w="0" w:type="auto"/>
        <w:jc w:val="left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54"/>
        <w:gridCol w:w="2459"/>
        <w:gridCol w:w="2035"/>
        <w:gridCol w:w="2433"/>
      </w:tblGrid>
      <w:tr>
        <w:trPr>
          <w:trHeight w:val="1205" w:hRule="atLeast"/>
        </w:trPr>
        <w:tc>
          <w:tcPr>
            <w:tcW w:w="44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Parameters</w:t>
            </w:r>
          </w:p>
        </w:tc>
        <w:tc>
          <w:tcPr>
            <w:tcW w:w="24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513"/>
              <w:rPr>
                <w:sz w:val="24"/>
              </w:rPr>
            </w:pPr>
            <w:r>
              <w:rPr>
                <w:sz w:val="24"/>
              </w:rPr>
              <w:t>HbAA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Volunteers</w:t>
            </w: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45</w:t>
            </w:r>
          </w:p>
        </w:tc>
        <w:tc>
          <w:tcPr>
            <w:tcW w:w="20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91"/>
              <w:rPr>
                <w:sz w:val="24"/>
              </w:rPr>
            </w:pPr>
            <w:r>
              <w:rPr>
                <w:sz w:val="24"/>
              </w:rPr>
              <w:t>SCD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Crises</w:t>
            </w: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before="1"/>
              <w:ind w:left="191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45</w:t>
            </w:r>
          </w:p>
        </w:tc>
        <w:tc>
          <w:tcPr>
            <w:tcW w:w="24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34"/>
              <w:rPr>
                <w:sz w:val="24"/>
              </w:rPr>
            </w:pPr>
            <w:r>
              <w:rPr>
                <w:sz w:val="24"/>
              </w:rPr>
              <w:t>SCD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Steady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45</w:t>
            </w:r>
          </w:p>
        </w:tc>
      </w:tr>
      <w:tr>
        <w:trPr>
          <w:trHeight w:val="459" w:hRule="atLeast"/>
        </w:trPr>
        <w:tc>
          <w:tcPr>
            <w:tcW w:w="4454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534" w:val="left" w:leader="none"/>
              </w:tabs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Platelet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Count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35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9</w:t>
            </w:r>
            <w:r>
              <w:rPr>
                <w:sz w:val="24"/>
                <w:vertAlign w:val="baseline"/>
              </w:rPr>
              <w:t>)</w:t>
              <w:tab/>
            </w:r>
            <w:r>
              <w:rPr>
                <w:position w:val="1"/>
                <w:sz w:val="24"/>
                <w:vertAlign w:val="baseline"/>
              </w:rPr>
              <w:t>150.00-450.00</w:t>
            </w:r>
          </w:p>
        </w:tc>
        <w:tc>
          <w:tcPr>
            <w:tcW w:w="24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513"/>
              <w:rPr>
                <w:sz w:val="24"/>
              </w:rPr>
            </w:pPr>
            <w:r>
              <w:rPr>
                <w:w w:val="95"/>
                <w:sz w:val="24"/>
              </w:rPr>
              <w:t>259.04</w:t>
            </w:r>
            <w:r>
              <w:rPr>
                <w:rFonts w:ascii="Cambria Math" w:hAnsi="Cambria Math"/>
                <w:w w:val="95"/>
                <w:sz w:val="24"/>
              </w:rPr>
              <w:t>±</w:t>
            </w:r>
            <w:r>
              <w:rPr>
                <w:rFonts w:ascii="Cambria Math" w:hAnsi="Cambria Math"/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13.41</w:t>
            </w:r>
          </w:p>
        </w:tc>
        <w:tc>
          <w:tcPr>
            <w:tcW w:w="20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91"/>
              <w:rPr>
                <w:sz w:val="24"/>
              </w:rPr>
            </w:pPr>
            <w:r>
              <w:rPr>
                <w:b/>
                <w:w w:val="95"/>
                <w:sz w:val="24"/>
              </w:rPr>
              <w:t>*</w:t>
            </w:r>
            <w:r>
              <w:rPr>
                <w:w w:val="95"/>
                <w:sz w:val="24"/>
              </w:rPr>
              <w:t>347.81</w:t>
            </w:r>
            <w:r>
              <w:rPr>
                <w:rFonts w:ascii="Cambria Math" w:hAnsi="Cambria Math"/>
                <w:w w:val="95"/>
                <w:sz w:val="24"/>
              </w:rPr>
              <w:t>±</w:t>
            </w:r>
            <w:r>
              <w:rPr>
                <w:rFonts w:ascii="Cambria Math" w:hAnsi="Cambria Math"/>
                <w:spacing w:val="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35.94^</w:t>
            </w:r>
          </w:p>
        </w:tc>
        <w:tc>
          <w:tcPr>
            <w:tcW w:w="24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234"/>
              <w:rPr>
                <w:sz w:val="24"/>
              </w:rPr>
            </w:pPr>
            <w:r>
              <w:rPr>
                <w:b/>
                <w:w w:val="95"/>
                <w:sz w:val="24"/>
              </w:rPr>
              <w:t>*</w:t>
            </w:r>
            <w:r>
              <w:rPr>
                <w:w w:val="95"/>
                <w:sz w:val="24"/>
              </w:rPr>
              <w:t>518.38</w:t>
            </w:r>
            <w:r>
              <w:rPr>
                <w:rFonts w:ascii="Cambria Math" w:hAnsi="Cambria Math"/>
                <w:w w:val="95"/>
                <w:sz w:val="24"/>
              </w:rPr>
              <w:t>±</w:t>
            </w:r>
            <w:r>
              <w:rPr>
                <w:rFonts w:ascii="Cambria Math" w:hAnsi="Cambria Math"/>
                <w:spacing w:val="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36.99</w:t>
            </w:r>
          </w:p>
        </w:tc>
      </w:tr>
      <w:tr>
        <w:trPr>
          <w:trHeight w:val="633" w:hRule="atLeast"/>
        </w:trPr>
        <w:tc>
          <w:tcPr>
            <w:tcW w:w="4454" w:type="dxa"/>
          </w:tcPr>
          <w:p>
            <w:pPr>
              <w:pStyle w:val="TableParagraph"/>
              <w:tabs>
                <w:tab w:pos="2534" w:val="left" w:leader="none"/>
              </w:tabs>
              <w:spacing w:before="177"/>
              <w:ind w:left="105"/>
              <w:rPr>
                <w:sz w:val="24"/>
              </w:rPr>
            </w:pPr>
            <w:r>
              <w:rPr>
                <w:sz w:val="24"/>
              </w:rPr>
              <w:t>WBC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Count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37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9</w:t>
            </w:r>
            <w:r>
              <w:rPr>
                <w:sz w:val="24"/>
                <w:vertAlign w:val="baseline"/>
              </w:rPr>
              <w:t>)</w:t>
              <w:tab/>
            </w:r>
            <w:r>
              <w:rPr>
                <w:position w:val="1"/>
                <w:sz w:val="24"/>
                <w:vertAlign w:val="baseline"/>
              </w:rPr>
              <w:t>2.50-13.00</w:t>
            </w:r>
          </w:p>
        </w:tc>
        <w:tc>
          <w:tcPr>
            <w:tcW w:w="2459" w:type="dxa"/>
          </w:tcPr>
          <w:p>
            <w:pPr>
              <w:pStyle w:val="TableParagraph"/>
              <w:spacing w:before="183"/>
              <w:ind w:left="513"/>
              <w:rPr>
                <w:sz w:val="24"/>
              </w:rPr>
            </w:pPr>
            <w:r>
              <w:rPr>
                <w:w w:val="95"/>
                <w:sz w:val="24"/>
              </w:rPr>
              <w:t>5.08</w:t>
            </w:r>
            <w:r>
              <w:rPr>
                <w:rFonts w:ascii="Cambria Math" w:hAnsi="Cambria Math"/>
                <w:w w:val="95"/>
                <w:sz w:val="24"/>
              </w:rPr>
              <w:t>±</w:t>
            </w:r>
            <w:r>
              <w:rPr>
                <w:rFonts w:ascii="Cambria Math" w:hAnsi="Cambria Math"/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0.30</w:t>
            </w:r>
          </w:p>
        </w:tc>
        <w:tc>
          <w:tcPr>
            <w:tcW w:w="2035" w:type="dxa"/>
          </w:tcPr>
          <w:p>
            <w:pPr>
              <w:pStyle w:val="TableParagraph"/>
              <w:spacing w:before="183"/>
              <w:ind w:left="191"/>
              <w:rPr>
                <w:sz w:val="24"/>
              </w:rPr>
            </w:pPr>
            <w:r>
              <w:rPr>
                <w:b/>
                <w:w w:val="95"/>
                <w:sz w:val="24"/>
              </w:rPr>
              <w:t>*</w:t>
            </w:r>
            <w:r>
              <w:rPr>
                <w:w w:val="95"/>
                <w:sz w:val="24"/>
              </w:rPr>
              <w:t>10.10</w:t>
            </w:r>
            <w:r>
              <w:rPr>
                <w:rFonts w:ascii="Cambria Math" w:hAnsi="Cambria Math"/>
                <w:w w:val="95"/>
                <w:sz w:val="24"/>
              </w:rPr>
              <w:t>±</w:t>
            </w:r>
            <w:r>
              <w:rPr>
                <w:rFonts w:ascii="Cambria Math" w:hAnsi="Cambria Math"/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0.48^</w:t>
            </w:r>
          </w:p>
        </w:tc>
        <w:tc>
          <w:tcPr>
            <w:tcW w:w="2433" w:type="dxa"/>
          </w:tcPr>
          <w:p>
            <w:pPr>
              <w:pStyle w:val="TableParagraph"/>
              <w:spacing w:before="183"/>
              <w:ind w:left="234"/>
              <w:rPr>
                <w:sz w:val="24"/>
              </w:rPr>
            </w:pPr>
            <w:r>
              <w:rPr>
                <w:b/>
                <w:w w:val="95"/>
                <w:sz w:val="24"/>
              </w:rPr>
              <w:t>*</w:t>
            </w:r>
            <w:r>
              <w:rPr>
                <w:w w:val="95"/>
                <w:sz w:val="24"/>
              </w:rPr>
              <w:t>8.26</w:t>
            </w:r>
            <w:r>
              <w:rPr>
                <w:rFonts w:ascii="Cambria Math" w:hAnsi="Cambria Math"/>
                <w:w w:val="95"/>
                <w:sz w:val="24"/>
              </w:rPr>
              <w:t>±</w:t>
            </w:r>
            <w:r>
              <w:rPr>
                <w:rFonts w:ascii="Cambria Math" w:hAnsi="Cambria Math"/>
                <w:spacing w:val="-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0.56</w:t>
            </w:r>
          </w:p>
        </w:tc>
      </w:tr>
      <w:tr>
        <w:trPr>
          <w:trHeight w:val="621" w:hRule="atLeast"/>
        </w:trPr>
        <w:tc>
          <w:tcPr>
            <w:tcW w:w="4454" w:type="dxa"/>
          </w:tcPr>
          <w:p>
            <w:pPr>
              <w:pStyle w:val="TableParagraph"/>
              <w:tabs>
                <w:tab w:pos="2534" w:val="left" w:leader="none"/>
              </w:tabs>
              <w:spacing w:before="163"/>
              <w:ind w:left="105"/>
              <w:rPr>
                <w:sz w:val="24"/>
              </w:rPr>
            </w:pPr>
            <w:r>
              <w:rPr>
                <w:sz w:val="24"/>
              </w:rPr>
              <w:t>Neutrophils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  <w:tab/>
              <w:t>45.00-70.00</w:t>
            </w:r>
          </w:p>
        </w:tc>
        <w:tc>
          <w:tcPr>
            <w:tcW w:w="2459" w:type="dxa"/>
          </w:tcPr>
          <w:p>
            <w:pPr>
              <w:pStyle w:val="TableParagraph"/>
              <w:spacing w:before="169"/>
              <w:ind w:left="513"/>
              <w:rPr>
                <w:sz w:val="24"/>
              </w:rPr>
            </w:pPr>
            <w:r>
              <w:rPr>
                <w:w w:val="95"/>
                <w:sz w:val="24"/>
              </w:rPr>
              <w:t>45.75</w:t>
            </w:r>
            <w:r>
              <w:rPr>
                <w:rFonts w:ascii="Cambria Math" w:hAnsi="Cambria Math"/>
                <w:w w:val="95"/>
                <w:sz w:val="24"/>
              </w:rPr>
              <w:t>±</w:t>
            </w:r>
            <w:r>
              <w:rPr>
                <w:rFonts w:ascii="Cambria Math" w:hAnsi="Cambria Math"/>
                <w:spacing w:val="-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1.39</w:t>
            </w:r>
          </w:p>
        </w:tc>
        <w:tc>
          <w:tcPr>
            <w:tcW w:w="2035" w:type="dxa"/>
          </w:tcPr>
          <w:p>
            <w:pPr>
              <w:pStyle w:val="TableParagraph"/>
              <w:spacing w:before="169"/>
              <w:ind w:left="191"/>
              <w:rPr>
                <w:sz w:val="24"/>
              </w:rPr>
            </w:pPr>
            <w:r>
              <w:rPr>
                <w:b/>
                <w:w w:val="95"/>
                <w:sz w:val="24"/>
              </w:rPr>
              <w:t>*</w:t>
            </w:r>
            <w:r>
              <w:rPr>
                <w:w w:val="95"/>
                <w:sz w:val="24"/>
              </w:rPr>
              <w:t>58.26</w:t>
            </w:r>
            <w:r>
              <w:rPr>
                <w:rFonts w:ascii="Cambria Math" w:hAnsi="Cambria Math"/>
                <w:w w:val="95"/>
                <w:sz w:val="24"/>
              </w:rPr>
              <w:t>±</w:t>
            </w:r>
            <w:r>
              <w:rPr>
                <w:rFonts w:ascii="Cambria Math" w:hAnsi="Cambria Math"/>
                <w:spacing w:val="-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1.41</w:t>
            </w:r>
          </w:p>
        </w:tc>
        <w:tc>
          <w:tcPr>
            <w:tcW w:w="2433" w:type="dxa"/>
          </w:tcPr>
          <w:p>
            <w:pPr>
              <w:pStyle w:val="TableParagraph"/>
              <w:spacing w:before="169"/>
              <w:ind w:left="234"/>
              <w:rPr>
                <w:sz w:val="24"/>
              </w:rPr>
            </w:pPr>
            <w:r>
              <w:rPr>
                <w:b/>
                <w:w w:val="95"/>
                <w:sz w:val="24"/>
              </w:rPr>
              <w:t>*</w:t>
            </w:r>
            <w:r>
              <w:rPr>
                <w:w w:val="95"/>
                <w:sz w:val="24"/>
              </w:rPr>
              <w:t>60.27</w:t>
            </w:r>
            <w:r>
              <w:rPr>
                <w:rFonts w:ascii="Cambria Math" w:hAnsi="Cambria Math"/>
                <w:w w:val="95"/>
                <w:sz w:val="24"/>
              </w:rPr>
              <w:t>±</w:t>
            </w:r>
            <w:r>
              <w:rPr>
                <w:rFonts w:ascii="Cambria Math" w:hAnsi="Cambria Math"/>
                <w:spacing w:val="-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1.36</w:t>
            </w:r>
          </w:p>
        </w:tc>
      </w:tr>
      <w:tr>
        <w:trPr>
          <w:trHeight w:val="621" w:hRule="atLeast"/>
        </w:trPr>
        <w:tc>
          <w:tcPr>
            <w:tcW w:w="4454" w:type="dxa"/>
          </w:tcPr>
          <w:p>
            <w:pPr>
              <w:pStyle w:val="TableParagraph"/>
              <w:tabs>
                <w:tab w:pos="2534" w:val="left" w:leader="none"/>
              </w:tabs>
              <w:spacing w:before="165"/>
              <w:ind w:left="105"/>
              <w:rPr>
                <w:sz w:val="24"/>
              </w:rPr>
            </w:pPr>
            <w:r>
              <w:rPr>
                <w:sz w:val="24"/>
              </w:rPr>
              <w:t>Lymphocytes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  <w:tab/>
              <w:t>17.00-48.00</w:t>
            </w:r>
          </w:p>
        </w:tc>
        <w:tc>
          <w:tcPr>
            <w:tcW w:w="2459" w:type="dxa"/>
          </w:tcPr>
          <w:p>
            <w:pPr>
              <w:pStyle w:val="TableParagraph"/>
              <w:spacing w:before="171"/>
              <w:ind w:left="513"/>
              <w:rPr>
                <w:sz w:val="24"/>
              </w:rPr>
            </w:pPr>
            <w:r>
              <w:rPr>
                <w:w w:val="95"/>
                <w:sz w:val="24"/>
              </w:rPr>
              <w:t>42.11</w:t>
            </w:r>
            <w:r>
              <w:rPr>
                <w:rFonts w:ascii="Cambria Math" w:hAnsi="Cambria Math"/>
                <w:w w:val="95"/>
                <w:sz w:val="24"/>
              </w:rPr>
              <w:t>±</w:t>
            </w:r>
            <w:r>
              <w:rPr>
                <w:rFonts w:ascii="Cambria Math" w:hAnsi="Cambria Math"/>
                <w:spacing w:val="-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1.09</w:t>
            </w:r>
          </w:p>
        </w:tc>
        <w:tc>
          <w:tcPr>
            <w:tcW w:w="2035" w:type="dxa"/>
          </w:tcPr>
          <w:p>
            <w:pPr>
              <w:pStyle w:val="TableParagraph"/>
              <w:spacing w:before="171"/>
              <w:ind w:left="191"/>
              <w:rPr>
                <w:sz w:val="24"/>
              </w:rPr>
            </w:pPr>
            <w:r>
              <w:rPr>
                <w:w w:val="95"/>
                <w:sz w:val="24"/>
              </w:rPr>
              <w:t>40.67</w:t>
            </w:r>
            <w:r>
              <w:rPr>
                <w:rFonts w:ascii="Cambria Math" w:hAnsi="Cambria Math"/>
                <w:w w:val="95"/>
                <w:sz w:val="24"/>
              </w:rPr>
              <w:t>±</w:t>
            </w:r>
            <w:r>
              <w:rPr>
                <w:rFonts w:ascii="Cambria Math" w:hAnsi="Cambria Math"/>
                <w:spacing w:val="-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0.94</w:t>
            </w:r>
          </w:p>
        </w:tc>
        <w:tc>
          <w:tcPr>
            <w:tcW w:w="2433" w:type="dxa"/>
          </w:tcPr>
          <w:p>
            <w:pPr>
              <w:pStyle w:val="TableParagraph"/>
              <w:spacing w:before="171"/>
              <w:ind w:left="234"/>
              <w:rPr>
                <w:sz w:val="24"/>
              </w:rPr>
            </w:pPr>
            <w:r>
              <w:rPr>
                <w:w w:val="95"/>
                <w:sz w:val="24"/>
              </w:rPr>
              <w:t>39.91</w:t>
            </w:r>
            <w:r>
              <w:rPr>
                <w:rFonts w:ascii="Cambria Math" w:hAnsi="Cambria Math"/>
                <w:w w:val="95"/>
                <w:sz w:val="24"/>
              </w:rPr>
              <w:t>±</w:t>
            </w:r>
            <w:r>
              <w:rPr>
                <w:rFonts w:ascii="Cambria Math" w:hAnsi="Cambria Math"/>
                <w:spacing w:val="-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1.19</w:t>
            </w:r>
          </w:p>
        </w:tc>
      </w:tr>
      <w:tr>
        <w:trPr>
          <w:trHeight w:val="450" w:hRule="atLeast"/>
        </w:trPr>
        <w:tc>
          <w:tcPr>
            <w:tcW w:w="4454" w:type="dxa"/>
          </w:tcPr>
          <w:p>
            <w:pPr>
              <w:pStyle w:val="TableParagraph"/>
              <w:tabs>
                <w:tab w:pos="2534" w:val="left" w:leader="none"/>
              </w:tabs>
              <w:spacing w:line="267" w:lineRule="exact" w:before="163"/>
              <w:ind w:left="105"/>
              <w:rPr>
                <w:sz w:val="24"/>
              </w:rPr>
            </w:pPr>
            <w:r>
              <w:rPr>
                <w:sz w:val="24"/>
              </w:rPr>
              <w:t>PCV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(%)</w:t>
              <w:tab/>
              <w:t>30.00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55.00</w:t>
            </w:r>
          </w:p>
        </w:tc>
        <w:tc>
          <w:tcPr>
            <w:tcW w:w="2459" w:type="dxa"/>
          </w:tcPr>
          <w:p>
            <w:pPr>
              <w:pStyle w:val="TableParagraph"/>
              <w:spacing w:line="261" w:lineRule="exact" w:before="169"/>
              <w:ind w:left="513"/>
              <w:rPr>
                <w:sz w:val="24"/>
              </w:rPr>
            </w:pPr>
            <w:r>
              <w:rPr>
                <w:w w:val="95"/>
                <w:sz w:val="24"/>
              </w:rPr>
              <w:t>38.36</w:t>
            </w:r>
            <w:r>
              <w:rPr>
                <w:rFonts w:ascii="Cambria Math" w:hAnsi="Cambria Math"/>
                <w:w w:val="95"/>
                <w:sz w:val="24"/>
              </w:rPr>
              <w:t>±</w:t>
            </w:r>
            <w:r>
              <w:rPr>
                <w:rFonts w:ascii="Cambria Math" w:hAnsi="Cambria Math"/>
                <w:spacing w:val="-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0.79</w:t>
            </w:r>
          </w:p>
        </w:tc>
        <w:tc>
          <w:tcPr>
            <w:tcW w:w="2035" w:type="dxa"/>
          </w:tcPr>
          <w:p>
            <w:pPr>
              <w:pStyle w:val="TableParagraph"/>
              <w:spacing w:line="261" w:lineRule="exact" w:before="169"/>
              <w:ind w:left="191"/>
              <w:rPr>
                <w:sz w:val="24"/>
              </w:rPr>
            </w:pPr>
            <w:r>
              <w:rPr>
                <w:b/>
                <w:w w:val="95"/>
                <w:sz w:val="24"/>
              </w:rPr>
              <w:t>*</w:t>
            </w:r>
            <w:r>
              <w:rPr>
                <w:w w:val="95"/>
                <w:sz w:val="24"/>
              </w:rPr>
              <w:t>22.76</w:t>
            </w:r>
            <w:r>
              <w:rPr>
                <w:rFonts w:ascii="Cambria Math" w:hAnsi="Cambria Math"/>
                <w:w w:val="95"/>
                <w:sz w:val="24"/>
              </w:rPr>
              <w:t>±</w:t>
            </w:r>
            <w:r>
              <w:rPr>
                <w:rFonts w:ascii="Cambria Math" w:hAnsi="Cambria Math"/>
                <w:spacing w:val="-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0.52</w:t>
            </w:r>
          </w:p>
        </w:tc>
        <w:tc>
          <w:tcPr>
            <w:tcW w:w="2433" w:type="dxa"/>
          </w:tcPr>
          <w:p>
            <w:pPr>
              <w:pStyle w:val="TableParagraph"/>
              <w:spacing w:line="261" w:lineRule="exact" w:before="169"/>
              <w:ind w:left="234"/>
              <w:rPr>
                <w:sz w:val="24"/>
              </w:rPr>
            </w:pPr>
            <w:r>
              <w:rPr>
                <w:b/>
                <w:w w:val="95"/>
                <w:sz w:val="24"/>
              </w:rPr>
              <w:t>*</w:t>
            </w:r>
            <w:r>
              <w:rPr>
                <w:w w:val="95"/>
                <w:sz w:val="24"/>
              </w:rPr>
              <w:t>24.53</w:t>
            </w:r>
            <w:r>
              <w:rPr>
                <w:rFonts w:ascii="Cambria Math" w:hAnsi="Cambria Math"/>
                <w:w w:val="95"/>
                <w:sz w:val="24"/>
              </w:rPr>
              <w:t>±</w:t>
            </w:r>
            <w:r>
              <w:rPr>
                <w:rFonts w:ascii="Cambria Math" w:hAnsi="Cambria Math"/>
                <w:spacing w:val="-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0.76</w:t>
            </w:r>
          </w:p>
        </w:tc>
      </w:tr>
    </w:tbl>
    <w:p>
      <w:pPr>
        <w:pStyle w:val="BodyText"/>
        <w:rPr>
          <w:sz w:val="27"/>
        </w:rPr>
      </w:pPr>
      <w:r>
        <w:rPr/>
        <w:pict>
          <v:rect style="position:absolute;margin-left:39.840pt;margin-top:17.493965pt;width:569.760027pt;height:.48pt;mso-position-horizontal-relative:page;mso-position-vertical-relative:paragraph;z-index:-156933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spacing w:before="90"/>
        <w:jc w:val="left"/>
      </w:pPr>
      <w:r>
        <w:rPr/>
        <w:t>*Statistically</w:t>
      </w:r>
      <w:r>
        <w:rPr>
          <w:spacing w:val="-3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-4"/>
        </w:rPr>
        <w:t> </w:t>
      </w:r>
      <w:r>
        <w:rPr/>
        <w:t>at</w:t>
      </w:r>
      <w:r>
        <w:rPr>
          <w:spacing w:val="-2"/>
        </w:rPr>
        <w:t> </w:t>
      </w:r>
      <w:r>
        <w:rPr/>
        <w:t>p&lt;0.05</w:t>
      </w:r>
      <w:r>
        <w:rPr>
          <w:spacing w:val="-3"/>
        </w:rPr>
        <w:t> </w:t>
      </w:r>
      <w:r>
        <w:rPr/>
        <w:t>when</w:t>
      </w:r>
      <w:r>
        <w:rPr>
          <w:spacing w:val="-2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HbAA</w:t>
      </w:r>
    </w:p>
    <w:p>
      <w:pPr>
        <w:pStyle w:val="BodyText"/>
        <w:spacing w:before="5"/>
        <w:rPr>
          <w:b/>
          <w:sz w:val="29"/>
        </w:rPr>
      </w:pPr>
    </w:p>
    <w:p>
      <w:pPr>
        <w:spacing w:before="0"/>
        <w:ind w:left="820" w:right="0" w:firstLine="0"/>
        <w:jc w:val="left"/>
        <w:rPr>
          <w:b/>
          <w:sz w:val="24"/>
        </w:rPr>
      </w:pPr>
      <w:r>
        <w:rPr>
          <w:b/>
          <w:sz w:val="24"/>
        </w:rPr>
        <w:t>^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Statistically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significant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difference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p&lt;0.05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when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compared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SCD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steady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state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60" w:bottom="280" w:left="620" w:right="0"/>
        </w:sectPr>
      </w:pPr>
    </w:p>
    <w:p>
      <w:pPr>
        <w:pStyle w:val="Heading1"/>
        <w:numPr>
          <w:ilvl w:val="1"/>
          <w:numId w:val="32"/>
        </w:numPr>
        <w:tabs>
          <w:tab w:pos="1185" w:val="left" w:leader="none"/>
        </w:tabs>
        <w:spacing w:line="240" w:lineRule="auto" w:before="72" w:after="0"/>
        <w:ind w:left="1184" w:right="0" w:hanging="365"/>
        <w:jc w:val="left"/>
      </w:pPr>
      <w:r>
        <w:rPr/>
        <w:t>Result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Micronutrient</w:t>
      </w:r>
      <w:r>
        <w:rPr>
          <w:spacing w:val="-2"/>
        </w:rPr>
        <w:t> </w:t>
      </w:r>
      <w:r>
        <w:rPr/>
        <w:t>Assay</w:t>
      </w:r>
    </w:p>
    <w:p>
      <w:pPr>
        <w:pStyle w:val="BodyText"/>
        <w:rPr>
          <w:b/>
          <w:sz w:val="29"/>
        </w:rPr>
      </w:pPr>
    </w:p>
    <w:p>
      <w:pPr>
        <w:pStyle w:val="BodyText"/>
        <w:ind w:left="820"/>
        <w:jc w:val="both"/>
      </w:pPr>
      <w:r>
        <w:rPr/>
        <w:t>Micronutrient assays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magnesium,</w:t>
      </w:r>
      <w:r>
        <w:rPr>
          <w:spacing w:val="-2"/>
        </w:rPr>
        <w:t> </w:t>
      </w:r>
      <w:r>
        <w:rPr/>
        <w:t>zinc,</w:t>
      </w:r>
      <w:r>
        <w:rPr>
          <w:spacing w:val="-2"/>
        </w:rPr>
        <w:t> </w:t>
      </w:r>
      <w:r>
        <w:rPr/>
        <w:t>copper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iron</w:t>
      </w:r>
      <w:r>
        <w:rPr>
          <w:spacing w:val="-9"/>
        </w:rPr>
        <w:t> </w:t>
      </w:r>
      <w:r>
        <w:rPr/>
        <w:t>showed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following results: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60" w:lineRule="auto" w:before="1"/>
        <w:ind w:left="820" w:right="1436"/>
        <w:jc w:val="both"/>
      </w:pPr>
      <w:r>
        <w:rPr/>
        <w:t>At p &lt; 0.05, there was a statistically significant difference between the mean plasma magnesium</w:t>
      </w:r>
      <w:r>
        <w:rPr>
          <w:spacing w:val="1"/>
        </w:rPr>
        <w:t> </w:t>
      </w:r>
      <w:r>
        <w:rPr/>
        <w:t>levels of the SCD patients in crises and the HbAA group; a statistically significant difference</w:t>
      </w:r>
      <w:r>
        <w:rPr>
          <w:spacing w:val="1"/>
        </w:rPr>
        <w:t> </w:t>
      </w:r>
      <w:r>
        <w:rPr/>
        <w:t>between the plasma magnesium levels of the HbAA and the SCD in steady state; as well as a</w:t>
      </w:r>
      <w:r>
        <w:rPr>
          <w:spacing w:val="1"/>
        </w:rPr>
        <w:t> </w:t>
      </w:r>
      <w:r>
        <w:rPr/>
        <w:t>statistically significant difference between the plasma magnesium levels of both SCD groups</w:t>
      </w:r>
      <w:r>
        <w:rPr>
          <w:spacing w:val="1"/>
        </w:rPr>
        <w:t> </w:t>
      </w:r>
      <w:r>
        <w:rPr/>
        <w:t>(Table 4.7).</w:t>
      </w:r>
    </w:p>
    <w:p>
      <w:pPr>
        <w:pStyle w:val="BodyText"/>
        <w:spacing w:line="360" w:lineRule="auto" w:before="200"/>
        <w:ind w:left="820" w:right="1443"/>
        <w:jc w:val="both"/>
      </w:pPr>
      <w:r>
        <w:rPr/>
        <w:t>Although, at p &lt; 0.05 there was no statistically significant difference between the plasma zinc</w:t>
      </w:r>
      <w:r>
        <w:rPr>
          <w:spacing w:val="1"/>
        </w:rPr>
        <w:t> </w:t>
      </w:r>
      <w:r>
        <w:rPr/>
        <w:t>levels of all three groups; the plasma zinc levels of the HbAA was the highest, followed by that</w:t>
      </w:r>
      <w:r>
        <w:rPr>
          <w:spacing w:val="1"/>
        </w:rPr>
        <w:t> </w:t>
      </w:r>
      <w:r>
        <w:rPr/>
        <w:t>of the SCD in steady state, and that of the SCD in crises was the lowest (Table 4.7). Similarly,</w:t>
      </w:r>
      <w:r>
        <w:rPr>
          <w:spacing w:val="1"/>
        </w:rPr>
        <w:t> </w:t>
      </w:r>
      <w:r>
        <w:rPr/>
        <w:t>there was no statistically significant difference between the plasma copper levels of all three</w:t>
      </w:r>
      <w:r>
        <w:rPr>
          <w:spacing w:val="1"/>
        </w:rPr>
        <w:t> </w:t>
      </w:r>
      <w:r>
        <w:rPr/>
        <w:t>groups. However, the plasma copper levels of the HbAA was the lowest, followed by that of the</w:t>
      </w:r>
      <w:r>
        <w:rPr>
          <w:spacing w:val="1"/>
        </w:rPr>
        <w:t> </w:t>
      </w:r>
      <w:r>
        <w:rPr/>
        <w:t>SCD</w:t>
      </w:r>
      <w:r>
        <w:rPr>
          <w:spacing w:val="6"/>
        </w:rPr>
        <w:t> </w:t>
      </w:r>
      <w:r>
        <w:rPr/>
        <w:t>in</w:t>
      </w:r>
      <w:r>
        <w:rPr>
          <w:spacing w:val="-4"/>
        </w:rPr>
        <w:t> </w:t>
      </w:r>
      <w:r>
        <w:rPr/>
        <w:t>steady</w:t>
      </w:r>
      <w:r>
        <w:rPr>
          <w:spacing w:val="-9"/>
        </w:rPr>
        <w:t> </w:t>
      </w:r>
      <w:r>
        <w:rPr/>
        <w:t>state,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that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the SCD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crises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6"/>
        </w:rPr>
        <w:t> </w:t>
      </w:r>
      <w:r>
        <w:rPr/>
        <w:t>(Table 4.7).</w:t>
      </w:r>
    </w:p>
    <w:p>
      <w:pPr>
        <w:pStyle w:val="BodyText"/>
        <w:spacing w:line="360" w:lineRule="auto" w:before="200"/>
        <w:ind w:left="820" w:right="1435"/>
        <w:jc w:val="both"/>
      </w:pPr>
      <w:r>
        <w:rPr/>
        <w:t>Plasma</w:t>
      </w:r>
      <w:r>
        <w:rPr>
          <w:spacing w:val="60"/>
        </w:rPr>
        <w:t> </w:t>
      </w:r>
      <w:r>
        <w:rPr/>
        <w:t>iron levels of the SCD in crises was the highest, followed by SCD in steady state; with</w:t>
      </w:r>
      <w:r>
        <w:rPr>
          <w:spacing w:val="1"/>
        </w:rPr>
        <w:t> </w:t>
      </w:r>
      <w:r>
        <w:rPr/>
        <w:t>the HbAA</w:t>
      </w:r>
      <w:r>
        <w:rPr>
          <w:spacing w:val="1"/>
        </w:rPr>
        <w:t> </w:t>
      </w:r>
      <w:r>
        <w:rPr/>
        <w:t>having the</w:t>
      </w:r>
      <w:r>
        <w:rPr>
          <w:spacing w:val="1"/>
        </w:rPr>
        <w:t> </w:t>
      </w:r>
      <w:r>
        <w:rPr/>
        <w:t>lowest</w:t>
      </w:r>
      <w:r>
        <w:rPr>
          <w:spacing w:val="1"/>
        </w:rPr>
        <w:t> </w:t>
      </w:r>
      <w:r>
        <w:rPr/>
        <w:t>iron</w:t>
      </w:r>
      <w:r>
        <w:rPr>
          <w:spacing w:val="1"/>
        </w:rPr>
        <w:t> </w:t>
      </w:r>
      <w:r>
        <w:rPr/>
        <w:t>levels.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 &lt; 0.05, there was a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 between the plasma iron levels of the SCD in crises and the HbAA individuals; a</w:t>
      </w:r>
      <w:r>
        <w:rPr>
          <w:spacing w:val="1"/>
        </w:rPr>
        <w:t> </w:t>
      </w:r>
      <w:r>
        <w:rPr/>
        <w:t>statistically significant difference between the plasma iron levels of the HbAA and the SCD in</w:t>
      </w:r>
      <w:r>
        <w:rPr>
          <w:spacing w:val="1"/>
        </w:rPr>
        <w:t> </w:t>
      </w:r>
      <w:r>
        <w:rPr/>
        <w:t>steady state; but there was no statistically significant difference between the plasma iron levels of</w:t>
      </w:r>
      <w:r>
        <w:rPr>
          <w:spacing w:val="-57"/>
        </w:rPr>
        <w:t> </w:t>
      </w:r>
      <w:r>
        <w:rPr/>
        <w:t>both</w:t>
      </w:r>
      <w:r>
        <w:rPr>
          <w:spacing w:val="-4"/>
        </w:rPr>
        <w:t> </w:t>
      </w:r>
      <w:r>
        <w:rPr/>
        <w:t>SCD</w:t>
      </w:r>
      <w:r>
        <w:rPr>
          <w:spacing w:val="2"/>
        </w:rPr>
        <w:t> </w:t>
      </w:r>
      <w:r>
        <w:rPr/>
        <w:t>groups</w:t>
      </w:r>
      <w:r>
        <w:rPr>
          <w:spacing w:val="-5"/>
        </w:rPr>
        <w:t> </w:t>
      </w:r>
      <w:r>
        <w:rPr/>
        <w:t>(Table</w:t>
      </w:r>
      <w:r>
        <w:rPr>
          <w:spacing w:val="1"/>
        </w:rPr>
        <w:t> </w:t>
      </w:r>
      <w:r>
        <w:rPr/>
        <w:t>4.7).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jc w:val="left"/>
      </w:pPr>
      <w:r>
        <w:rPr/>
        <w:t>Table</w:t>
      </w:r>
      <w:r>
        <w:rPr>
          <w:spacing w:val="-2"/>
        </w:rPr>
        <w:t> </w:t>
      </w:r>
      <w:r>
        <w:rPr/>
        <w:t>4.7:</w:t>
      </w:r>
      <w:r>
        <w:rPr>
          <w:spacing w:val="-1"/>
        </w:rPr>
        <w:t> </w:t>
      </w:r>
      <w:r>
        <w:rPr/>
        <w:t>Mean</w:t>
      </w:r>
      <w:r>
        <w:rPr>
          <w:spacing w:val="-4"/>
        </w:rPr>
        <w:t> </w:t>
      </w:r>
      <w:r>
        <w:rPr/>
        <w:t>Plasma</w:t>
      </w:r>
      <w:r>
        <w:rPr>
          <w:spacing w:val="-1"/>
        </w:rPr>
        <w:t> </w:t>
      </w:r>
      <w:r>
        <w:rPr/>
        <w:t>Micronutrient Levels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all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Groups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0"/>
        </w:rPr>
      </w:pPr>
    </w:p>
    <w:tbl>
      <w:tblPr>
        <w:tblW w:w="0" w:type="auto"/>
        <w:jc w:val="left"/>
        <w:tblInd w:w="7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7"/>
        <w:gridCol w:w="2712"/>
        <w:gridCol w:w="1839"/>
        <w:gridCol w:w="2592"/>
      </w:tblGrid>
      <w:tr>
        <w:trPr>
          <w:trHeight w:val="1840" w:hRule="atLeast"/>
        </w:trPr>
        <w:tc>
          <w:tcPr>
            <w:tcW w:w="23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Micronutrients</w:t>
            </w:r>
          </w:p>
        </w:tc>
        <w:tc>
          <w:tcPr>
            <w:tcW w:w="27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231"/>
              <w:rPr>
                <w:sz w:val="24"/>
              </w:rPr>
            </w:pPr>
            <w:r>
              <w:rPr>
                <w:sz w:val="24"/>
              </w:rPr>
              <w:t>Genotype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(Mean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±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SEM)</w:t>
            </w:r>
          </w:p>
          <w:p>
            <w:pPr>
              <w:pStyle w:val="TableParagraph"/>
              <w:spacing w:line="610" w:lineRule="atLeast" w:before="4"/>
              <w:ind w:left="231" w:right="1147"/>
              <w:rPr>
                <w:sz w:val="24"/>
              </w:rPr>
            </w:pPr>
            <w:r>
              <w:rPr>
                <w:sz w:val="24"/>
              </w:rPr>
              <w:t>HbAA Group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45</w:t>
            </w:r>
          </w:p>
        </w:tc>
        <w:tc>
          <w:tcPr>
            <w:tcW w:w="18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line="610" w:lineRule="atLeast" w:before="1"/>
              <w:ind w:left="39" w:right="424"/>
              <w:rPr>
                <w:sz w:val="24"/>
              </w:rPr>
            </w:pPr>
            <w:r>
              <w:rPr>
                <w:sz w:val="24"/>
              </w:rPr>
              <w:t>SCD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Crises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45</w:t>
            </w:r>
          </w:p>
        </w:tc>
        <w:tc>
          <w:tcPr>
            <w:tcW w:w="25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line="610" w:lineRule="atLeast" w:before="1"/>
              <w:ind w:left="360" w:right="245"/>
              <w:rPr>
                <w:sz w:val="24"/>
              </w:rPr>
            </w:pPr>
            <w:r>
              <w:rPr>
                <w:sz w:val="24"/>
              </w:rPr>
              <w:t>SCD in Steady State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45</w:t>
            </w:r>
          </w:p>
        </w:tc>
      </w:tr>
      <w:tr>
        <w:trPr>
          <w:trHeight w:val="445" w:hRule="atLeast"/>
        </w:trPr>
        <w:tc>
          <w:tcPr>
            <w:tcW w:w="23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Magnesium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(mg/dL)</w:t>
            </w:r>
          </w:p>
        </w:tc>
        <w:tc>
          <w:tcPr>
            <w:tcW w:w="27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231"/>
              <w:rPr>
                <w:sz w:val="24"/>
              </w:rPr>
            </w:pPr>
            <w:r>
              <w:rPr>
                <w:w w:val="95"/>
                <w:sz w:val="24"/>
              </w:rPr>
              <w:t>0.88</w:t>
            </w:r>
            <w:r>
              <w:rPr>
                <w:spacing w:val="3"/>
                <w:w w:val="95"/>
                <w:sz w:val="24"/>
              </w:rPr>
              <w:t> </w:t>
            </w:r>
            <w:r>
              <w:rPr>
                <w:rFonts w:ascii="Cambria Math" w:hAnsi="Cambria Math"/>
                <w:w w:val="95"/>
                <w:sz w:val="24"/>
              </w:rPr>
              <w:t>±</w:t>
            </w:r>
            <w:r>
              <w:rPr>
                <w:rFonts w:ascii="Cambria Math" w:hAnsi="Cambria Math"/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0.06</w:t>
            </w:r>
          </w:p>
        </w:tc>
        <w:tc>
          <w:tcPr>
            <w:tcW w:w="18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b/>
                <w:w w:val="95"/>
                <w:sz w:val="24"/>
              </w:rPr>
              <w:t>*</w:t>
            </w:r>
            <w:r>
              <w:rPr>
                <w:w w:val="95"/>
                <w:sz w:val="24"/>
              </w:rPr>
              <w:t>0.62</w:t>
            </w:r>
            <w:r>
              <w:rPr>
                <w:spacing w:val="6"/>
                <w:w w:val="95"/>
                <w:sz w:val="24"/>
              </w:rPr>
              <w:t> </w:t>
            </w:r>
            <w:r>
              <w:rPr>
                <w:rFonts w:ascii="Cambria Math" w:hAnsi="Cambria Math"/>
                <w:w w:val="95"/>
                <w:sz w:val="24"/>
              </w:rPr>
              <w:t>±</w:t>
            </w:r>
            <w:r>
              <w:rPr>
                <w:rFonts w:ascii="Cambria Math" w:hAnsi="Cambria Math"/>
                <w:spacing w:val="-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0.02^</w:t>
            </w:r>
          </w:p>
        </w:tc>
        <w:tc>
          <w:tcPr>
            <w:tcW w:w="25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360"/>
              <w:rPr>
                <w:sz w:val="24"/>
              </w:rPr>
            </w:pPr>
            <w:r>
              <w:rPr>
                <w:b/>
                <w:w w:val="95"/>
                <w:sz w:val="24"/>
              </w:rPr>
              <w:t>*</w:t>
            </w:r>
            <w:r>
              <w:rPr>
                <w:w w:val="95"/>
                <w:sz w:val="24"/>
              </w:rPr>
              <w:t>0.74</w:t>
            </w:r>
            <w:r>
              <w:rPr>
                <w:spacing w:val="4"/>
                <w:w w:val="95"/>
                <w:sz w:val="24"/>
              </w:rPr>
              <w:t> </w:t>
            </w:r>
            <w:r>
              <w:rPr>
                <w:rFonts w:ascii="Cambria Math" w:hAnsi="Cambria Math"/>
                <w:w w:val="95"/>
                <w:sz w:val="24"/>
              </w:rPr>
              <w:t>±</w:t>
            </w:r>
            <w:r>
              <w:rPr>
                <w:rFonts w:ascii="Cambria Math" w:hAnsi="Cambria Math"/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0.03</w:t>
            </w:r>
          </w:p>
        </w:tc>
      </w:tr>
      <w:tr>
        <w:trPr>
          <w:trHeight w:val="621" w:hRule="atLeast"/>
        </w:trPr>
        <w:tc>
          <w:tcPr>
            <w:tcW w:w="2327" w:type="dxa"/>
          </w:tcPr>
          <w:p>
            <w:pPr>
              <w:pStyle w:val="TableParagraph"/>
              <w:spacing w:before="163"/>
              <w:ind w:left="110"/>
              <w:rPr>
                <w:sz w:val="24"/>
              </w:rPr>
            </w:pPr>
            <w:r>
              <w:rPr>
                <w:sz w:val="24"/>
              </w:rPr>
              <w:t>Zinc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(µg/dL)</w:t>
            </w:r>
          </w:p>
        </w:tc>
        <w:tc>
          <w:tcPr>
            <w:tcW w:w="2712" w:type="dxa"/>
          </w:tcPr>
          <w:p>
            <w:pPr>
              <w:pStyle w:val="TableParagraph"/>
              <w:spacing w:before="169"/>
              <w:ind w:left="231"/>
              <w:rPr>
                <w:sz w:val="24"/>
              </w:rPr>
            </w:pPr>
            <w:r>
              <w:rPr>
                <w:w w:val="95"/>
                <w:sz w:val="24"/>
              </w:rPr>
              <w:t>221.28</w:t>
            </w:r>
            <w:r>
              <w:rPr>
                <w:spacing w:val="8"/>
                <w:w w:val="95"/>
                <w:sz w:val="24"/>
              </w:rPr>
              <w:t> </w:t>
            </w:r>
            <w:r>
              <w:rPr>
                <w:rFonts w:ascii="Cambria Math" w:hAnsi="Cambria Math"/>
                <w:w w:val="95"/>
                <w:sz w:val="24"/>
              </w:rPr>
              <w:t>±</w:t>
            </w:r>
            <w:r>
              <w:rPr>
                <w:rFonts w:ascii="Cambria Math" w:hAnsi="Cambria Math"/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20.87</w:t>
            </w:r>
          </w:p>
        </w:tc>
        <w:tc>
          <w:tcPr>
            <w:tcW w:w="1839" w:type="dxa"/>
          </w:tcPr>
          <w:p>
            <w:pPr>
              <w:pStyle w:val="TableParagraph"/>
              <w:spacing w:before="169"/>
              <w:ind w:left="39"/>
              <w:rPr>
                <w:sz w:val="24"/>
              </w:rPr>
            </w:pPr>
            <w:r>
              <w:rPr>
                <w:w w:val="95"/>
                <w:sz w:val="24"/>
              </w:rPr>
              <w:t>175.33</w:t>
            </w:r>
            <w:r>
              <w:rPr>
                <w:spacing w:val="8"/>
                <w:w w:val="95"/>
                <w:sz w:val="24"/>
              </w:rPr>
              <w:t> </w:t>
            </w:r>
            <w:r>
              <w:rPr>
                <w:rFonts w:ascii="Cambria Math" w:hAnsi="Cambria Math"/>
                <w:w w:val="95"/>
                <w:sz w:val="24"/>
              </w:rPr>
              <w:t>±</w:t>
            </w:r>
            <w:r>
              <w:rPr>
                <w:rFonts w:ascii="Cambria Math" w:hAnsi="Cambria Math"/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18.33</w:t>
            </w:r>
          </w:p>
        </w:tc>
        <w:tc>
          <w:tcPr>
            <w:tcW w:w="2592" w:type="dxa"/>
          </w:tcPr>
          <w:p>
            <w:pPr>
              <w:pStyle w:val="TableParagraph"/>
              <w:spacing w:before="169"/>
              <w:ind w:left="360"/>
              <w:rPr>
                <w:sz w:val="24"/>
              </w:rPr>
            </w:pPr>
            <w:r>
              <w:rPr>
                <w:w w:val="95"/>
                <w:sz w:val="24"/>
              </w:rPr>
              <w:t>201.80</w:t>
            </w:r>
            <w:r>
              <w:rPr>
                <w:spacing w:val="8"/>
                <w:w w:val="95"/>
                <w:sz w:val="24"/>
              </w:rPr>
              <w:t> </w:t>
            </w:r>
            <w:r>
              <w:rPr>
                <w:rFonts w:ascii="Cambria Math" w:hAnsi="Cambria Math"/>
                <w:w w:val="95"/>
                <w:sz w:val="24"/>
              </w:rPr>
              <w:t>±</w:t>
            </w:r>
            <w:r>
              <w:rPr>
                <w:rFonts w:ascii="Cambria Math" w:hAnsi="Cambria Math"/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17.60</w:t>
            </w:r>
          </w:p>
        </w:tc>
      </w:tr>
      <w:tr>
        <w:trPr>
          <w:trHeight w:val="623" w:hRule="atLeast"/>
        </w:trPr>
        <w:tc>
          <w:tcPr>
            <w:tcW w:w="2327" w:type="dxa"/>
          </w:tcPr>
          <w:p>
            <w:pPr>
              <w:pStyle w:val="TableParagraph"/>
              <w:spacing w:before="165"/>
              <w:ind w:left="110"/>
              <w:rPr>
                <w:sz w:val="24"/>
              </w:rPr>
            </w:pPr>
            <w:r>
              <w:rPr>
                <w:sz w:val="24"/>
              </w:rPr>
              <w:t>Copper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(µg/dL)</w:t>
            </w:r>
          </w:p>
        </w:tc>
        <w:tc>
          <w:tcPr>
            <w:tcW w:w="2712" w:type="dxa"/>
          </w:tcPr>
          <w:p>
            <w:pPr>
              <w:pStyle w:val="TableParagraph"/>
              <w:spacing w:before="171"/>
              <w:ind w:left="231"/>
              <w:rPr>
                <w:sz w:val="24"/>
              </w:rPr>
            </w:pPr>
            <w:r>
              <w:rPr>
                <w:w w:val="95"/>
                <w:sz w:val="24"/>
              </w:rPr>
              <w:t>82.39</w:t>
            </w:r>
            <w:r>
              <w:rPr>
                <w:spacing w:val="4"/>
                <w:w w:val="95"/>
                <w:sz w:val="24"/>
              </w:rPr>
              <w:t> </w:t>
            </w:r>
            <w:r>
              <w:rPr>
                <w:rFonts w:ascii="Cambria Math" w:hAnsi="Cambria Math"/>
                <w:w w:val="95"/>
                <w:sz w:val="24"/>
              </w:rPr>
              <w:t>±</w:t>
            </w:r>
            <w:r>
              <w:rPr>
                <w:rFonts w:ascii="Cambria Math" w:hAnsi="Cambria Math"/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4.14</w:t>
            </w:r>
          </w:p>
        </w:tc>
        <w:tc>
          <w:tcPr>
            <w:tcW w:w="1839" w:type="dxa"/>
          </w:tcPr>
          <w:p>
            <w:pPr>
              <w:pStyle w:val="TableParagraph"/>
              <w:spacing w:before="171"/>
              <w:ind w:left="39"/>
              <w:rPr>
                <w:sz w:val="24"/>
              </w:rPr>
            </w:pPr>
            <w:r>
              <w:rPr>
                <w:w w:val="95"/>
                <w:sz w:val="24"/>
              </w:rPr>
              <w:t>94.39</w:t>
            </w:r>
            <w:r>
              <w:rPr>
                <w:spacing w:val="4"/>
                <w:w w:val="95"/>
                <w:sz w:val="24"/>
              </w:rPr>
              <w:t> </w:t>
            </w:r>
            <w:r>
              <w:rPr>
                <w:rFonts w:ascii="Cambria Math" w:hAnsi="Cambria Math"/>
                <w:w w:val="95"/>
                <w:sz w:val="24"/>
              </w:rPr>
              <w:t>±</w:t>
            </w:r>
            <w:r>
              <w:rPr>
                <w:rFonts w:ascii="Cambria Math" w:hAnsi="Cambria Math"/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3.93</w:t>
            </w:r>
          </w:p>
        </w:tc>
        <w:tc>
          <w:tcPr>
            <w:tcW w:w="2592" w:type="dxa"/>
          </w:tcPr>
          <w:p>
            <w:pPr>
              <w:pStyle w:val="TableParagraph"/>
              <w:spacing w:before="171"/>
              <w:ind w:left="360"/>
              <w:rPr>
                <w:sz w:val="24"/>
              </w:rPr>
            </w:pPr>
            <w:r>
              <w:rPr>
                <w:w w:val="95"/>
                <w:sz w:val="24"/>
              </w:rPr>
              <w:t>90.15</w:t>
            </w:r>
            <w:r>
              <w:rPr>
                <w:spacing w:val="4"/>
                <w:w w:val="95"/>
                <w:sz w:val="24"/>
              </w:rPr>
              <w:t> </w:t>
            </w:r>
            <w:r>
              <w:rPr>
                <w:rFonts w:ascii="Cambria Math" w:hAnsi="Cambria Math"/>
                <w:w w:val="95"/>
                <w:sz w:val="24"/>
              </w:rPr>
              <w:t>±</w:t>
            </w:r>
            <w:r>
              <w:rPr>
                <w:rFonts w:ascii="Cambria Math" w:hAnsi="Cambria Math"/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4.44</w:t>
            </w:r>
          </w:p>
        </w:tc>
      </w:tr>
      <w:tr>
        <w:trPr>
          <w:trHeight w:val="452" w:hRule="atLeast"/>
        </w:trPr>
        <w:tc>
          <w:tcPr>
            <w:tcW w:w="2327" w:type="dxa"/>
          </w:tcPr>
          <w:p>
            <w:pPr>
              <w:pStyle w:val="TableParagraph"/>
              <w:spacing w:line="267" w:lineRule="exact" w:before="165"/>
              <w:ind w:left="110"/>
              <w:rPr>
                <w:sz w:val="24"/>
              </w:rPr>
            </w:pPr>
            <w:r>
              <w:rPr>
                <w:sz w:val="24"/>
              </w:rPr>
              <w:t>Iron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(µmol/dL)</w:t>
            </w:r>
          </w:p>
        </w:tc>
        <w:tc>
          <w:tcPr>
            <w:tcW w:w="2712" w:type="dxa"/>
          </w:tcPr>
          <w:p>
            <w:pPr>
              <w:pStyle w:val="TableParagraph"/>
              <w:spacing w:line="261" w:lineRule="exact" w:before="171"/>
              <w:ind w:left="231"/>
              <w:rPr>
                <w:sz w:val="24"/>
              </w:rPr>
            </w:pPr>
            <w:r>
              <w:rPr>
                <w:w w:val="95"/>
                <w:sz w:val="24"/>
              </w:rPr>
              <w:t>14.15</w:t>
            </w:r>
            <w:r>
              <w:rPr>
                <w:spacing w:val="4"/>
                <w:w w:val="95"/>
                <w:sz w:val="24"/>
              </w:rPr>
              <w:t> </w:t>
            </w:r>
            <w:r>
              <w:rPr>
                <w:rFonts w:ascii="Cambria Math" w:hAnsi="Cambria Math"/>
                <w:w w:val="95"/>
                <w:sz w:val="24"/>
              </w:rPr>
              <w:t>±</w:t>
            </w:r>
            <w:r>
              <w:rPr>
                <w:rFonts w:ascii="Cambria Math" w:hAnsi="Cambria Math"/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0.73</w:t>
            </w:r>
          </w:p>
        </w:tc>
        <w:tc>
          <w:tcPr>
            <w:tcW w:w="1839" w:type="dxa"/>
          </w:tcPr>
          <w:p>
            <w:pPr>
              <w:pStyle w:val="TableParagraph"/>
              <w:spacing w:line="261" w:lineRule="exact" w:before="171"/>
              <w:ind w:left="39"/>
              <w:rPr>
                <w:sz w:val="24"/>
              </w:rPr>
            </w:pPr>
            <w:r>
              <w:rPr>
                <w:b/>
                <w:w w:val="95"/>
                <w:sz w:val="24"/>
              </w:rPr>
              <w:t>*</w:t>
            </w:r>
            <w:r>
              <w:rPr>
                <w:w w:val="95"/>
                <w:sz w:val="24"/>
              </w:rPr>
              <w:t>19.09</w:t>
            </w:r>
            <w:r>
              <w:rPr>
                <w:spacing w:val="6"/>
                <w:w w:val="95"/>
                <w:sz w:val="24"/>
              </w:rPr>
              <w:t> </w:t>
            </w:r>
            <w:r>
              <w:rPr>
                <w:rFonts w:ascii="Cambria Math" w:hAnsi="Cambria Math"/>
                <w:w w:val="95"/>
                <w:sz w:val="24"/>
              </w:rPr>
              <w:t>±</w:t>
            </w:r>
            <w:r>
              <w:rPr>
                <w:rFonts w:ascii="Cambria Math" w:hAnsi="Cambria Math"/>
                <w:spacing w:val="-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1.89</w:t>
            </w:r>
          </w:p>
        </w:tc>
        <w:tc>
          <w:tcPr>
            <w:tcW w:w="2592" w:type="dxa"/>
          </w:tcPr>
          <w:p>
            <w:pPr>
              <w:pStyle w:val="TableParagraph"/>
              <w:spacing w:line="261" w:lineRule="exact" w:before="171"/>
              <w:ind w:left="360"/>
              <w:rPr>
                <w:sz w:val="24"/>
              </w:rPr>
            </w:pPr>
            <w:r>
              <w:rPr>
                <w:b/>
                <w:w w:val="95"/>
                <w:sz w:val="24"/>
              </w:rPr>
              <w:t>*</w:t>
            </w:r>
            <w:r>
              <w:rPr>
                <w:w w:val="95"/>
                <w:sz w:val="24"/>
              </w:rPr>
              <w:t>17.60</w:t>
            </w:r>
            <w:r>
              <w:rPr>
                <w:spacing w:val="6"/>
                <w:w w:val="95"/>
                <w:sz w:val="24"/>
              </w:rPr>
              <w:t> </w:t>
            </w:r>
            <w:r>
              <w:rPr>
                <w:rFonts w:ascii="Cambria Math" w:hAnsi="Cambria Math"/>
                <w:w w:val="95"/>
                <w:sz w:val="24"/>
              </w:rPr>
              <w:t>±</w:t>
            </w:r>
            <w:r>
              <w:rPr>
                <w:rFonts w:ascii="Cambria Math" w:hAnsi="Cambria Math"/>
                <w:spacing w:val="-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1.05</w:t>
            </w:r>
          </w:p>
        </w:tc>
      </w:tr>
    </w:tbl>
    <w:p>
      <w:pPr>
        <w:pStyle w:val="BodyText"/>
        <w:spacing w:before="7"/>
        <w:rPr>
          <w:b/>
          <w:sz w:val="26"/>
        </w:rPr>
      </w:pPr>
      <w:r>
        <w:rPr/>
        <w:pict>
          <v:rect style="position:absolute;margin-left:65.760002pt;margin-top:17.253962pt;width:474.240023pt;height:.48pt;mso-position-horizontal-relative:page;mso-position-vertical-relative:paragraph;z-index:-156928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</w:rPr>
      </w:pPr>
    </w:p>
    <w:p>
      <w:pPr>
        <w:spacing w:before="0"/>
        <w:ind w:left="820" w:right="0" w:firstLine="0"/>
        <w:jc w:val="left"/>
        <w:rPr>
          <w:b/>
          <w:sz w:val="24"/>
        </w:rPr>
      </w:pPr>
      <w:r>
        <w:rPr>
          <w:b/>
          <w:sz w:val="24"/>
        </w:rPr>
        <w:t>*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Statistically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significant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difference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p&lt;0.05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when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compared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HbAA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Group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Heading1"/>
        <w:spacing w:before="0"/>
        <w:jc w:val="left"/>
      </w:pPr>
      <w:r>
        <w:rPr/>
        <w:t>^</w:t>
      </w:r>
      <w:r>
        <w:rPr>
          <w:spacing w:val="-2"/>
        </w:rPr>
        <w:t> </w:t>
      </w:r>
      <w:r>
        <w:rPr/>
        <w:t>Statistically</w:t>
      </w:r>
      <w:r>
        <w:rPr>
          <w:spacing w:val="-2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difference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p&lt;0.05</w:t>
      </w:r>
      <w:r>
        <w:rPr>
          <w:spacing w:val="-2"/>
        </w:rPr>
        <w:t> </w:t>
      </w:r>
      <w:r>
        <w:rPr/>
        <w:t>when</w:t>
      </w:r>
      <w:r>
        <w:rPr>
          <w:spacing w:val="-1"/>
        </w:rPr>
        <w:t> </w:t>
      </w:r>
      <w:r>
        <w:rPr/>
        <w:t>compared to</w:t>
      </w:r>
      <w:r>
        <w:rPr>
          <w:spacing w:val="-2"/>
        </w:rPr>
        <w:t> </w:t>
      </w:r>
      <w:r>
        <w:rPr/>
        <w:t>SCD</w:t>
      </w:r>
      <w:r>
        <w:rPr>
          <w:spacing w:val="-2"/>
        </w:rPr>
        <w:t> </w:t>
      </w:r>
      <w:r>
        <w:rPr/>
        <w:t>in</w:t>
      </w:r>
      <w:r>
        <w:rPr>
          <w:spacing w:val="-6"/>
        </w:rPr>
        <w:t> </w:t>
      </w:r>
      <w:r>
        <w:rPr/>
        <w:t>steady</w:t>
      </w:r>
      <w:r>
        <w:rPr>
          <w:spacing w:val="-2"/>
        </w:rPr>
        <w:t> </w:t>
      </w:r>
      <w:r>
        <w:rPr/>
        <w:t>state</w:t>
      </w:r>
    </w:p>
    <w:p>
      <w:pPr>
        <w:spacing w:after="0"/>
        <w:jc w:val="left"/>
        <w:sectPr>
          <w:pgSz w:w="12240" w:h="15840"/>
          <w:pgMar w:header="0" w:footer="1017" w:top="1360" w:bottom="1200" w:left="620" w:right="0"/>
        </w:sectPr>
      </w:pPr>
    </w:p>
    <w:p>
      <w:pPr>
        <w:spacing w:line="535" w:lineRule="auto" w:before="72"/>
        <w:ind w:left="4698" w:right="5321" w:firstLine="1"/>
        <w:jc w:val="center"/>
        <w:rPr>
          <w:b/>
          <w:sz w:val="24"/>
        </w:rPr>
      </w:pPr>
      <w:r>
        <w:rPr>
          <w:b/>
          <w:sz w:val="24"/>
        </w:rPr>
        <w:t>CHAPTER 5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DISCUSSIONS</w:t>
      </w:r>
    </w:p>
    <w:p>
      <w:pPr>
        <w:pStyle w:val="Heading1"/>
        <w:spacing w:line="355" w:lineRule="auto" w:before="2"/>
        <w:ind w:right="1444"/>
      </w:pPr>
      <w:r>
        <w:rPr/>
        <w:t>5.1 Relative Incidence of Sickle Cell Diseases, Biodata and Anthropological Findings of</w:t>
      </w:r>
      <w:r>
        <w:rPr>
          <w:spacing w:val="1"/>
        </w:rPr>
        <w:t> </w:t>
      </w:r>
      <w:r>
        <w:rPr/>
        <w:t>Study</w:t>
      </w:r>
      <w:r>
        <w:rPr>
          <w:spacing w:val="-4"/>
        </w:rPr>
        <w:t> </w:t>
      </w:r>
      <w:r>
        <w:rPr/>
        <w:t>Group</w:t>
      </w:r>
    </w:p>
    <w:p>
      <w:pPr>
        <w:pStyle w:val="BodyText"/>
        <w:spacing w:line="360" w:lineRule="auto" w:before="206"/>
        <w:ind w:left="820" w:right="1441"/>
        <w:jc w:val="both"/>
      </w:pPr>
      <w:r>
        <w:rPr/>
        <w:t>The findings in the present study showed that HbSS was the most common variant of SCD in</w:t>
      </w:r>
      <w:r>
        <w:rPr>
          <w:spacing w:val="1"/>
        </w:rPr>
        <w:t> </w:t>
      </w:r>
      <w:r>
        <w:rPr/>
        <w:t>ABUTH, Zaria, followed by the HbSS+F and HbSC. This is in line with other reports in Nigeria</w:t>
      </w:r>
      <w:r>
        <w:rPr>
          <w:spacing w:val="1"/>
        </w:rPr>
        <w:t> </w:t>
      </w:r>
      <w:r>
        <w:rPr/>
        <w:t>and sub Saharan Africa which shows that the highest frequencies of homozygous sickle cell</w:t>
      </w:r>
      <w:r>
        <w:rPr>
          <w:spacing w:val="1"/>
        </w:rPr>
        <w:t> </w:t>
      </w:r>
      <w:r>
        <w:rPr/>
        <w:t>disease (HbSS) in the world occur in sub-Saharan Africa (WHO, 2002). The pattern in Nigeria is</w:t>
      </w:r>
      <w:r>
        <w:rPr>
          <w:spacing w:val="-57"/>
        </w:rPr>
        <w:t> </w:t>
      </w:r>
      <w:r>
        <w:rPr/>
        <w:t>similar to that in Jamaica with the HbSS variant being the most common, followed by HbSC</w:t>
      </w:r>
      <w:r>
        <w:rPr>
          <w:spacing w:val="1"/>
        </w:rPr>
        <w:t> </w:t>
      </w:r>
      <w:r>
        <w:rPr/>
        <w:t>(Oniyangi and Omari 2006). An incidence of 6% HbSC was reported in the Yoruba’s in the</w:t>
      </w:r>
      <w:r>
        <w:rPr>
          <w:spacing w:val="1"/>
        </w:rPr>
        <w:t> </w:t>
      </w:r>
      <w:r>
        <w:rPr/>
        <w:t>Western States of Nigeria; while 0.07% incidence was reported in the Igbos of the Eastern States</w:t>
      </w:r>
      <w:r>
        <w:rPr>
          <w:spacing w:val="-57"/>
        </w:rPr>
        <w:t> </w:t>
      </w:r>
      <w:r>
        <w:rPr/>
        <w:t>of Nigeria (Uzoegwu and Onwurah 2003). The high incidence of HbSC in the Yorubas can be</w:t>
      </w:r>
      <w:r>
        <w:rPr>
          <w:spacing w:val="1"/>
        </w:rPr>
        <w:t> </w:t>
      </w:r>
      <w:r>
        <w:rPr/>
        <w:t>attributed to their relative geographical proximity to Ghana where the incidence of HbSC is</w:t>
      </w:r>
      <w:r>
        <w:rPr>
          <w:spacing w:val="1"/>
        </w:rPr>
        <w:t> </w:t>
      </w:r>
      <w:r>
        <w:rPr/>
        <w:t>highest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(Akinyanju,</w:t>
      </w:r>
      <w:r>
        <w:rPr>
          <w:spacing w:val="4"/>
        </w:rPr>
        <w:t> </w:t>
      </w:r>
      <w:r>
        <w:rPr/>
        <w:t>1989).</w:t>
      </w:r>
    </w:p>
    <w:p>
      <w:pPr>
        <w:pStyle w:val="BodyText"/>
        <w:spacing w:before="199"/>
        <w:ind w:left="820"/>
        <w:jc w:val="both"/>
      </w:pPr>
      <w:r>
        <w:rPr/>
        <w:t>The</w:t>
      </w:r>
      <w:r>
        <w:rPr>
          <w:spacing w:val="31"/>
        </w:rPr>
        <w:t> </w:t>
      </w:r>
      <w:r>
        <w:rPr/>
        <w:t>mean</w:t>
      </w:r>
      <w:r>
        <w:rPr>
          <w:spacing w:val="24"/>
        </w:rPr>
        <w:t> </w:t>
      </w:r>
      <w:r>
        <w:rPr/>
        <w:t>age</w:t>
      </w:r>
      <w:r>
        <w:rPr>
          <w:spacing w:val="27"/>
        </w:rPr>
        <w:t> </w:t>
      </w:r>
      <w:r>
        <w:rPr/>
        <w:t>of</w:t>
      </w:r>
      <w:r>
        <w:rPr>
          <w:spacing w:val="20"/>
        </w:rPr>
        <w:t> </w:t>
      </w:r>
      <w:r>
        <w:rPr/>
        <w:t>adult</w:t>
      </w:r>
      <w:r>
        <w:rPr>
          <w:spacing w:val="33"/>
        </w:rPr>
        <w:t> </w:t>
      </w:r>
      <w:r>
        <w:rPr/>
        <w:t>SCD</w:t>
      </w:r>
      <w:r>
        <w:rPr>
          <w:spacing w:val="27"/>
        </w:rPr>
        <w:t> </w:t>
      </w:r>
      <w:r>
        <w:rPr/>
        <w:t>patients</w:t>
      </w:r>
      <w:r>
        <w:rPr>
          <w:spacing w:val="26"/>
        </w:rPr>
        <w:t> </w:t>
      </w:r>
      <w:r>
        <w:rPr/>
        <w:t>who</w:t>
      </w:r>
      <w:r>
        <w:rPr>
          <w:spacing w:val="32"/>
        </w:rPr>
        <w:t> </w:t>
      </w:r>
      <w:r>
        <w:rPr/>
        <w:t>attended</w:t>
      </w:r>
      <w:r>
        <w:rPr>
          <w:spacing w:val="28"/>
        </w:rPr>
        <w:t> </w:t>
      </w:r>
      <w:r>
        <w:rPr/>
        <w:t>adult</w:t>
      </w:r>
      <w:r>
        <w:rPr>
          <w:spacing w:val="33"/>
        </w:rPr>
        <w:t> </w:t>
      </w:r>
      <w:r>
        <w:rPr/>
        <w:t>haematology</w:t>
      </w:r>
      <w:r>
        <w:rPr>
          <w:spacing w:val="18"/>
        </w:rPr>
        <w:t> </w:t>
      </w:r>
      <w:r>
        <w:rPr/>
        <w:t>clinic</w:t>
      </w:r>
      <w:r>
        <w:rPr>
          <w:spacing w:val="32"/>
        </w:rPr>
        <w:t> </w:t>
      </w:r>
      <w:r>
        <w:rPr/>
        <w:t>in</w:t>
      </w:r>
      <w:r>
        <w:rPr>
          <w:spacing w:val="23"/>
        </w:rPr>
        <w:t> </w:t>
      </w:r>
      <w:r>
        <w:rPr/>
        <w:t>this</w:t>
      </w:r>
      <w:r>
        <w:rPr>
          <w:spacing w:val="26"/>
        </w:rPr>
        <w:t> </w:t>
      </w:r>
      <w:r>
        <w:rPr/>
        <w:t>study</w:t>
      </w:r>
      <w:r>
        <w:rPr>
          <w:spacing w:val="19"/>
        </w:rPr>
        <w:t> </w:t>
      </w:r>
      <w:r>
        <w:rPr/>
        <w:t>was</w:t>
      </w:r>
    </w:p>
    <w:p>
      <w:pPr>
        <w:pStyle w:val="BodyText"/>
        <w:spacing w:line="360" w:lineRule="auto" w:before="138"/>
        <w:ind w:left="820" w:right="1435"/>
        <w:jc w:val="both"/>
      </w:pPr>
      <w:r>
        <w:rPr/>
        <w:t>23.44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1"/>
        </w:rPr>
        <w:t> </w:t>
      </w:r>
      <w:r>
        <w:rPr/>
        <w:t>0.58 years for those in crises and 23.17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1"/>
        </w:rPr>
        <w:t> </w:t>
      </w:r>
      <w:r>
        <w:rPr/>
        <w:t>0.57 years for patients in steady state. This is</w:t>
      </w:r>
      <w:r>
        <w:rPr>
          <w:spacing w:val="1"/>
        </w:rPr>
        <w:t> </w:t>
      </w:r>
      <w:r>
        <w:rPr/>
        <w:t>in line with the study by Chijioke and Kolo (2009) who found a mean age of 23.00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1"/>
        </w:rPr>
        <w:t> </w:t>
      </w:r>
      <w:r>
        <w:rPr/>
        <w:t>6.60 years</w:t>
      </w:r>
      <w:r>
        <w:rPr>
          <w:spacing w:val="1"/>
        </w:rPr>
        <w:t> </w:t>
      </w:r>
      <w:r>
        <w:rPr/>
        <w:t>in adult sickle cell patients in Ilorin, Nigeria. They concluded that since this value was in contrast</w:t>
      </w:r>
      <w:r>
        <w:rPr>
          <w:spacing w:val="-57"/>
        </w:rPr>
        <w:t> </w:t>
      </w:r>
      <w:r>
        <w:rPr/>
        <w:t>with the mean age of the general healthy population, this may indicate that the life expectancy of</w:t>
      </w:r>
      <w:r>
        <w:rPr>
          <w:spacing w:val="1"/>
        </w:rPr>
        <w:t> </w:t>
      </w:r>
      <w:r>
        <w:rPr/>
        <w:t>sickle cell patients is reduced. However, such conclusion cannot be made here since sampling of</w:t>
      </w:r>
      <w:r>
        <w:rPr>
          <w:spacing w:val="1"/>
        </w:rPr>
        <w:t> </w:t>
      </w:r>
      <w:r>
        <w:rPr/>
        <w:t>controls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this study</w:t>
      </w:r>
      <w:r>
        <w:rPr>
          <w:spacing w:val="-8"/>
        </w:rPr>
        <w:t> </w:t>
      </w:r>
      <w:r>
        <w:rPr/>
        <w:t>was age</w:t>
      </w:r>
      <w:r>
        <w:rPr>
          <w:spacing w:val="5"/>
        </w:rPr>
        <w:t> </w:t>
      </w:r>
      <w:r>
        <w:rPr/>
        <w:t>matched.</w:t>
      </w:r>
    </w:p>
    <w:p>
      <w:pPr>
        <w:pStyle w:val="BodyText"/>
        <w:spacing w:line="360" w:lineRule="auto" w:before="202"/>
        <w:ind w:left="820" w:right="1434"/>
        <w:jc w:val="both"/>
      </w:pPr>
      <w:r>
        <w:rPr/>
        <w:t>The mean weight of sickle cell patients in this study was significantly lower than that of the</w:t>
      </w:r>
      <w:r>
        <w:rPr>
          <w:spacing w:val="1"/>
        </w:rPr>
        <w:t> </w:t>
      </w:r>
      <w:r>
        <w:rPr/>
        <w:t>HbAA volunteers. Impaired growth is common in homozygous sickle cell disease; and there are</w:t>
      </w:r>
      <w:r>
        <w:rPr>
          <w:spacing w:val="1"/>
        </w:rPr>
        <w:t> </w:t>
      </w:r>
      <w:r>
        <w:rPr/>
        <w:t>early deficiencies in height and weight and delays in the onset of puberty, although the final</w:t>
      </w:r>
      <w:r>
        <w:rPr>
          <w:spacing w:val="1"/>
        </w:rPr>
        <w:t> </w:t>
      </w:r>
      <w:r>
        <w:rPr/>
        <w:t>height of patients with sickle cell disease appears to be normal (Thomas </w:t>
      </w:r>
      <w:r>
        <w:rPr>
          <w:i/>
        </w:rPr>
        <w:t>et al</w:t>
      </w:r>
      <w:r>
        <w:rPr/>
        <w:t>., 2000). In a study</w:t>
      </w:r>
      <w:r>
        <w:rPr>
          <w:spacing w:val="1"/>
        </w:rPr>
        <w:t> </w:t>
      </w:r>
      <w:r>
        <w:rPr/>
        <w:t>in India, Mukherjee and Gangakhedkar (2004) concluded that both males and female sickle cell</w:t>
      </w:r>
      <w:r>
        <w:rPr>
          <w:spacing w:val="1"/>
        </w:rPr>
        <w:t> </w:t>
      </w:r>
      <w:r>
        <w:rPr/>
        <w:t>disease children have lower weights and heights than controls. While in Ilorin, Nigeria, Chijioke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Kolo</w:t>
      </w:r>
      <w:r>
        <w:rPr>
          <w:spacing w:val="5"/>
        </w:rPr>
        <w:t> </w:t>
      </w:r>
      <w:r>
        <w:rPr/>
        <w:t>(2009)</w:t>
      </w:r>
      <w:r>
        <w:rPr>
          <w:spacing w:val="1"/>
        </w:rPr>
        <w:t> </w:t>
      </w:r>
      <w:r>
        <w:rPr/>
        <w:t>found that</w:t>
      </w:r>
      <w:r>
        <w:rPr>
          <w:spacing w:val="4"/>
        </w:rPr>
        <w:t> </w:t>
      </w:r>
      <w:r>
        <w:rPr/>
        <w:t>47%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sickle</w:t>
      </w:r>
      <w:r>
        <w:rPr>
          <w:spacing w:val="-1"/>
        </w:rPr>
        <w:t> </w:t>
      </w:r>
      <w:r>
        <w:rPr/>
        <w:t>cell</w:t>
      </w:r>
      <w:r>
        <w:rPr>
          <w:spacing w:val="-4"/>
        </w:rPr>
        <w:t> </w:t>
      </w:r>
      <w:r>
        <w:rPr/>
        <w:t>patients</w:t>
      </w:r>
      <w:r>
        <w:rPr>
          <w:spacing w:val="-2"/>
        </w:rPr>
        <w:t> </w:t>
      </w:r>
      <w:r>
        <w:rPr/>
        <w:t>had weights</w:t>
      </w:r>
      <w:r>
        <w:rPr>
          <w:spacing w:val="-2"/>
        </w:rPr>
        <w:t> </w:t>
      </w:r>
      <w:r>
        <w:rPr/>
        <w:t>below normal.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60" w:lineRule="auto" w:before="72"/>
        <w:ind w:left="820" w:right="1439"/>
        <w:jc w:val="both"/>
      </w:pPr>
      <w:r>
        <w:rPr/>
        <w:t>SCD is very widespread and occurs throughout Nigeria (Oniyangi and Omari 2006). HbSS is by</w:t>
      </w:r>
      <w:r>
        <w:rPr>
          <w:spacing w:val="1"/>
        </w:rPr>
        <w:t> </w:t>
      </w:r>
      <w:r>
        <w:rPr/>
        <w:t>far the most common and it</w:t>
      </w:r>
      <w:r>
        <w:rPr>
          <w:spacing w:val="60"/>
        </w:rPr>
        <w:t> </w:t>
      </w:r>
      <w:r>
        <w:rPr/>
        <w:t>is fairly evenly distributed throughout the country (Akinyanju,</w:t>
      </w:r>
      <w:r>
        <w:rPr>
          <w:spacing w:val="1"/>
        </w:rPr>
        <w:t> </w:t>
      </w:r>
      <w:r>
        <w:rPr/>
        <w:t>1989). In contrast, HbSC is rare in northern and south-eastern Nigeria but common among the</w:t>
      </w:r>
      <w:r>
        <w:rPr>
          <w:spacing w:val="1"/>
        </w:rPr>
        <w:t> </w:t>
      </w:r>
      <w:r>
        <w:rPr/>
        <w:t>Yoruba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of south-western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whom HbAC</w:t>
      </w:r>
      <w:r>
        <w:rPr>
          <w:spacing w:val="1"/>
        </w:rPr>
        <w:t> </w:t>
      </w:r>
      <w:r>
        <w:rPr/>
        <w:t>carrier</w:t>
      </w:r>
      <w:r>
        <w:rPr>
          <w:spacing w:val="1"/>
        </w:rPr>
        <w:t> </w:t>
      </w:r>
      <w:r>
        <w:rPr/>
        <w:t>rates</w:t>
      </w:r>
      <w:r>
        <w:rPr>
          <w:spacing w:val="1"/>
        </w:rPr>
        <w:t> </w:t>
      </w:r>
      <w:r>
        <w:rPr/>
        <w:t>of 5-7%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reported. Majority of the study group were Hausas (39%) which was not unexpected as the</w:t>
      </w:r>
      <w:r>
        <w:rPr>
          <w:spacing w:val="1"/>
        </w:rPr>
        <w:t> </w:t>
      </w:r>
      <w:r>
        <w:rPr/>
        <w:t>hospital</w:t>
      </w:r>
      <w:r>
        <w:rPr>
          <w:spacing w:val="-5"/>
        </w:rPr>
        <w:t> </w:t>
      </w:r>
      <w:r>
        <w:rPr/>
        <w:t>is</w:t>
      </w:r>
      <w:r>
        <w:rPr>
          <w:spacing w:val="3"/>
        </w:rPr>
        <w:t> </w:t>
      </w:r>
      <w:r>
        <w:rPr/>
        <w:t>located</w:t>
      </w:r>
      <w:r>
        <w:rPr>
          <w:spacing w:val="-1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predominantly</w:t>
      </w:r>
      <w:r>
        <w:rPr>
          <w:spacing w:val="-5"/>
        </w:rPr>
        <w:t> </w:t>
      </w:r>
      <w:r>
        <w:rPr/>
        <w:t>Hausa</w:t>
      </w:r>
      <w:r>
        <w:rPr>
          <w:spacing w:val="-2"/>
        </w:rPr>
        <w:t> </w:t>
      </w:r>
      <w:r>
        <w:rPr/>
        <w:t>region,</w:t>
      </w:r>
      <w:r>
        <w:rPr>
          <w:spacing w:val="2"/>
        </w:rPr>
        <w:t> </w:t>
      </w:r>
      <w:r>
        <w:rPr/>
        <w:t>which</w:t>
      </w:r>
      <w:r>
        <w:rPr>
          <w:spacing w:val="-1"/>
        </w:rPr>
        <w:t> </w:t>
      </w:r>
      <w:r>
        <w:rPr/>
        <w:t>may</w:t>
      </w:r>
      <w:r>
        <w:rPr>
          <w:spacing w:val="-10"/>
        </w:rPr>
        <w:t> </w:t>
      </w:r>
      <w:r>
        <w:rPr/>
        <w:t>explain the</w:t>
      </w:r>
      <w:r>
        <w:rPr>
          <w:spacing w:val="-2"/>
        </w:rPr>
        <w:t> </w:t>
      </w:r>
      <w:r>
        <w:rPr/>
        <w:t>results</w:t>
      </w:r>
      <w:r>
        <w:rPr>
          <w:spacing w:val="-2"/>
        </w:rPr>
        <w:t> </w:t>
      </w:r>
      <w:r>
        <w:rPr/>
        <w:t>obtained.</w:t>
      </w:r>
    </w:p>
    <w:p>
      <w:pPr>
        <w:pStyle w:val="BodyText"/>
        <w:spacing w:line="360" w:lineRule="auto" w:before="199"/>
        <w:ind w:left="820" w:right="1436"/>
        <w:jc w:val="both"/>
      </w:pPr>
      <w:r>
        <w:rPr/>
        <w:t>Although 60% of the study group were Muslims while 40% were Christians, religion did not</w:t>
      </w:r>
      <w:r>
        <w:rPr>
          <w:spacing w:val="1"/>
        </w:rPr>
        <w:t> </w:t>
      </w:r>
      <w:r>
        <w:rPr/>
        <w:t>appear to have any effect on the course and severity of sickle cell crises in the patients. However,</w:t>
      </w:r>
      <w:r>
        <w:rPr>
          <w:spacing w:val="-57"/>
        </w:rPr>
        <w:t> </w:t>
      </w:r>
      <w:r>
        <w:rPr/>
        <w:t>religion has been seen to have impact on the management of SCD where religious inclinations</w:t>
      </w:r>
      <w:r>
        <w:rPr>
          <w:spacing w:val="1"/>
        </w:rPr>
        <w:t> </w:t>
      </w:r>
      <w:r>
        <w:rPr/>
        <w:t>influence a patient’s ability to accept treatment options such as blood transfusions and bone</w:t>
      </w:r>
      <w:r>
        <w:rPr>
          <w:spacing w:val="1"/>
        </w:rPr>
        <w:t> </w:t>
      </w:r>
      <w:r>
        <w:rPr/>
        <w:t>marrow transplant (Helton </w:t>
      </w:r>
      <w:r>
        <w:rPr>
          <w:i/>
        </w:rPr>
        <w:t>et al</w:t>
      </w:r>
      <w:r>
        <w:rPr/>
        <w:t>., 2001). The high percentage of Muslims in this study could</w:t>
      </w:r>
      <w:r>
        <w:rPr>
          <w:spacing w:val="1"/>
        </w:rPr>
        <w:t> </w:t>
      </w:r>
      <w:r>
        <w:rPr/>
        <w:t>possibly be due to the fact that Islam is the predominant religion in Northern Nigeria (Ejiofor,</w:t>
      </w:r>
      <w:r>
        <w:rPr>
          <w:spacing w:val="1"/>
        </w:rPr>
        <w:t> </w:t>
      </w:r>
      <w:r>
        <w:rPr/>
        <w:t>1998). In addition, consanguineous marriages are more common among the Muslims and this</w:t>
      </w:r>
      <w:r>
        <w:rPr>
          <w:spacing w:val="1"/>
        </w:rPr>
        <w:t> </w:t>
      </w:r>
      <w:r>
        <w:rPr/>
        <w:t>could possibly be a contributing</w:t>
      </w:r>
      <w:r>
        <w:rPr>
          <w:spacing w:val="1"/>
        </w:rPr>
        <w:t> </w:t>
      </w:r>
      <w:r>
        <w:rPr/>
        <w:t>factor to the higher</w:t>
      </w:r>
      <w:r>
        <w:rPr>
          <w:spacing w:val="60"/>
        </w:rPr>
        <w:t> </w:t>
      </w:r>
      <w:r>
        <w:rPr/>
        <w:t>frequency of SCD among the Muslims 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detrimental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inbreeding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consequence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homozygosity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harmful genes such as HBSS (SCD); the distribution of different intensities of malaria infestation</w:t>
      </w:r>
      <w:r>
        <w:rPr>
          <w:spacing w:val="-57"/>
        </w:rPr>
        <w:t> </w:t>
      </w:r>
      <w:r>
        <w:rPr/>
        <w:t>is matched with the frequency of human inbreeding (Denic and Nicholls 2007); possibly making</w:t>
      </w:r>
      <w:r>
        <w:rPr>
          <w:spacing w:val="1"/>
        </w:rPr>
        <w:t> </w:t>
      </w:r>
      <w:r>
        <w:rPr/>
        <w:t>the Hausa</w:t>
      </w:r>
      <w:r>
        <w:rPr>
          <w:spacing w:val="1"/>
        </w:rPr>
        <w:t> </w:t>
      </w:r>
      <w:r>
        <w:rPr/>
        <w:t>Muslims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double</w:t>
      </w:r>
      <w:r>
        <w:rPr>
          <w:spacing w:val="1"/>
        </w:rPr>
        <w:t> </w:t>
      </w:r>
      <w:r>
        <w:rPr/>
        <w:t>risk</w:t>
      </w:r>
      <w:r>
        <w:rPr>
          <w:spacing w:val="6"/>
        </w:rPr>
        <w:t> </w:t>
      </w:r>
      <w:r>
        <w:rPr/>
        <w:t>factor</w:t>
      </w:r>
      <w:r>
        <w:rPr>
          <w:spacing w:val="-1"/>
        </w:rPr>
        <w:t> </w:t>
      </w:r>
      <w:r>
        <w:rPr/>
        <w:t>for</w:t>
      </w:r>
      <w:r>
        <w:rPr>
          <w:spacing w:val="3"/>
        </w:rPr>
        <w:t> </w:t>
      </w:r>
      <w:r>
        <w:rPr/>
        <w:t>SCD.</w:t>
      </w:r>
    </w:p>
    <w:p>
      <w:pPr>
        <w:pStyle w:val="Heading1"/>
        <w:spacing w:before="202"/>
      </w:pPr>
      <w:r>
        <w:rPr/>
        <w:t>5.2</w:t>
      </w:r>
      <w:r>
        <w:rPr>
          <w:spacing w:val="-1"/>
        </w:rPr>
        <w:t> </w:t>
      </w:r>
      <w:r>
        <w:rPr/>
        <w:t>Clinical</w:t>
      </w:r>
      <w:r>
        <w:rPr>
          <w:spacing w:val="-4"/>
        </w:rPr>
        <w:t> </w:t>
      </w:r>
      <w:r>
        <w:rPr/>
        <w:t>History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Sickle</w:t>
      </w:r>
      <w:r>
        <w:rPr>
          <w:spacing w:val="-1"/>
        </w:rPr>
        <w:t> </w:t>
      </w:r>
      <w:r>
        <w:rPr/>
        <w:t>Cell</w:t>
      </w:r>
      <w:r>
        <w:rPr>
          <w:spacing w:val="-5"/>
        </w:rPr>
        <w:t> </w:t>
      </w:r>
      <w:r>
        <w:rPr/>
        <w:t>Disease</w:t>
      </w:r>
      <w:r>
        <w:rPr>
          <w:spacing w:val="-1"/>
        </w:rPr>
        <w:t> </w:t>
      </w:r>
      <w:r>
        <w:rPr/>
        <w:t>Patients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37"/>
        <w:jc w:val="both"/>
      </w:pPr>
      <w:r>
        <w:rPr/>
        <w:t>In Africa, children with sickle cell disease are usually first diagnosed following an acute disease</w:t>
      </w:r>
      <w:r>
        <w:rPr>
          <w:spacing w:val="1"/>
        </w:rPr>
        <w:t> </w:t>
      </w:r>
      <w:r>
        <w:rPr/>
        <w:t>and not</w:t>
      </w:r>
      <w:r>
        <w:rPr>
          <w:spacing w:val="1"/>
        </w:rPr>
        <w:t> </w:t>
      </w:r>
      <w:r>
        <w:rPr/>
        <w:t>by screening</w:t>
      </w:r>
      <w:r>
        <w:rPr>
          <w:spacing w:val="1"/>
        </w:rPr>
        <w:t> </w:t>
      </w:r>
      <w:r>
        <w:rPr/>
        <w:t>hence regrettably,</w:t>
      </w:r>
      <w:r>
        <w:rPr>
          <w:spacing w:val="60"/>
        </w:rPr>
        <w:t> </w:t>
      </w:r>
      <w:r>
        <w:rPr/>
        <w:t>diagnosis is often delayed (Afolayan and Jolayemi</w:t>
      </w:r>
      <w:r>
        <w:rPr>
          <w:spacing w:val="1"/>
        </w:rPr>
        <w:t> </w:t>
      </w:r>
      <w:r>
        <w:rPr/>
        <w:t>2011).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findings</w:t>
      </w:r>
      <w:r>
        <w:rPr>
          <w:spacing w:val="12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present</w:t>
      </w:r>
      <w:r>
        <w:rPr>
          <w:spacing w:val="14"/>
        </w:rPr>
        <w:t> </w:t>
      </w:r>
      <w:r>
        <w:rPr/>
        <w:t>study are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line</w:t>
      </w:r>
      <w:r>
        <w:rPr>
          <w:spacing w:val="9"/>
        </w:rPr>
        <w:t> </w:t>
      </w:r>
      <w:r>
        <w:rPr/>
        <w:t>with</w:t>
      </w:r>
      <w:r>
        <w:rPr>
          <w:spacing w:val="9"/>
        </w:rPr>
        <w:t> </w:t>
      </w:r>
      <w:r>
        <w:rPr/>
        <w:t>this.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overall</w:t>
      </w:r>
      <w:r>
        <w:rPr>
          <w:spacing w:val="10"/>
        </w:rPr>
        <w:t> </w:t>
      </w:r>
      <w:r>
        <w:rPr/>
        <w:t>mean</w:t>
      </w:r>
      <w:r>
        <w:rPr>
          <w:spacing w:val="5"/>
        </w:rPr>
        <w:t> </w:t>
      </w:r>
      <w:r>
        <w:rPr/>
        <w:t>age</w:t>
      </w:r>
      <w:r>
        <w:rPr>
          <w:spacing w:val="13"/>
        </w:rPr>
        <w:t> </w:t>
      </w:r>
      <w:r>
        <w:rPr/>
        <w:t>at</w:t>
      </w:r>
      <w:r>
        <w:rPr>
          <w:spacing w:val="15"/>
        </w:rPr>
        <w:t> </w:t>
      </w:r>
      <w:r>
        <w:rPr/>
        <w:t>diagnosis</w:t>
      </w:r>
      <w:r>
        <w:rPr>
          <w:spacing w:val="-58"/>
        </w:rPr>
        <w:t> </w:t>
      </w:r>
      <w:r>
        <w:rPr/>
        <w:t>of the sickle cell patients was 3.69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1"/>
        </w:rPr>
        <w:t> </w:t>
      </w:r>
      <w:r>
        <w:rPr/>
        <w:t>0.27 years; this is close to the mean age of diagnosis of 3.8</w:t>
      </w:r>
      <w:r>
        <w:rPr>
          <w:spacing w:val="1"/>
        </w:rPr>
        <w:t> </w:t>
      </w:r>
      <w:r>
        <w:rPr/>
        <w:t>years reported by Mamman and Durosinmi (2004) for SCD patients in Zaria. The mean ages of</w:t>
      </w:r>
      <w:r>
        <w:rPr>
          <w:spacing w:val="1"/>
        </w:rPr>
        <w:t> </w:t>
      </w:r>
      <w:r>
        <w:rPr/>
        <w:t>diagnosis</w:t>
      </w:r>
      <w:r>
        <w:rPr>
          <w:spacing w:val="16"/>
        </w:rPr>
        <w:t> </w:t>
      </w:r>
      <w:r>
        <w:rPr/>
        <w:t>for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HbSC,</w:t>
      </w:r>
      <w:r>
        <w:rPr>
          <w:spacing w:val="15"/>
        </w:rPr>
        <w:t> </w:t>
      </w:r>
      <w:r>
        <w:rPr/>
        <w:t>HbSS,</w:t>
      </w:r>
      <w:r>
        <w:rPr>
          <w:spacing w:val="16"/>
        </w:rPr>
        <w:t> </w:t>
      </w:r>
      <w:r>
        <w:rPr/>
        <w:t>and</w:t>
      </w:r>
      <w:r>
        <w:rPr>
          <w:spacing w:val="13"/>
        </w:rPr>
        <w:t> </w:t>
      </w:r>
      <w:r>
        <w:rPr/>
        <w:t>HbSS</w:t>
      </w:r>
      <w:r>
        <w:rPr>
          <w:spacing w:val="15"/>
        </w:rPr>
        <w:t> </w:t>
      </w:r>
      <w:r>
        <w:rPr/>
        <w:t>+</w:t>
      </w:r>
      <w:r>
        <w:rPr>
          <w:spacing w:val="17"/>
        </w:rPr>
        <w:t> </w:t>
      </w:r>
      <w:r>
        <w:rPr/>
        <w:t>F</w:t>
      </w:r>
      <w:r>
        <w:rPr>
          <w:spacing w:val="11"/>
        </w:rPr>
        <w:t> </w:t>
      </w:r>
      <w:r>
        <w:rPr/>
        <w:t>were;</w:t>
      </w:r>
      <w:r>
        <w:rPr>
          <w:spacing w:val="10"/>
        </w:rPr>
        <w:t> </w:t>
      </w:r>
      <w:r>
        <w:rPr/>
        <w:t>3.83</w:t>
      </w:r>
      <w:r>
        <w:rPr>
          <w:spacing w:val="16"/>
        </w:rPr>
        <w:t>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10"/>
        </w:rPr>
        <w:t> </w:t>
      </w:r>
      <w:r>
        <w:rPr/>
        <w:t>0.54</w:t>
      </w:r>
      <w:r>
        <w:rPr>
          <w:spacing w:val="18"/>
        </w:rPr>
        <w:t> </w:t>
      </w:r>
      <w:r>
        <w:rPr/>
        <w:t>years,</w:t>
      </w:r>
      <w:r>
        <w:rPr>
          <w:spacing w:val="16"/>
        </w:rPr>
        <w:t> </w:t>
      </w:r>
      <w:r>
        <w:rPr/>
        <w:t>3.49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9"/>
        </w:rPr>
        <w:t> </w:t>
      </w:r>
      <w:r>
        <w:rPr/>
        <w:t>0.28</w:t>
      </w:r>
      <w:r>
        <w:rPr>
          <w:spacing w:val="18"/>
        </w:rPr>
        <w:t> </w:t>
      </w:r>
      <w:r>
        <w:rPr/>
        <w:t>years,</w:t>
      </w:r>
      <w:r>
        <w:rPr>
          <w:spacing w:val="15"/>
        </w:rPr>
        <w:t> </w:t>
      </w:r>
      <w:r>
        <w:rPr/>
        <w:t>and</w:t>
      </w:r>
    </w:p>
    <w:p>
      <w:pPr>
        <w:pStyle w:val="BodyText"/>
        <w:spacing w:line="355" w:lineRule="auto"/>
        <w:ind w:left="820" w:right="1442"/>
        <w:jc w:val="both"/>
      </w:pPr>
      <w:r>
        <w:rPr/>
        <w:t>4.26 </w:t>
      </w:r>
      <w:r>
        <w:rPr>
          <w:rFonts w:ascii="Cambria Math" w:hAnsi="Cambria Math"/>
        </w:rPr>
        <w:t>± </w:t>
      </w:r>
      <w:r>
        <w:rPr/>
        <w:t>0.78 years respectively; however, there was no statistically significant difference between</w:t>
      </w:r>
      <w:r>
        <w:rPr>
          <w:spacing w:val="-57"/>
        </w:rPr>
        <w:t> </w:t>
      </w:r>
      <w:r>
        <w:rPr/>
        <w:t>them.</w:t>
      </w:r>
    </w:p>
    <w:p>
      <w:pPr>
        <w:pStyle w:val="BodyText"/>
        <w:spacing w:line="362" w:lineRule="auto" w:before="208"/>
        <w:ind w:left="820" w:right="1440"/>
        <w:jc w:val="both"/>
      </w:pPr>
      <w:r>
        <w:rPr/>
        <w:t>The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splenic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SS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renders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prone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overwhelming</w:t>
      </w:r>
      <w:r>
        <w:rPr>
          <w:spacing w:val="27"/>
        </w:rPr>
        <w:t> </w:t>
      </w:r>
      <w:r>
        <w:rPr/>
        <w:t>septicaemia</w:t>
      </w:r>
      <w:r>
        <w:rPr>
          <w:spacing w:val="27"/>
        </w:rPr>
        <w:t> </w:t>
      </w:r>
      <w:r>
        <w:rPr/>
        <w:t>especially</w:t>
      </w:r>
      <w:r>
        <w:rPr>
          <w:spacing w:val="28"/>
        </w:rPr>
        <w:t> </w:t>
      </w:r>
      <w:r>
        <w:rPr/>
        <w:t>in</w:t>
      </w:r>
      <w:r>
        <w:rPr>
          <w:spacing w:val="27"/>
        </w:rPr>
        <w:t> </w:t>
      </w:r>
      <w:r>
        <w:rPr/>
        <w:t>early</w:t>
      </w:r>
      <w:r>
        <w:rPr>
          <w:spacing w:val="28"/>
        </w:rPr>
        <w:t> </w:t>
      </w:r>
      <w:r>
        <w:rPr/>
        <w:t>childhood</w:t>
      </w:r>
      <w:r>
        <w:rPr>
          <w:spacing w:val="27"/>
        </w:rPr>
        <w:t> </w:t>
      </w:r>
      <w:r>
        <w:rPr/>
        <w:t>(Serjeant,</w:t>
      </w:r>
      <w:r>
        <w:rPr>
          <w:spacing w:val="30"/>
        </w:rPr>
        <w:t> </w:t>
      </w:r>
      <w:r>
        <w:rPr/>
        <w:t>2005).</w:t>
      </w:r>
      <w:r>
        <w:rPr>
          <w:spacing w:val="30"/>
        </w:rPr>
        <w:t> </w:t>
      </w:r>
      <w:r>
        <w:rPr/>
        <w:t>In</w:t>
      </w:r>
      <w:r>
        <w:rPr>
          <w:spacing w:val="23"/>
        </w:rPr>
        <w:t> </w:t>
      </w:r>
      <w:r>
        <w:rPr/>
        <w:t>a</w:t>
      </w:r>
      <w:r>
        <w:rPr>
          <w:spacing w:val="27"/>
        </w:rPr>
        <w:t> </w:t>
      </w:r>
      <w:r>
        <w:rPr/>
        <w:t>study</w:t>
      </w:r>
      <w:r>
        <w:rPr>
          <w:spacing w:val="23"/>
        </w:rPr>
        <w:t> </w:t>
      </w:r>
      <w:r>
        <w:rPr/>
        <w:t>by</w:t>
      </w:r>
    </w:p>
    <w:p>
      <w:pPr>
        <w:spacing w:after="0" w:line="362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60" w:lineRule="auto" w:before="72"/>
        <w:ind w:left="820" w:right="1435"/>
        <w:jc w:val="both"/>
      </w:pPr>
      <w:r>
        <w:rPr/>
        <w:t>Aken’ova </w:t>
      </w:r>
      <w:r>
        <w:rPr>
          <w:i/>
        </w:rPr>
        <w:t>et al</w:t>
      </w:r>
      <w:r>
        <w:rPr/>
        <w:t>,</w:t>
      </w:r>
      <w:r>
        <w:rPr>
          <w:spacing w:val="1"/>
        </w:rPr>
        <w:t> </w:t>
      </w:r>
      <w:r>
        <w:rPr/>
        <w:t>(1998) in Ibadan,</w:t>
      </w:r>
      <w:r>
        <w:rPr>
          <w:spacing w:val="1"/>
        </w:rPr>
        <w:t> </w:t>
      </w:r>
      <w:r>
        <w:rPr/>
        <w:t>they found that</w:t>
      </w:r>
      <w:r>
        <w:rPr>
          <w:spacing w:val="60"/>
        </w:rPr>
        <w:t> </w:t>
      </w:r>
      <w:r>
        <w:rPr/>
        <w:t>36.1% of sickle cell anaemia patients with</w:t>
      </w:r>
      <w:r>
        <w:rPr>
          <w:spacing w:val="1"/>
        </w:rPr>
        <w:t> </w:t>
      </w:r>
      <w:r>
        <w:rPr/>
        <w:t>fever had septicaemia. The present study showed a lower percentage of 20%, this could possibly</w:t>
      </w:r>
      <w:r>
        <w:rPr>
          <w:spacing w:val="1"/>
        </w:rPr>
        <w:t> </w:t>
      </w:r>
      <w:r>
        <w:rPr/>
        <w:t>be due to the fact that the variants of SCD in Lagos (Nigeria) vary from that in this study as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Akinyanju,</w:t>
      </w:r>
      <w:r>
        <w:rPr>
          <w:spacing w:val="1"/>
        </w:rPr>
        <w:t> </w:t>
      </w:r>
      <w:r>
        <w:rPr/>
        <w:t>(1989).</w:t>
      </w:r>
      <w:r>
        <w:rPr>
          <w:spacing w:val="1"/>
        </w:rPr>
        <w:t> </w:t>
      </w:r>
      <w:r>
        <w:rPr/>
        <w:t>Juwah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2003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Enugu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occurrence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septicaemia in 66.7% of sickle cell patients; showing a variability in frequency of occurrence of</w:t>
      </w:r>
      <w:r>
        <w:rPr>
          <w:spacing w:val="1"/>
        </w:rPr>
        <w:t> </w:t>
      </w:r>
      <w:r>
        <w:rPr/>
        <w:t>septicaemia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Nigeria.</w:t>
      </w:r>
    </w:p>
    <w:p>
      <w:pPr>
        <w:pStyle w:val="BodyText"/>
        <w:spacing w:line="360" w:lineRule="auto" w:before="199"/>
        <w:ind w:left="820" w:right="1438"/>
        <w:jc w:val="both"/>
      </w:pPr>
      <w:r>
        <w:rPr/>
        <w:t>Urinary tract infections (UTIs) are a significant cause of morbidity in childhood and individuals</w:t>
      </w:r>
      <w:r>
        <w:rPr>
          <w:spacing w:val="1"/>
        </w:rPr>
        <w:t> </w:t>
      </w:r>
      <w:r>
        <w:rPr/>
        <w:t>with sickle cell disease have been observed to be at increased risk (Brown </w:t>
      </w:r>
      <w:r>
        <w:rPr>
          <w:i/>
        </w:rPr>
        <w:t>et al</w:t>
      </w:r>
      <w:r>
        <w:rPr/>
        <w:t>., 2002). The</w:t>
      </w:r>
      <w:r>
        <w:rPr>
          <w:spacing w:val="1"/>
        </w:rPr>
        <w:t> </w:t>
      </w:r>
      <w:r>
        <w:rPr/>
        <w:t>present study showed that 30% of the patients had history of UTIs; this was close to results</w:t>
      </w:r>
      <w:r>
        <w:rPr>
          <w:spacing w:val="1"/>
        </w:rPr>
        <w:t> </w:t>
      </w:r>
      <w:r>
        <w:rPr/>
        <w:t>obtained in a study among sickle cell patients in University of Maiduguri Teaching Hospital</w:t>
      </w:r>
      <w:r>
        <w:rPr>
          <w:spacing w:val="1"/>
        </w:rPr>
        <w:t> </w:t>
      </w:r>
      <w:r>
        <w:rPr/>
        <w:t>which showed that urinary tract infections had a prevalence of 26% (Mava </w:t>
      </w:r>
      <w:r>
        <w:rPr>
          <w:i/>
        </w:rPr>
        <w:t>et al</w:t>
      </w:r>
      <w:r>
        <w:rPr/>
        <w:t>., 2012). A lower</w:t>
      </w:r>
      <w:r>
        <w:rPr>
          <w:spacing w:val="1"/>
        </w:rPr>
        <w:t> </w:t>
      </w:r>
      <w:r>
        <w:rPr/>
        <w:t>percentage of</w:t>
      </w:r>
      <w:r>
        <w:rPr>
          <w:spacing w:val="-6"/>
        </w:rPr>
        <w:t> </w:t>
      </w:r>
      <w:r>
        <w:rPr/>
        <w:t>22.2%</w:t>
      </w:r>
      <w:r>
        <w:rPr>
          <w:spacing w:val="4"/>
        </w:rPr>
        <w:t> </w:t>
      </w:r>
      <w:r>
        <w:rPr/>
        <w:t>was</w:t>
      </w:r>
      <w:r>
        <w:rPr>
          <w:spacing w:val="-1"/>
        </w:rPr>
        <w:t> </w:t>
      </w:r>
      <w:r>
        <w:rPr/>
        <w:t>reported</w:t>
      </w:r>
      <w:r>
        <w:rPr>
          <w:spacing w:val="2"/>
        </w:rPr>
        <w:t> </w:t>
      </w:r>
      <w:r>
        <w:rPr/>
        <w:t>by</w:t>
      </w:r>
      <w:r>
        <w:rPr>
          <w:spacing w:val="-8"/>
        </w:rPr>
        <w:t> </w:t>
      </w:r>
      <w:r>
        <w:rPr/>
        <w:t>Juwah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 (2003)</w:t>
      </w:r>
      <w:r>
        <w:rPr>
          <w:spacing w:val="2"/>
        </w:rPr>
        <w:t> </w:t>
      </w:r>
      <w:r>
        <w:rPr/>
        <w:t>in</w:t>
      </w:r>
      <w:r>
        <w:rPr>
          <w:spacing w:val="-3"/>
        </w:rPr>
        <w:t> </w:t>
      </w:r>
      <w:r>
        <w:rPr/>
        <w:t>Enugu.</w:t>
      </w:r>
    </w:p>
    <w:p>
      <w:pPr>
        <w:pStyle w:val="BodyText"/>
        <w:spacing w:line="360" w:lineRule="auto" w:before="199"/>
        <w:ind w:left="820" w:right="1437"/>
        <w:jc w:val="both"/>
      </w:pPr>
      <w:r>
        <w:rPr/>
        <w:t>Because of the short lifespan of the sickle red blood cells, the body is often unable to replace red</w:t>
      </w:r>
      <w:r>
        <w:rPr>
          <w:spacing w:val="1"/>
        </w:rPr>
        <w:t> </w:t>
      </w:r>
      <w:r>
        <w:rPr/>
        <w:t>blood cells as quickly as they are destroyed (haemolytic anaemia). Episodes of severe anaemia in</w:t>
      </w:r>
      <w:r>
        <w:rPr>
          <w:spacing w:val="-57"/>
        </w:rPr>
        <w:t> </w:t>
      </w:r>
      <w:r>
        <w:rPr/>
        <w:t>sickle cell anaemia patients are</w:t>
      </w:r>
      <w:r>
        <w:rPr>
          <w:spacing w:val="1"/>
        </w:rPr>
        <w:t> </w:t>
      </w:r>
      <w:r>
        <w:rPr/>
        <w:t>major causes of morbidity and</w:t>
      </w:r>
      <w:r>
        <w:rPr>
          <w:spacing w:val="1"/>
        </w:rPr>
        <w:t> </w:t>
      </w:r>
      <w:r>
        <w:rPr/>
        <w:t>mortality (Juwah </w:t>
      </w:r>
      <w:r>
        <w:rPr>
          <w:i/>
        </w:rPr>
        <w:t>et al</w:t>
      </w:r>
      <w:r>
        <w:rPr/>
        <w:t>.,</w:t>
      </w:r>
      <w:r>
        <w:rPr>
          <w:spacing w:val="60"/>
        </w:rPr>
        <w:t> </w:t>
      </w:r>
      <w:r>
        <w:rPr/>
        <w:t>2003).</w:t>
      </w:r>
      <w:r>
        <w:rPr>
          <w:spacing w:val="1"/>
        </w:rPr>
        <w:t> </w:t>
      </w:r>
      <w:r>
        <w:rPr/>
        <w:t>The anaemia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haemolytic,</w:t>
      </w:r>
      <w:r>
        <w:rPr>
          <w:spacing w:val="1"/>
        </w:rPr>
        <w:t> </w:t>
      </w:r>
      <w:r>
        <w:rPr/>
        <w:t>due to</w:t>
      </w:r>
      <w:r>
        <w:rPr>
          <w:spacing w:val="1"/>
        </w:rPr>
        <w:t> </w:t>
      </w:r>
      <w:r>
        <w:rPr/>
        <w:t>splenic</w:t>
      </w:r>
      <w:r>
        <w:rPr>
          <w:spacing w:val="1"/>
        </w:rPr>
        <w:t> </w:t>
      </w:r>
      <w:r>
        <w:rPr/>
        <w:t>sequestration,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aplastic anaemia</w:t>
      </w:r>
      <w:r>
        <w:rPr>
          <w:spacing w:val="1"/>
        </w:rPr>
        <w:t> </w:t>
      </w:r>
      <w:r>
        <w:rPr/>
        <w:t>(often</w:t>
      </w:r>
      <w:r>
        <w:rPr>
          <w:spacing w:val="1"/>
        </w:rPr>
        <w:t> </w:t>
      </w:r>
      <w:r>
        <w:rPr/>
        <w:t>triggered by a virus called human parvovirus B19). 23% of the sickle cell patients in the study</w:t>
      </w:r>
      <w:r>
        <w:rPr>
          <w:spacing w:val="1"/>
        </w:rPr>
        <w:t> </w:t>
      </w:r>
      <w:r>
        <w:rPr/>
        <w:t>had anaemia.</w:t>
      </w:r>
      <w:r>
        <w:rPr>
          <w:spacing w:val="3"/>
        </w:rPr>
        <w:t> </w:t>
      </w:r>
      <w:r>
        <w:rPr/>
        <w:t>The</w:t>
      </w:r>
      <w:r>
        <w:rPr>
          <w:spacing w:val="-1"/>
        </w:rPr>
        <w:t> </w:t>
      </w:r>
      <w:r>
        <w:rPr/>
        <w:t>specific cause of</w:t>
      </w:r>
      <w:r>
        <w:rPr>
          <w:spacing w:val="-8"/>
        </w:rPr>
        <w:t> </w:t>
      </w:r>
      <w:r>
        <w:rPr/>
        <w:t>anaemia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these</w:t>
      </w:r>
      <w:r>
        <w:rPr>
          <w:spacing w:val="-1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not determined.</w:t>
      </w:r>
    </w:p>
    <w:p>
      <w:pPr>
        <w:pStyle w:val="BodyText"/>
        <w:spacing w:line="360" w:lineRule="auto" w:before="200"/>
        <w:ind w:left="820" w:right="1436"/>
        <w:jc w:val="both"/>
      </w:pPr>
      <w:r>
        <w:rPr/>
        <w:t>An incidence of 29%</w:t>
      </w:r>
      <w:r>
        <w:rPr>
          <w:spacing w:val="1"/>
        </w:rPr>
        <w:t> </w:t>
      </w:r>
      <w:r>
        <w:rPr/>
        <w:t>of sickle</w:t>
      </w:r>
      <w:r>
        <w:rPr>
          <w:spacing w:val="1"/>
        </w:rPr>
        <w:t> </w:t>
      </w:r>
      <w:r>
        <w:rPr/>
        <w:t>cell patients with acute chest</w:t>
      </w:r>
      <w:r>
        <w:rPr>
          <w:spacing w:val="1"/>
        </w:rPr>
        <w:t> </w:t>
      </w:r>
      <w:r>
        <w:rPr/>
        <w:t>syndrome (ACS)</w:t>
      </w:r>
      <w:r>
        <w:rPr>
          <w:spacing w:val="60"/>
        </w:rPr>
        <w:t> </w:t>
      </w:r>
      <w:r>
        <w:rPr/>
        <w:t>was reported by</w:t>
      </w:r>
      <w:r>
        <w:rPr>
          <w:spacing w:val="1"/>
        </w:rPr>
        <w:t> </w:t>
      </w:r>
      <w:r>
        <w:rPr/>
        <w:t>the Cooperative Study of Sickle Cell Disease (CSSD) in America (Gladwin </w:t>
      </w:r>
      <w:r>
        <w:rPr>
          <w:i/>
        </w:rPr>
        <w:t>et al</w:t>
      </w:r>
      <w:r>
        <w:rPr/>
        <w:t>., 1999). 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17%</w:t>
      </w:r>
      <w:r>
        <w:rPr>
          <w:spacing w:val="1"/>
        </w:rPr>
        <w:t> </w:t>
      </w:r>
      <w:r>
        <w:rPr/>
        <w:t>incidence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ACS.</w:t>
      </w:r>
      <w:r>
        <w:rPr>
          <w:spacing w:val="1"/>
        </w:rPr>
        <w:t> </w:t>
      </w:r>
      <w:r>
        <w:rPr/>
        <w:t>ACS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complication of sickle cell anaemia, accounting for 25% of premature deaths (Gladwin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1999). Although anecdotal series on ACS are available, there are no firm data on its incidence in</w:t>
      </w:r>
      <w:r>
        <w:rPr>
          <w:spacing w:val="1"/>
        </w:rPr>
        <w:t> </w:t>
      </w:r>
      <w:r>
        <w:rPr/>
        <w:t>Nigeria. It was present in 6% of adolescents and adults in a study conducted in Lagos, Nigeria</w:t>
      </w:r>
      <w:r>
        <w:rPr>
          <w:spacing w:val="1"/>
        </w:rPr>
        <w:t> </w:t>
      </w:r>
      <w:r>
        <w:rPr/>
        <w:t>(Fawibe,</w:t>
      </w:r>
      <w:r>
        <w:rPr>
          <w:spacing w:val="3"/>
        </w:rPr>
        <w:t> </w:t>
      </w:r>
      <w:r>
        <w:rPr/>
        <w:t>2008).</w:t>
      </w:r>
    </w:p>
    <w:p>
      <w:pPr>
        <w:pStyle w:val="BodyText"/>
        <w:spacing w:line="360" w:lineRule="auto" w:before="203"/>
        <w:ind w:left="820" w:right="1440"/>
        <w:jc w:val="both"/>
      </w:pPr>
      <w:r>
        <w:rPr/>
        <w:t>Fourteen percent of sickle cell patients in ABUTH presented with haematuria.</w:t>
      </w:r>
      <w:r>
        <w:rPr>
          <w:spacing w:val="1"/>
        </w:rPr>
        <w:t> </w:t>
      </w:r>
      <w:r>
        <w:rPr/>
        <w:t>Patients with</w:t>
      </w:r>
      <w:r>
        <w:rPr>
          <w:spacing w:val="1"/>
        </w:rPr>
        <w:t> </w:t>
      </w:r>
      <w:r>
        <w:rPr/>
        <w:t>sickle cell anaemia are well known to show evidence of microscopic haematuria, but severe</w:t>
      </w:r>
      <w:r>
        <w:rPr>
          <w:spacing w:val="1"/>
        </w:rPr>
        <w:t> </w:t>
      </w:r>
      <w:r>
        <w:rPr/>
        <w:t>persistent haematuria is a rare complication (Davies </w:t>
      </w:r>
      <w:r>
        <w:rPr>
          <w:i/>
        </w:rPr>
        <w:t>et al</w:t>
      </w:r>
      <w:r>
        <w:rPr/>
        <w:t>., 2010). According to Abdu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(2011),</w:t>
      </w:r>
      <w:r>
        <w:rPr>
          <w:spacing w:val="17"/>
        </w:rPr>
        <w:t> </w:t>
      </w:r>
      <w:r>
        <w:rPr/>
        <w:t>haematuria</w:t>
      </w:r>
      <w:r>
        <w:rPr>
          <w:spacing w:val="13"/>
        </w:rPr>
        <w:t> </w:t>
      </w:r>
      <w:r>
        <w:rPr/>
        <w:t>occurs</w:t>
      </w:r>
      <w:r>
        <w:rPr>
          <w:spacing w:val="17"/>
        </w:rPr>
        <w:t> </w:t>
      </w:r>
      <w:r>
        <w:rPr/>
        <w:t>in</w:t>
      </w:r>
      <w:r>
        <w:rPr>
          <w:spacing w:val="20"/>
        </w:rPr>
        <w:t> </w:t>
      </w:r>
      <w:r>
        <w:rPr/>
        <w:t>about</w:t>
      </w:r>
      <w:r>
        <w:rPr>
          <w:spacing w:val="19"/>
        </w:rPr>
        <w:t> </w:t>
      </w:r>
      <w:r>
        <w:rPr/>
        <w:t>27%</w:t>
      </w:r>
      <w:r>
        <w:rPr>
          <w:spacing w:val="11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13"/>
        </w:rPr>
        <w:t> </w:t>
      </w:r>
      <w:r>
        <w:rPr/>
        <w:t>SCD</w:t>
      </w:r>
      <w:r>
        <w:rPr>
          <w:spacing w:val="14"/>
        </w:rPr>
        <w:t> </w:t>
      </w:r>
      <w:r>
        <w:rPr/>
        <w:t>patients</w:t>
      </w:r>
      <w:r>
        <w:rPr>
          <w:spacing w:val="18"/>
        </w:rPr>
        <w:t> </w:t>
      </w:r>
      <w:r>
        <w:rPr/>
        <w:t>in</w:t>
      </w:r>
      <w:r>
        <w:rPr>
          <w:spacing w:val="14"/>
        </w:rPr>
        <w:t> </w:t>
      </w:r>
      <w:r>
        <w:rPr/>
        <w:t>Nigeria;</w:t>
      </w:r>
      <w:r>
        <w:rPr>
          <w:spacing w:val="15"/>
        </w:rPr>
        <w:t> </w:t>
      </w:r>
      <w:r>
        <w:rPr/>
        <w:t>however,</w:t>
      </w:r>
      <w:r>
        <w:rPr>
          <w:spacing w:val="17"/>
        </w:rPr>
        <w:t> </w:t>
      </w:r>
      <w:r>
        <w:rPr/>
        <w:t>Ugwu</w:t>
      </w:r>
      <w:r>
        <w:rPr>
          <w:spacing w:val="27"/>
        </w:rPr>
        <w:t> </w:t>
      </w:r>
      <w:r>
        <w:rPr>
          <w:i/>
        </w:rPr>
        <w:t>et</w:t>
      </w:r>
      <w:r>
        <w:rPr>
          <w:i/>
          <w:spacing w:val="15"/>
        </w:rPr>
        <w:t> </w:t>
      </w:r>
      <w:r>
        <w:rPr>
          <w:i/>
        </w:rPr>
        <w:t>al</w:t>
      </w:r>
      <w:r>
        <w:rPr/>
        <w:t>.,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55" w:lineRule="auto" w:before="72"/>
        <w:ind w:left="820" w:right="1445"/>
        <w:jc w:val="both"/>
      </w:pPr>
      <w:r>
        <w:rPr/>
        <w:t>(2007) reported 11% haematuria in sickle cell children in Port Harcourt; showing vast variability</w:t>
      </w:r>
      <w:r>
        <w:rPr>
          <w:spacing w:val="-57"/>
        </w:rPr>
        <w:t> </w:t>
      </w:r>
      <w:r>
        <w:rPr/>
        <w:t>of</w:t>
      </w:r>
      <w:r>
        <w:rPr>
          <w:spacing w:val="-7"/>
        </w:rPr>
        <w:t> </w:t>
      </w:r>
      <w:r>
        <w:rPr/>
        <w:t>presentations of</w:t>
      </w:r>
      <w:r>
        <w:rPr>
          <w:spacing w:val="-6"/>
        </w:rPr>
        <w:t> </w:t>
      </w:r>
      <w:r>
        <w:rPr/>
        <w:t>SCD</w:t>
      </w:r>
      <w:r>
        <w:rPr>
          <w:spacing w:val="2"/>
        </w:rPr>
        <w:t> </w:t>
      </w:r>
      <w:r>
        <w:rPr/>
        <w:t>even</w:t>
      </w:r>
      <w:r>
        <w:rPr>
          <w:spacing w:val="-3"/>
        </w:rPr>
        <w:t> </w:t>
      </w:r>
      <w:r>
        <w:rPr/>
        <w:t>within</w:t>
      </w:r>
      <w:r>
        <w:rPr>
          <w:spacing w:val="-3"/>
        </w:rPr>
        <w:t> </w:t>
      </w:r>
      <w:r>
        <w:rPr/>
        <w:t>the same</w:t>
      </w:r>
      <w:r>
        <w:rPr>
          <w:spacing w:val="1"/>
        </w:rPr>
        <w:t> </w:t>
      </w:r>
      <w:r>
        <w:rPr/>
        <w:t>country.</w:t>
      </w:r>
    </w:p>
    <w:p>
      <w:pPr>
        <w:pStyle w:val="BodyText"/>
        <w:spacing w:line="360" w:lineRule="auto" w:before="210"/>
        <w:ind w:left="820" w:right="1439"/>
        <w:jc w:val="both"/>
      </w:pPr>
      <w:r>
        <w:rPr/>
        <w:t>Although often detected clinically, sickle cell gnathopathy can be evaluated radiographically</w:t>
      </w:r>
      <w:r>
        <w:rPr>
          <w:spacing w:val="1"/>
        </w:rPr>
        <w:t> </w:t>
      </w:r>
      <w:r>
        <w:rPr/>
        <w:t>simply and accurately by measurement of the palate-alveolar ridge angle. In the present study,</w:t>
      </w:r>
      <w:r>
        <w:rPr>
          <w:spacing w:val="1"/>
        </w:rPr>
        <w:t> </w:t>
      </w:r>
      <w:r>
        <w:rPr/>
        <w:t>10%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clinically</w:t>
      </w:r>
      <w:r>
        <w:rPr>
          <w:spacing w:val="1"/>
        </w:rPr>
        <w:t> </w:t>
      </w:r>
      <w:r>
        <w:rPr/>
        <w:t>detectable</w:t>
      </w:r>
      <w:r>
        <w:rPr>
          <w:spacing w:val="1"/>
        </w:rPr>
        <w:t> </w:t>
      </w:r>
      <w:r>
        <w:rPr/>
        <w:t>gnathopathy.</w:t>
      </w:r>
      <w:r>
        <w:rPr>
          <w:spacing w:val="1"/>
        </w:rPr>
        <w:t> </w:t>
      </w:r>
      <w:r>
        <w:rPr/>
        <w:t>Afolayan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Jolayemi</w:t>
      </w:r>
      <w:r>
        <w:rPr>
          <w:spacing w:val="60"/>
        </w:rPr>
        <w:t> </w:t>
      </w:r>
      <w:r>
        <w:rPr/>
        <w:t>(2011)</w:t>
      </w:r>
      <w:r>
        <w:rPr>
          <w:spacing w:val="1"/>
        </w:rPr>
        <w:t> </w:t>
      </w:r>
      <w:r>
        <w:rPr/>
        <w:t>reported gnathopathy among sickle cell patients in Ilorin, Kwara State, Nigeria. However, they</w:t>
      </w:r>
      <w:r>
        <w:rPr>
          <w:spacing w:val="1"/>
        </w:rPr>
        <w:t> </w:t>
      </w:r>
      <w:r>
        <w:rPr/>
        <w:t>did not state the frequency of occurrence. Oredugba and Savage (2004) in a cross sectional</w:t>
      </w:r>
      <w:r>
        <w:rPr>
          <w:spacing w:val="1"/>
        </w:rPr>
        <w:t> </w:t>
      </w:r>
      <w:r>
        <w:rPr/>
        <w:t>hospital based study in Lagos found that some sickle cell patients presented with low weight, low</w:t>
      </w:r>
      <w:r>
        <w:rPr>
          <w:spacing w:val="-58"/>
        </w:rPr>
        <w:t> </w:t>
      </w:r>
      <w:r>
        <w:rPr/>
        <w:t>height-for-age, gnathopathy, frontal bossing and reduced skin fold thickness. Chijioke and Kolo</w:t>
      </w:r>
      <w:r>
        <w:rPr>
          <w:spacing w:val="1"/>
        </w:rPr>
        <w:t> </w:t>
      </w:r>
      <w:r>
        <w:rPr/>
        <w:t>(2009) also</w:t>
      </w:r>
      <w:r>
        <w:rPr>
          <w:spacing w:val="60"/>
        </w:rPr>
        <w:t> </w:t>
      </w:r>
      <w:r>
        <w:rPr/>
        <w:t>in a study on sickle cell patients in Lagos reported bossing of skull bone being</w:t>
      </w:r>
      <w:r>
        <w:rPr>
          <w:spacing w:val="1"/>
        </w:rPr>
        <w:t> </w:t>
      </w:r>
      <w:r>
        <w:rPr/>
        <w:t>present in 6% of cases. About 3% of sickle cell disease patients in this study had frontal bossing</w:t>
      </w:r>
      <w:r>
        <w:rPr>
          <w:spacing w:val="1"/>
        </w:rPr>
        <w:t> </w:t>
      </w:r>
      <w:r>
        <w:rPr/>
        <w:t>which is</w:t>
      </w:r>
      <w:r>
        <w:rPr>
          <w:spacing w:val="4"/>
        </w:rPr>
        <w:t> </w:t>
      </w:r>
      <w:r>
        <w:rPr/>
        <w:t>lower</w:t>
      </w:r>
      <w:r>
        <w:rPr>
          <w:spacing w:val="2"/>
        </w:rPr>
        <w:t> </w:t>
      </w:r>
      <w:r>
        <w:rPr/>
        <w:t>than</w:t>
      </w:r>
      <w:r>
        <w:rPr>
          <w:spacing w:val="-4"/>
        </w:rPr>
        <w:t> </w:t>
      </w:r>
      <w:r>
        <w:rPr/>
        <w:t>that</w:t>
      </w:r>
      <w:r>
        <w:rPr>
          <w:spacing w:val="6"/>
        </w:rPr>
        <w:t> </w:t>
      </w:r>
      <w:r>
        <w:rPr/>
        <w:t>reported</w:t>
      </w:r>
      <w:r>
        <w:rPr>
          <w:spacing w:val="1"/>
        </w:rPr>
        <w:t> </w:t>
      </w:r>
      <w:r>
        <w:rPr/>
        <w:t>by</w:t>
      </w:r>
      <w:r>
        <w:rPr>
          <w:spacing w:val="-9"/>
        </w:rPr>
        <w:t> </w:t>
      </w:r>
      <w:r>
        <w:rPr/>
        <w:t>Chijioke and</w:t>
      </w:r>
      <w:r>
        <w:rPr>
          <w:spacing w:val="6"/>
        </w:rPr>
        <w:t> </w:t>
      </w:r>
      <w:r>
        <w:rPr/>
        <w:t>Kolo</w:t>
      </w:r>
      <w:r>
        <w:rPr>
          <w:spacing w:val="6"/>
        </w:rPr>
        <w:t> </w:t>
      </w:r>
      <w:r>
        <w:rPr/>
        <w:t>(2009)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Lagos.</w:t>
      </w:r>
    </w:p>
    <w:p>
      <w:pPr>
        <w:pStyle w:val="BodyText"/>
        <w:spacing w:line="360" w:lineRule="auto" w:before="199"/>
        <w:ind w:left="820" w:right="1435"/>
        <w:jc w:val="both"/>
      </w:pPr>
      <w:r>
        <w:rPr/>
        <w:t>A variation in occurrence of jaundice exists. Ibidapo and Akinyanju, (2000) reported that 71% of</w:t>
      </w:r>
      <w:r>
        <w:rPr>
          <w:spacing w:val="-57"/>
        </w:rPr>
        <w:t> </w:t>
      </w:r>
      <w:r>
        <w:rPr/>
        <w:t>adolescents and adults with sickle cell anaemia who presented to the emergency unit of a Lagos</w:t>
      </w:r>
      <w:r>
        <w:rPr>
          <w:spacing w:val="1"/>
        </w:rPr>
        <w:t> </w:t>
      </w:r>
      <w:r>
        <w:rPr/>
        <w:t>hospital had jaundice. This value was significantly greater than that reported by Chijioke and</w:t>
      </w:r>
      <w:r>
        <w:rPr>
          <w:spacing w:val="1"/>
        </w:rPr>
        <w:t> </w:t>
      </w:r>
      <w:r>
        <w:rPr/>
        <w:t>Kolo (2009) who also</w:t>
      </w:r>
      <w:r>
        <w:rPr>
          <w:spacing w:val="1"/>
        </w:rPr>
        <w:t> </w:t>
      </w:r>
      <w:r>
        <w:rPr/>
        <w:t>in a study in Lagos found that 56% of sickle cell patients had</w:t>
      </w:r>
      <w:r>
        <w:rPr>
          <w:spacing w:val="60"/>
        </w:rPr>
        <w:t> </w:t>
      </w:r>
      <w:r>
        <w:rPr/>
        <w:t>jaundice.</w:t>
      </w:r>
      <w:r>
        <w:rPr>
          <w:spacing w:val="1"/>
        </w:rPr>
        <w:t> </w:t>
      </w:r>
      <w:r>
        <w:rPr/>
        <w:t>The present study found that 46% of sickle cell patients had jaundice. Differential diagnosis of</w:t>
      </w:r>
      <w:r>
        <w:rPr>
          <w:spacing w:val="1"/>
        </w:rPr>
        <w:t> </w:t>
      </w:r>
      <w:r>
        <w:rPr/>
        <w:t>severe</w:t>
      </w:r>
      <w:r>
        <w:rPr>
          <w:spacing w:val="15"/>
        </w:rPr>
        <w:t> </w:t>
      </w:r>
      <w:r>
        <w:rPr/>
        <w:t>jaundice</w:t>
      </w:r>
      <w:r>
        <w:rPr>
          <w:spacing w:val="15"/>
        </w:rPr>
        <w:t> </w:t>
      </w:r>
      <w:r>
        <w:rPr/>
        <w:t>in</w:t>
      </w:r>
      <w:r>
        <w:rPr>
          <w:spacing w:val="7"/>
        </w:rPr>
        <w:t> </w:t>
      </w:r>
      <w:r>
        <w:rPr/>
        <w:t>SCD</w:t>
      </w:r>
      <w:r>
        <w:rPr>
          <w:spacing w:val="16"/>
        </w:rPr>
        <w:t> </w:t>
      </w:r>
      <w:r>
        <w:rPr/>
        <w:t>is</w:t>
      </w:r>
      <w:r>
        <w:rPr>
          <w:spacing w:val="10"/>
        </w:rPr>
        <w:t> </w:t>
      </w:r>
      <w:r>
        <w:rPr/>
        <w:t>not</w:t>
      </w:r>
      <w:r>
        <w:rPr>
          <w:spacing w:val="16"/>
        </w:rPr>
        <w:t> </w:t>
      </w:r>
      <w:r>
        <w:rPr/>
        <w:t>always</w:t>
      </w:r>
      <w:r>
        <w:rPr>
          <w:spacing w:val="9"/>
        </w:rPr>
        <w:t> </w:t>
      </w:r>
      <w:r>
        <w:rPr/>
        <w:t>easy.</w:t>
      </w:r>
      <w:r>
        <w:rPr>
          <w:spacing w:val="14"/>
        </w:rPr>
        <w:t> </w:t>
      </w:r>
      <w:r>
        <w:rPr/>
        <w:t>A</w:t>
      </w:r>
      <w:r>
        <w:rPr>
          <w:spacing w:val="7"/>
        </w:rPr>
        <w:t> </w:t>
      </w:r>
      <w:r>
        <w:rPr/>
        <w:t>gradual</w:t>
      </w:r>
      <w:r>
        <w:rPr>
          <w:spacing w:val="3"/>
        </w:rPr>
        <w:t> </w:t>
      </w:r>
      <w:r>
        <w:rPr/>
        <w:t>or</w:t>
      </w:r>
      <w:r>
        <w:rPr>
          <w:spacing w:val="13"/>
        </w:rPr>
        <w:t> </w:t>
      </w:r>
      <w:r>
        <w:rPr/>
        <w:t>sudden</w:t>
      </w:r>
      <w:r>
        <w:rPr>
          <w:spacing w:val="11"/>
        </w:rPr>
        <w:t> </w:t>
      </w:r>
      <w:r>
        <w:rPr/>
        <w:t>increase</w:t>
      </w:r>
      <w:r>
        <w:rPr>
          <w:spacing w:val="16"/>
        </w:rPr>
        <w:t> </w:t>
      </w:r>
      <w:r>
        <w:rPr/>
        <w:t>in</w:t>
      </w:r>
      <w:r>
        <w:rPr>
          <w:spacing w:val="7"/>
        </w:rPr>
        <w:t> </w:t>
      </w:r>
      <w:r>
        <w:rPr/>
        <w:t>pallor</w:t>
      </w:r>
      <w:r>
        <w:rPr>
          <w:spacing w:val="13"/>
        </w:rPr>
        <w:t> </w:t>
      </w:r>
      <w:r>
        <w:rPr/>
        <w:t>and</w:t>
      </w:r>
      <w:r>
        <w:rPr>
          <w:spacing w:val="16"/>
        </w:rPr>
        <w:t> </w:t>
      </w:r>
      <w:r>
        <w:rPr/>
        <w:t>jaundice</w:t>
      </w:r>
      <w:r>
        <w:rPr>
          <w:spacing w:val="-57"/>
        </w:rPr>
        <w:t> </w:t>
      </w:r>
      <w:r>
        <w:rPr/>
        <w:t>in</w:t>
      </w:r>
      <w:r>
        <w:rPr>
          <w:spacing w:val="-4"/>
        </w:rPr>
        <w:t> </w:t>
      </w:r>
      <w:r>
        <w:rPr/>
        <w:t>the SCD</w:t>
      </w:r>
      <w:r>
        <w:rPr>
          <w:spacing w:val="1"/>
        </w:rPr>
        <w:t> </w:t>
      </w:r>
      <w:r>
        <w:rPr/>
        <w:t>patient</w:t>
      </w:r>
      <w:r>
        <w:rPr>
          <w:spacing w:val="6"/>
        </w:rPr>
        <w:t> </w:t>
      </w:r>
      <w:r>
        <w:rPr/>
        <w:t>is</w:t>
      </w:r>
      <w:r>
        <w:rPr>
          <w:spacing w:val="5"/>
        </w:rPr>
        <w:t> </w:t>
      </w:r>
      <w:r>
        <w:rPr/>
        <w:t>indicative of</w:t>
      </w:r>
      <w:r>
        <w:rPr>
          <w:spacing w:val="-7"/>
        </w:rPr>
        <w:t> </w:t>
      </w:r>
      <w:r>
        <w:rPr/>
        <w:t>an</w:t>
      </w:r>
      <w:r>
        <w:rPr>
          <w:spacing w:val="1"/>
        </w:rPr>
        <w:t> </w:t>
      </w:r>
      <w:r>
        <w:rPr/>
        <w:t>infection</w:t>
      </w:r>
      <w:r>
        <w:rPr>
          <w:spacing w:val="-3"/>
        </w:rPr>
        <w:t> </w:t>
      </w:r>
      <w:r>
        <w:rPr/>
        <w:t>(Konotey-Ahulu,</w:t>
      </w:r>
      <w:r>
        <w:rPr>
          <w:spacing w:val="3"/>
        </w:rPr>
        <w:t> </w:t>
      </w:r>
      <w:r>
        <w:rPr/>
        <w:t>1991).</w:t>
      </w:r>
    </w:p>
    <w:p>
      <w:pPr>
        <w:pStyle w:val="BodyText"/>
        <w:spacing w:line="360" w:lineRule="auto" w:before="204"/>
        <w:ind w:left="820" w:right="1443"/>
        <w:jc w:val="both"/>
      </w:pPr>
      <w:r>
        <w:rPr/>
        <w:t>Twelve percent of patients in current study had osteomyelitis; this is similar to reports by Juwah</w:t>
      </w:r>
      <w:r>
        <w:rPr>
          <w:spacing w:val="1"/>
        </w:rPr>
        <w:t> </w:t>
      </w:r>
      <w:r>
        <w:rPr>
          <w:i/>
        </w:rPr>
        <w:t>et al</w:t>
      </w:r>
      <w:r>
        <w:rPr/>
        <w:t>., (2003) who found that 11.1% of sickle cell patients in Enugu had osteomyelitis; and the</w:t>
      </w:r>
      <w:r>
        <w:rPr>
          <w:spacing w:val="1"/>
        </w:rPr>
        <w:t> </w:t>
      </w:r>
      <w:r>
        <w:rPr/>
        <w:t>same with Almeida and Robert (2005) who found a prevalence of 12% in a French study which</w:t>
      </w:r>
      <w:r>
        <w:rPr>
          <w:spacing w:val="1"/>
        </w:rPr>
        <w:t> </w:t>
      </w:r>
      <w:r>
        <w:rPr/>
        <w:t>used SCD patients from four Parisian centres. Osteomyelitis in sickle cell disease has also been</w:t>
      </w:r>
      <w:r>
        <w:rPr>
          <w:spacing w:val="1"/>
        </w:rPr>
        <w:t> </w:t>
      </w:r>
      <w:r>
        <w:rPr/>
        <w:t>reported in association with tuberculosis (Almeida and Robert 2005). In the current study, only 1</w:t>
      </w:r>
      <w:r>
        <w:rPr>
          <w:spacing w:val="-57"/>
        </w:rPr>
        <w:t> </w:t>
      </w:r>
      <w:r>
        <w:rPr/>
        <w:t>patient</w:t>
      </w:r>
      <w:r>
        <w:rPr>
          <w:spacing w:val="6"/>
        </w:rPr>
        <w:t> </w:t>
      </w:r>
      <w:r>
        <w:rPr/>
        <w:t>(1%)</w:t>
      </w:r>
      <w:r>
        <w:rPr>
          <w:spacing w:val="2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both</w:t>
      </w:r>
      <w:r>
        <w:rPr>
          <w:spacing w:val="-4"/>
        </w:rPr>
        <w:t> </w:t>
      </w:r>
      <w:r>
        <w:rPr/>
        <w:t>tuberculosis and</w:t>
      </w:r>
      <w:r>
        <w:rPr>
          <w:spacing w:val="6"/>
        </w:rPr>
        <w:t> </w:t>
      </w:r>
      <w:r>
        <w:rPr/>
        <w:t>osteomyelitis.</w:t>
      </w:r>
    </w:p>
    <w:p>
      <w:pPr>
        <w:pStyle w:val="BodyText"/>
        <w:spacing w:line="360" w:lineRule="auto" w:before="199"/>
        <w:ind w:left="820" w:right="1438"/>
        <w:jc w:val="both"/>
      </w:pPr>
      <w:r>
        <w:rPr/>
        <w:t>Avascular</w:t>
      </w:r>
      <w:r>
        <w:rPr>
          <w:spacing w:val="1"/>
        </w:rPr>
        <w:t> </w:t>
      </w:r>
      <w:r>
        <w:rPr/>
        <w:t>necrosis (AVN)</w:t>
      </w:r>
      <w:r>
        <w:rPr>
          <w:spacing w:val="1"/>
        </w:rPr>
        <w:t> </w:t>
      </w:r>
      <w:r>
        <w:rPr/>
        <w:t>of the hip</w:t>
      </w:r>
      <w:r>
        <w:rPr>
          <w:spacing w:val="60"/>
        </w:rPr>
        <w:t> </w:t>
      </w:r>
      <w:r>
        <w:rPr/>
        <w:t>is a common cause of morbidity in sickle cell disease</w:t>
      </w:r>
      <w:r>
        <w:rPr>
          <w:spacing w:val="1"/>
        </w:rPr>
        <w:t> </w:t>
      </w:r>
      <w:r>
        <w:rPr/>
        <w:t>(SCD) (Adekile </w:t>
      </w:r>
      <w:r>
        <w:rPr>
          <w:i/>
        </w:rPr>
        <w:t>et al</w:t>
      </w:r>
      <w:r>
        <w:rPr/>
        <w:t>., 2001). A total of 26.7% of sickle cell disease patients in Kuwait were</w:t>
      </w:r>
      <w:r>
        <w:rPr>
          <w:spacing w:val="1"/>
        </w:rPr>
        <w:t> </w:t>
      </w:r>
      <w:r>
        <w:rPr/>
        <w:t>found 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AVN of the</w:t>
      </w:r>
      <w:r>
        <w:rPr>
          <w:spacing w:val="60"/>
        </w:rPr>
        <w:t> </w:t>
      </w:r>
      <w:r>
        <w:rPr/>
        <w:t>femoral head (Adekile </w:t>
      </w:r>
      <w:r>
        <w:rPr>
          <w:i/>
        </w:rPr>
        <w:t>et al</w:t>
      </w:r>
      <w:r>
        <w:rPr/>
        <w:t>., 2001). In the Guinea Savannah of</w:t>
      </w:r>
      <w:r>
        <w:rPr>
          <w:spacing w:val="1"/>
        </w:rPr>
        <w:t> </w:t>
      </w:r>
      <w:r>
        <w:rPr/>
        <w:t>Nigeria</w:t>
      </w:r>
      <w:r>
        <w:rPr>
          <w:spacing w:val="18"/>
        </w:rPr>
        <w:t> </w:t>
      </w:r>
      <w:r>
        <w:rPr/>
        <w:t>the</w:t>
      </w:r>
      <w:r>
        <w:rPr>
          <w:spacing w:val="24"/>
        </w:rPr>
        <w:t> </w:t>
      </w:r>
      <w:r>
        <w:rPr/>
        <w:t>incidence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symptoms</w:t>
      </w:r>
      <w:r>
        <w:rPr>
          <w:spacing w:val="18"/>
        </w:rPr>
        <w:t> </w:t>
      </w:r>
      <w:r>
        <w:rPr/>
        <w:t>of</w:t>
      </w:r>
      <w:r>
        <w:rPr>
          <w:spacing w:val="16"/>
        </w:rPr>
        <w:t> </w:t>
      </w:r>
      <w:r>
        <w:rPr/>
        <w:t>AVN</w:t>
      </w:r>
      <w:r>
        <w:rPr>
          <w:spacing w:val="20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23"/>
        </w:rPr>
        <w:t> </w:t>
      </w:r>
      <w:r>
        <w:rPr/>
        <w:t>femoral</w:t>
      </w:r>
      <w:r>
        <w:rPr>
          <w:spacing w:val="21"/>
        </w:rPr>
        <w:t> </w:t>
      </w:r>
      <w:r>
        <w:rPr/>
        <w:t>head</w:t>
      </w:r>
      <w:r>
        <w:rPr>
          <w:spacing w:val="19"/>
        </w:rPr>
        <w:t> </w:t>
      </w:r>
      <w:r>
        <w:rPr/>
        <w:t>among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SCD</w:t>
      </w:r>
      <w:r>
        <w:rPr>
          <w:spacing w:val="19"/>
        </w:rPr>
        <w:t> </w:t>
      </w:r>
      <w:r>
        <w:rPr/>
        <w:t>population</w:t>
      </w:r>
      <w:r>
        <w:rPr>
          <w:spacing w:val="20"/>
        </w:rPr>
        <w:t> </w:t>
      </w:r>
      <w:r>
        <w:rPr/>
        <w:t>is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60" w:lineRule="auto" w:before="72"/>
        <w:ind w:left="820" w:right="1434"/>
        <w:jc w:val="both"/>
      </w:pPr>
      <w:r>
        <w:rPr/>
        <w:t>about 3% (Iwegbu and Fleming 1985). In Ile-Ife, Nigeria, Akinyoola </w:t>
      </w:r>
      <w:r>
        <w:rPr>
          <w:i/>
        </w:rPr>
        <w:t>et al</w:t>
      </w:r>
      <w:r>
        <w:rPr/>
        <w:t>., (2007) reported a</w:t>
      </w:r>
      <w:r>
        <w:rPr>
          <w:spacing w:val="1"/>
        </w:rPr>
        <w:t> </w:t>
      </w:r>
      <w:r>
        <w:rPr/>
        <w:t>15.6%</w:t>
      </w:r>
      <w:r>
        <w:rPr>
          <w:spacing w:val="1"/>
        </w:rPr>
        <w:t> </w:t>
      </w:r>
      <w:r>
        <w:rPr/>
        <w:t>incidence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AVN</w:t>
      </w:r>
      <w:r>
        <w:rPr>
          <w:spacing w:val="1"/>
        </w:rPr>
        <w:t> </w:t>
      </w:r>
      <w:r>
        <w:rPr/>
        <w:t>femoral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SCD</w:t>
      </w:r>
      <w:r>
        <w:rPr>
          <w:spacing w:val="1"/>
        </w:rPr>
        <w:t> </w:t>
      </w:r>
      <w:r>
        <w:rPr/>
        <w:t>patients.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10%</w:t>
      </w:r>
      <w:r>
        <w:rPr>
          <w:spacing w:val="1"/>
        </w:rPr>
        <w:t> </w:t>
      </w:r>
      <w:r>
        <w:rPr/>
        <w:t>occurrence of AVN in the femoral head of patients in ABUTH Shika, Zaria and a 3% occurrence</w:t>
      </w:r>
      <w:r>
        <w:rPr>
          <w:spacing w:val="-57"/>
        </w:rPr>
        <w:t> </w:t>
      </w:r>
      <w:r>
        <w:rPr/>
        <w:t>of AVN humeral head.</w:t>
      </w:r>
      <w:r>
        <w:rPr>
          <w:spacing w:val="1"/>
        </w:rPr>
        <w:t> </w:t>
      </w:r>
      <w:r>
        <w:rPr/>
        <w:t>Avascular necrosis (AVN) of femoral and</w:t>
      </w:r>
      <w:r>
        <w:rPr>
          <w:spacing w:val="60"/>
        </w:rPr>
        <w:t> </w:t>
      </w:r>
      <w:r>
        <w:rPr/>
        <w:t>humeral heads is a frequent</w:t>
      </w:r>
      <w:r>
        <w:rPr>
          <w:spacing w:val="1"/>
        </w:rPr>
        <w:t> </w:t>
      </w:r>
      <w:r>
        <w:rPr/>
        <w:t>and debilitating complication in patients with sickle cell disease (SCD), its prevalence being</w:t>
      </w:r>
      <w:r>
        <w:rPr>
          <w:spacing w:val="1"/>
        </w:rPr>
        <w:t> </w:t>
      </w:r>
      <w:r>
        <w:rPr/>
        <w:t>highest</w:t>
      </w:r>
      <w:r>
        <w:rPr>
          <w:spacing w:val="4"/>
        </w:rPr>
        <w:t> </w:t>
      </w:r>
      <w:r>
        <w:rPr/>
        <w:t>in individuals</w:t>
      </w:r>
      <w:r>
        <w:rPr>
          <w:spacing w:val="-1"/>
        </w:rPr>
        <w:t> </w:t>
      </w:r>
      <w:r>
        <w:rPr/>
        <w:t>with</w:t>
      </w:r>
      <w:r>
        <w:rPr>
          <w:spacing w:val="-5"/>
        </w:rPr>
        <w:t> </w:t>
      </w:r>
      <w:r>
        <w:rPr/>
        <w:t>SCD-Hb</w:t>
      </w:r>
      <w:r>
        <w:rPr>
          <w:spacing w:val="-5"/>
        </w:rPr>
        <w:t> </w:t>
      </w:r>
      <w:r>
        <w:rPr/>
        <w:t>SS</w:t>
      </w:r>
      <w:r>
        <w:rPr>
          <w:spacing w:val="1"/>
        </w:rPr>
        <w:t> </w:t>
      </w:r>
      <w:r>
        <w:rPr/>
        <w:t>and coincidental</w:t>
      </w:r>
      <w:r>
        <w:rPr>
          <w:spacing w:val="-9"/>
        </w:rPr>
        <w:t> </w:t>
      </w:r>
      <w:r>
        <w:rPr/>
        <w:t>α-thalassemia (Ulug </w:t>
      </w:r>
      <w:r>
        <w:rPr>
          <w:i/>
        </w:rPr>
        <w:t>et al</w:t>
      </w:r>
      <w:r>
        <w:rPr/>
        <w:t>.,</w:t>
      </w:r>
      <w:r>
        <w:rPr>
          <w:spacing w:val="-2"/>
        </w:rPr>
        <w:t> </w:t>
      </w:r>
      <w:r>
        <w:rPr/>
        <w:t>2009).</w:t>
      </w:r>
    </w:p>
    <w:p>
      <w:pPr>
        <w:pStyle w:val="BodyText"/>
        <w:spacing w:line="360" w:lineRule="auto" w:before="199"/>
        <w:ind w:left="820" w:right="1435"/>
        <w:jc w:val="both"/>
      </w:pPr>
      <w:r>
        <w:rPr/>
        <w:t>Chronic leg ulceration is the most common cutaneous manifestation of sickle cell disease. It is</w:t>
      </w:r>
      <w:r>
        <w:rPr>
          <w:spacing w:val="1"/>
        </w:rPr>
        <w:t> </w:t>
      </w:r>
      <w:r>
        <w:rPr/>
        <w:t>estimated that 8-10% of homozygous sicklers will develop leg ulceration between 10 and 50</w:t>
      </w:r>
      <w:r>
        <w:rPr>
          <w:spacing w:val="1"/>
        </w:rPr>
        <w:t> </w:t>
      </w:r>
      <w:r>
        <w:rPr/>
        <w:t>years of age, but higher rates of more than 50% have been reported (Meshikhes </w:t>
      </w:r>
      <w:r>
        <w:rPr>
          <w:i/>
        </w:rPr>
        <w:t>et al</w:t>
      </w:r>
      <w:r>
        <w:rPr/>
        <w:t>., 1998). In</w:t>
      </w:r>
      <w:r>
        <w:rPr>
          <w:spacing w:val="1"/>
        </w:rPr>
        <w:t> </w:t>
      </w:r>
      <w:r>
        <w:rPr/>
        <w:t>present study 8% of the adult sickle cell disease patients had history of leg ulcers of which 3%</w:t>
      </w:r>
      <w:r>
        <w:rPr>
          <w:spacing w:val="1"/>
        </w:rPr>
        <w:t> </w:t>
      </w:r>
      <w:r>
        <w:rPr/>
        <w:t>had to</w:t>
      </w:r>
      <w:r>
        <w:rPr>
          <w:spacing w:val="1"/>
        </w:rPr>
        <w:t> </w:t>
      </w:r>
      <w:r>
        <w:rPr/>
        <w:t>be admitted due to the severity of the</w:t>
      </w:r>
      <w:r>
        <w:rPr>
          <w:spacing w:val="1"/>
        </w:rPr>
        <w:t> </w:t>
      </w:r>
      <w:r>
        <w:rPr/>
        <w:t>leg</w:t>
      </w:r>
      <w:r>
        <w:rPr>
          <w:spacing w:val="1"/>
        </w:rPr>
        <w:t> </w:t>
      </w:r>
      <w:r>
        <w:rPr/>
        <w:t>ulcer.</w:t>
      </w:r>
      <w:r>
        <w:rPr>
          <w:spacing w:val="1"/>
        </w:rPr>
        <w:t> </w:t>
      </w:r>
      <w:r>
        <w:rPr/>
        <w:t>In a study in Benin City,</w:t>
      </w:r>
      <w:r>
        <w:rPr>
          <w:spacing w:val="1"/>
        </w:rPr>
        <w:t> </w:t>
      </w:r>
      <w:r>
        <w:rPr/>
        <w:t>Nigeria; leg</w:t>
      </w:r>
      <w:r>
        <w:rPr>
          <w:spacing w:val="1"/>
        </w:rPr>
        <w:t> </w:t>
      </w:r>
      <w:r>
        <w:rPr/>
        <w:t>ulcers</w:t>
      </w:r>
      <w:r>
        <w:rPr>
          <w:spacing w:val="11"/>
        </w:rPr>
        <w:t> </w:t>
      </w:r>
      <w:r>
        <w:rPr/>
        <w:t>were</w:t>
      </w:r>
      <w:r>
        <w:rPr>
          <w:spacing w:val="12"/>
        </w:rPr>
        <w:t> </w:t>
      </w:r>
      <w:r>
        <w:rPr/>
        <w:t>found</w:t>
      </w:r>
      <w:r>
        <w:rPr>
          <w:spacing w:val="13"/>
        </w:rPr>
        <w:t> </w:t>
      </w:r>
      <w:r>
        <w:rPr/>
        <w:t>currently</w:t>
      </w:r>
      <w:r>
        <w:rPr>
          <w:spacing w:val="9"/>
        </w:rPr>
        <w:t> </w:t>
      </w:r>
      <w:r>
        <w:rPr/>
        <w:t>in</w:t>
      </w:r>
      <w:r>
        <w:rPr>
          <w:spacing w:val="13"/>
        </w:rPr>
        <w:t> </w:t>
      </w:r>
      <w:r>
        <w:rPr/>
        <w:t>9.6%</w:t>
      </w:r>
      <w:r>
        <w:rPr>
          <w:spacing w:val="1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2"/>
        </w:rPr>
        <w:t> </w:t>
      </w:r>
      <w:r>
        <w:rPr/>
        <w:t>sickle</w:t>
      </w:r>
      <w:r>
        <w:rPr>
          <w:spacing w:val="17"/>
        </w:rPr>
        <w:t> </w:t>
      </w:r>
      <w:r>
        <w:rPr/>
        <w:t>cell</w:t>
      </w:r>
      <w:r>
        <w:rPr>
          <w:spacing w:val="10"/>
        </w:rPr>
        <w:t> </w:t>
      </w:r>
      <w:r>
        <w:rPr/>
        <w:t>disease</w:t>
      </w:r>
      <w:r>
        <w:rPr>
          <w:spacing w:val="8"/>
        </w:rPr>
        <w:t> </w:t>
      </w:r>
      <w:r>
        <w:rPr/>
        <w:t>patients,</w:t>
      </w:r>
      <w:r>
        <w:rPr>
          <w:spacing w:val="11"/>
        </w:rPr>
        <w:t> </w:t>
      </w:r>
      <w:r>
        <w:rPr/>
        <w:t>and</w:t>
      </w:r>
      <w:r>
        <w:rPr>
          <w:spacing w:val="9"/>
        </w:rPr>
        <w:t> </w:t>
      </w:r>
      <w:r>
        <w:rPr/>
        <w:t>were</w:t>
      </w:r>
      <w:r>
        <w:rPr>
          <w:spacing w:val="12"/>
        </w:rPr>
        <w:t> </w:t>
      </w:r>
      <w:r>
        <w:rPr/>
        <w:t>more</w:t>
      </w:r>
      <w:r>
        <w:rPr>
          <w:spacing w:val="8"/>
        </w:rPr>
        <w:t> </w:t>
      </w:r>
      <w:r>
        <w:rPr/>
        <w:t>prevalent</w:t>
      </w:r>
      <w:r>
        <w:rPr>
          <w:spacing w:val="-58"/>
        </w:rPr>
        <w:t> </w:t>
      </w:r>
      <w:r>
        <w:rPr/>
        <w:t>in</w:t>
      </w:r>
      <w:r>
        <w:rPr>
          <w:spacing w:val="1"/>
        </w:rPr>
        <w:t> </w:t>
      </w:r>
      <w:r>
        <w:rPr/>
        <w:t>males than females (M:F=3:1) (Bazuaye </w:t>
      </w:r>
      <w:r>
        <w:rPr>
          <w:i/>
        </w:rPr>
        <w:t>et al</w:t>
      </w:r>
      <w:r>
        <w:rPr/>
        <w:t>., 2010). The aetiology of leg ulcers in SCD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not known but is thought to be due to micro-thrombi in the small capillaries of the legs 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ischaemia.</w:t>
      </w:r>
    </w:p>
    <w:p>
      <w:pPr>
        <w:pStyle w:val="BodyText"/>
        <w:spacing w:line="360" w:lineRule="auto" w:before="201"/>
        <w:ind w:left="820" w:right="1435"/>
        <w:jc w:val="both"/>
      </w:pPr>
      <w:r>
        <w:rPr/>
        <w:t>Headache has been described as a frequent symptom in SCD that is often attributable to anaemia</w:t>
      </w:r>
      <w:r>
        <w:rPr>
          <w:spacing w:val="1"/>
        </w:rPr>
        <w:t> </w:t>
      </w:r>
      <w:r>
        <w:rPr/>
        <w:t>or cerebrovascular disease. Sources of headaches in SCD patients may include acute painful</w:t>
      </w:r>
      <w:r>
        <w:rPr>
          <w:spacing w:val="1"/>
        </w:rPr>
        <w:t> </w:t>
      </w:r>
      <w:r>
        <w:rPr/>
        <w:t>episodes involving the head, headache secondary to central nervous system involvement, and</w:t>
      </w:r>
      <w:r>
        <w:rPr>
          <w:spacing w:val="1"/>
        </w:rPr>
        <w:t> </w:t>
      </w:r>
      <w:r>
        <w:rPr/>
        <w:t>comorbid migraine or tension headache (Palermo </w:t>
      </w:r>
      <w:r>
        <w:rPr>
          <w:i/>
        </w:rPr>
        <w:t>et al</w:t>
      </w:r>
      <w:r>
        <w:rPr/>
        <w:t>., 2005). In the SCD patient, it could also</w:t>
      </w:r>
      <w:r>
        <w:rPr>
          <w:spacing w:val="1"/>
        </w:rPr>
        <w:t> </w:t>
      </w:r>
      <w:r>
        <w:rPr/>
        <w:t>be a symptom of brain infarction, one of the most severe and most common complications of</w:t>
      </w:r>
      <w:r>
        <w:rPr>
          <w:spacing w:val="1"/>
        </w:rPr>
        <w:t> </w:t>
      </w:r>
      <w:r>
        <w:rPr/>
        <w:t>sickle cell disease, affecting 25% of patients with the disease. Bone infarction occurs in the</w:t>
      </w:r>
      <w:r>
        <w:rPr>
          <w:spacing w:val="1"/>
        </w:rPr>
        <w:t> </w:t>
      </w:r>
      <w:r>
        <w:rPr/>
        <w:t>medullary cavity, and patients present with acute, focal bone pain and headache (Saito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2010). In the present study, 51% of the patients presented with headaches. Recurrent headaches</w:t>
      </w:r>
      <w:r>
        <w:rPr>
          <w:spacing w:val="1"/>
        </w:rPr>
        <w:t> </w:t>
      </w:r>
      <w:r>
        <w:rPr/>
        <w:t>are relatively frequent in adult Nigerians with sickle cell disease. In a study in SCD patients in</w:t>
      </w:r>
      <w:r>
        <w:rPr>
          <w:spacing w:val="1"/>
        </w:rPr>
        <w:t> </w:t>
      </w:r>
      <w:r>
        <w:rPr/>
        <w:t>Ilorin, a one year prevalence of 11.7% was seen among the male patients (Wahab </w:t>
      </w:r>
      <w:r>
        <w:rPr>
          <w:i/>
        </w:rPr>
        <w:t>et al</w:t>
      </w:r>
      <w:r>
        <w:rPr/>
        <w:t>., 2010).</w:t>
      </w:r>
      <w:r>
        <w:rPr>
          <w:spacing w:val="1"/>
        </w:rPr>
        <w:t> </w:t>
      </w:r>
      <w:r>
        <w:rPr/>
        <w:t>This value exceeds that</w:t>
      </w:r>
      <w:r>
        <w:rPr>
          <w:spacing w:val="60"/>
        </w:rPr>
        <w:t> </w:t>
      </w:r>
      <w:r>
        <w:rPr/>
        <w:t>in present study; perhaps this is as a result of a difference in the sex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-8"/>
        </w:rPr>
        <w:t> </w:t>
      </w:r>
      <w:r>
        <w:rPr/>
        <w:t>groups.</w:t>
      </w:r>
    </w:p>
    <w:p>
      <w:pPr>
        <w:pStyle w:val="BodyText"/>
        <w:spacing w:line="360" w:lineRule="auto" w:before="202"/>
        <w:ind w:left="820" w:right="1441"/>
        <w:jc w:val="both"/>
      </w:pPr>
      <w:r>
        <w:rPr/>
        <w:t>Central retinal artery occlusion occurs in patients with SCD and could lead to permanent loss of</w:t>
      </w:r>
      <w:r>
        <w:rPr>
          <w:spacing w:val="1"/>
        </w:rPr>
        <w:t> </w:t>
      </w:r>
      <w:r>
        <w:rPr/>
        <w:t>vision (Isoa, 2009). Ocular manifestations can be severe and sudden (Akinsola and Kehinde</w:t>
      </w:r>
      <w:r>
        <w:rPr>
          <w:spacing w:val="1"/>
        </w:rPr>
        <w:t> </w:t>
      </w:r>
      <w:r>
        <w:rPr/>
        <w:t>2004);</w:t>
      </w:r>
      <w:r>
        <w:rPr>
          <w:spacing w:val="27"/>
        </w:rPr>
        <w:t> </w:t>
      </w:r>
      <w:r>
        <w:rPr/>
        <w:t>and</w:t>
      </w:r>
      <w:r>
        <w:rPr>
          <w:spacing w:val="36"/>
        </w:rPr>
        <w:t> </w:t>
      </w:r>
      <w:r>
        <w:rPr/>
        <w:t>presence</w:t>
      </w:r>
      <w:r>
        <w:rPr>
          <w:spacing w:val="30"/>
        </w:rPr>
        <w:t> </w:t>
      </w:r>
      <w:r>
        <w:rPr/>
        <w:t>of</w:t>
      </w:r>
      <w:r>
        <w:rPr>
          <w:spacing w:val="23"/>
        </w:rPr>
        <w:t> </w:t>
      </w:r>
      <w:r>
        <w:rPr/>
        <w:t>ocular</w:t>
      </w:r>
      <w:r>
        <w:rPr>
          <w:spacing w:val="38"/>
        </w:rPr>
        <w:t> </w:t>
      </w:r>
      <w:r>
        <w:rPr/>
        <w:t>abnormalities</w:t>
      </w:r>
      <w:r>
        <w:rPr>
          <w:spacing w:val="34"/>
        </w:rPr>
        <w:t> </w:t>
      </w:r>
      <w:r>
        <w:rPr/>
        <w:t>varies</w:t>
      </w:r>
      <w:r>
        <w:rPr>
          <w:spacing w:val="38"/>
        </w:rPr>
        <w:t> </w:t>
      </w:r>
      <w:r>
        <w:rPr/>
        <w:t>in</w:t>
      </w:r>
      <w:r>
        <w:rPr>
          <w:spacing w:val="31"/>
        </w:rPr>
        <w:t> </w:t>
      </w:r>
      <w:r>
        <w:rPr/>
        <w:t>SCD</w:t>
      </w:r>
      <w:r>
        <w:rPr>
          <w:spacing w:val="36"/>
        </w:rPr>
        <w:t> </w:t>
      </w:r>
      <w:r>
        <w:rPr/>
        <w:t>patients.</w:t>
      </w:r>
      <w:r>
        <w:rPr>
          <w:spacing w:val="33"/>
        </w:rPr>
        <w:t> </w:t>
      </w:r>
      <w:r>
        <w:rPr/>
        <w:t>Majekodunmi</w:t>
      </w:r>
      <w:r>
        <w:rPr>
          <w:spacing w:val="32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60" w:lineRule="auto" w:before="72"/>
        <w:ind w:left="820" w:right="1441"/>
        <w:jc w:val="both"/>
      </w:pPr>
      <w:r>
        <w:rPr/>
        <w:t>Akinyanju (1978) reported no ocular findings among SCD patients in Nigeria. In a study carried</w:t>
      </w:r>
      <w:r>
        <w:rPr>
          <w:spacing w:val="1"/>
        </w:rPr>
        <w:t> </w:t>
      </w:r>
      <w:r>
        <w:rPr/>
        <w:t>out among adult SCD patients in Lagos University Teaching Hospital, 96% had normal vision,</w:t>
      </w:r>
      <w:r>
        <w:rPr>
          <w:spacing w:val="1"/>
        </w:rPr>
        <w:t> </w:t>
      </w:r>
      <w:r>
        <w:rPr/>
        <w:t>while 4% had impaired vision (Akinsola and Kehinde 2004). In another study in both adults and</w:t>
      </w:r>
      <w:r>
        <w:rPr>
          <w:spacing w:val="1"/>
        </w:rPr>
        <w:t> </w:t>
      </w:r>
      <w:r>
        <w:rPr/>
        <w:t>children SCD patients in Federal Capital Territory, 24% of them had SCD related posterior</w:t>
      </w:r>
      <w:r>
        <w:rPr>
          <w:spacing w:val="1"/>
        </w:rPr>
        <w:t> </w:t>
      </w:r>
      <w:r>
        <w:rPr/>
        <w:t>lesions indicative of sickle retinopathy (Babalola and Wambebe 2005). Present study found 8%</w:t>
      </w:r>
      <w:r>
        <w:rPr>
          <w:spacing w:val="1"/>
        </w:rPr>
        <w:t> </w:t>
      </w:r>
      <w:r>
        <w:rPr/>
        <w:t>of adult SCD patients presenting with ocular abnormalities which ranged from itching of the eyes</w:t>
      </w:r>
      <w:r>
        <w:rPr>
          <w:spacing w:val="-58"/>
        </w:rPr>
        <w:t> </w:t>
      </w:r>
      <w:r>
        <w:rPr/>
        <w:t>and</w:t>
      </w:r>
      <w:r>
        <w:rPr>
          <w:spacing w:val="6"/>
        </w:rPr>
        <w:t> </w:t>
      </w:r>
      <w:r>
        <w:rPr/>
        <w:t>blurred</w:t>
      </w:r>
      <w:r>
        <w:rPr>
          <w:spacing w:val="2"/>
        </w:rPr>
        <w:t> </w:t>
      </w:r>
      <w:r>
        <w:rPr/>
        <w:t>vision</w:t>
      </w:r>
      <w:r>
        <w:rPr>
          <w:spacing w:val="-4"/>
        </w:rPr>
        <w:t> </w:t>
      </w:r>
      <w:r>
        <w:rPr/>
        <w:t>to</w:t>
      </w:r>
      <w:r>
        <w:rPr>
          <w:spacing w:val="7"/>
        </w:rPr>
        <w:t> </w:t>
      </w:r>
      <w:r>
        <w:rPr/>
        <w:t>partial</w:t>
      </w:r>
      <w:r>
        <w:rPr>
          <w:spacing w:val="2"/>
        </w:rPr>
        <w:t> </w:t>
      </w:r>
      <w:r>
        <w:rPr/>
        <w:t>loss of</w:t>
      </w:r>
      <w:r>
        <w:rPr>
          <w:spacing w:val="-6"/>
        </w:rPr>
        <w:t> </w:t>
      </w:r>
      <w:r>
        <w:rPr/>
        <w:t>vision.</w:t>
      </w:r>
    </w:p>
    <w:p>
      <w:pPr>
        <w:pStyle w:val="BodyText"/>
        <w:spacing w:line="360" w:lineRule="auto" w:before="198"/>
        <w:ind w:left="820" w:right="1435"/>
        <w:jc w:val="both"/>
      </w:pPr>
      <w:r>
        <w:rPr/>
        <w:t>The incidence of priapism among patients with sickle-cell anaemia is high (35%) (Adeyoju </w:t>
      </w:r>
      <w:r>
        <w:rPr>
          <w:i/>
        </w:rPr>
        <w:t>et al</w:t>
      </w:r>
      <w:r>
        <w:rPr/>
        <w:t>.,</w:t>
      </w:r>
      <w:r>
        <w:rPr>
          <w:spacing w:val="-57"/>
        </w:rPr>
        <w:t> </w:t>
      </w:r>
      <w:r>
        <w:rPr/>
        <w:t>2002). Priapism has been found to be more common in HbSS patients than HbSC patients; with</w:t>
      </w:r>
      <w:r>
        <w:rPr>
          <w:spacing w:val="1"/>
        </w:rPr>
        <w:t> </w:t>
      </w:r>
      <w:r>
        <w:rPr/>
        <w:t>frequencies of 35-40% of adult male sickle cell disease patients being affected (Nolan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2006). This was also found to be true in current study; although, generally there were more HbSS</w:t>
      </w:r>
      <w:r>
        <w:rPr>
          <w:spacing w:val="-57"/>
        </w:rPr>
        <w:t> </w:t>
      </w:r>
      <w:r>
        <w:rPr/>
        <w:t>patients than HbSC patients among sickle cell disease patients of ABUTH Shika. 18% of the</w:t>
      </w:r>
      <w:r>
        <w:rPr>
          <w:spacing w:val="1"/>
        </w:rPr>
        <w:t> </w:t>
      </w:r>
      <w:r>
        <w:rPr/>
        <w:t>sickle</w:t>
      </w:r>
      <w:r>
        <w:rPr>
          <w:spacing w:val="-1"/>
        </w:rPr>
        <w:t> </w:t>
      </w:r>
      <w:r>
        <w:rPr/>
        <w:t>cell</w:t>
      </w:r>
      <w:r>
        <w:rPr>
          <w:spacing w:val="-3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(34%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the males)</w:t>
      </w:r>
      <w:r>
        <w:rPr>
          <w:spacing w:val="2"/>
        </w:rPr>
        <w:t> </w:t>
      </w:r>
      <w:r>
        <w:rPr/>
        <w:t>reported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an</w:t>
      </w:r>
      <w:r>
        <w:rPr>
          <w:spacing w:val="-4"/>
        </w:rPr>
        <w:t> </w:t>
      </w:r>
      <w:r>
        <w:rPr/>
        <w:t>episode of</w:t>
      </w:r>
      <w:r>
        <w:rPr>
          <w:spacing w:val="-7"/>
        </w:rPr>
        <w:t> </w:t>
      </w:r>
      <w:r>
        <w:rPr/>
        <w:t>priapism.</w:t>
      </w:r>
    </w:p>
    <w:p>
      <w:pPr>
        <w:pStyle w:val="BodyText"/>
        <w:spacing w:line="360" w:lineRule="auto" w:before="199"/>
        <w:ind w:left="820" w:right="1439"/>
        <w:jc w:val="both"/>
      </w:pPr>
      <w:r>
        <w:rPr/>
        <w:t>Multiple hepatobiliary complications occur in patients with SCD due to the increased risk of</w:t>
      </w:r>
      <w:r>
        <w:rPr>
          <w:spacing w:val="1"/>
        </w:rPr>
        <w:t> </w:t>
      </w:r>
      <w:r>
        <w:rPr/>
        <w:t>hepatic</w:t>
      </w:r>
      <w:r>
        <w:rPr>
          <w:spacing w:val="1"/>
        </w:rPr>
        <w:t> </w:t>
      </w:r>
      <w:r>
        <w:rPr/>
        <w:t>injury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sickling,</w:t>
      </w:r>
      <w:r>
        <w:rPr>
          <w:spacing w:val="1"/>
        </w:rPr>
        <w:t> </w:t>
      </w:r>
      <w:r>
        <w:rPr/>
        <w:t>cholelithiasis,</w:t>
      </w:r>
      <w:r>
        <w:rPr>
          <w:spacing w:val="1"/>
        </w:rPr>
        <w:t> </w:t>
      </w:r>
      <w:r>
        <w:rPr/>
        <w:t>choledocholithiasis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hepatic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(Meshikhes </w:t>
      </w:r>
      <w:r>
        <w:rPr>
          <w:i/>
        </w:rPr>
        <w:t>et al</w:t>
      </w:r>
      <w:r>
        <w:rPr/>
        <w:t>., 1998). Acute and transient</w:t>
      </w:r>
      <w:r>
        <w:rPr>
          <w:spacing w:val="60"/>
        </w:rPr>
        <w:t> </w:t>
      </w:r>
      <w:r>
        <w:rPr/>
        <w:t>hepatomegaly may occur during a painful crisis</w:t>
      </w:r>
      <w:r>
        <w:rPr>
          <w:spacing w:val="1"/>
        </w:rPr>
        <w:t> </w:t>
      </w:r>
      <w:r>
        <w:rPr/>
        <w:t>and may be secondary to sinusoidal dilatation by circulating sickle cells (Serjeant and Serjeant</w:t>
      </w:r>
      <w:r>
        <w:rPr>
          <w:spacing w:val="1"/>
        </w:rPr>
        <w:t> </w:t>
      </w:r>
      <w:r>
        <w:rPr/>
        <w:t>2001). In a study by Olaniyi and Abjah (2007), hepatomegaly was found to be present in 59% of</w:t>
      </w:r>
      <w:r>
        <w:rPr>
          <w:spacing w:val="1"/>
        </w:rPr>
        <w:t> </w:t>
      </w:r>
      <w:r>
        <w:rPr/>
        <w:t>SCD patients in Ibadan, Nigeria. Percentage of SCD with hepatomegaly in the current study was</w:t>
      </w:r>
      <w:r>
        <w:rPr>
          <w:spacing w:val="1"/>
        </w:rPr>
        <w:t> </w:t>
      </w:r>
      <w:r>
        <w:rPr/>
        <w:t>lower (14%), perhaps this was due to the fact that this figure was obtained from documented</w:t>
      </w:r>
      <w:r>
        <w:rPr>
          <w:spacing w:val="1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history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their</w:t>
      </w:r>
      <w:r>
        <w:rPr>
          <w:spacing w:val="8"/>
        </w:rPr>
        <w:t> </w:t>
      </w:r>
      <w:r>
        <w:rPr/>
        <w:t>folders</w:t>
      </w:r>
      <w:r>
        <w:rPr>
          <w:spacing w:val="-1"/>
        </w:rPr>
        <w:t> </w:t>
      </w:r>
      <w:r>
        <w:rPr/>
        <w:t>and</w:t>
      </w:r>
      <w:r>
        <w:rPr>
          <w:spacing w:val="6"/>
        </w:rPr>
        <w:t> </w:t>
      </w:r>
      <w:r>
        <w:rPr/>
        <w:t>not</w:t>
      </w:r>
      <w:r>
        <w:rPr>
          <w:spacing w:val="1"/>
        </w:rPr>
        <w:t> </w:t>
      </w:r>
      <w:r>
        <w:rPr/>
        <w:t>from</w:t>
      </w:r>
      <w:r>
        <w:rPr>
          <w:spacing w:val="-7"/>
        </w:rPr>
        <w:t> </w:t>
      </w:r>
      <w:r>
        <w:rPr/>
        <w:t>physical</w:t>
      </w:r>
      <w:r>
        <w:rPr>
          <w:spacing w:val="-8"/>
        </w:rPr>
        <w:t> </w:t>
      </w:r>
      <w:r>
        <w:rPr/>
        <w:t>examination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each</w:t>
      </w:r>
      <w:r>
        <w:rPr>
          <w:spacing w:val="-4"/>
        </w:rPr>
        <w:t> </w:t>
      </w:r>
      <w:r>
        <w:rPr/>
        <w:t>patient.</w:t>
      </w:r>
    </w:p>
    <w:p>
      <w:pPr>
        <w:pStyle w:val="BodyText"/>
        <w:spacing w:line="360" w:lineRule="auto" w:before="202"/>
        <w:ind w:left="820" w:right="1445"/>
        <w:jc w:val="both"/>
      </w:pPr>
      <w:r>
        <w:rPr/>
        <w:t>Most of the sickle cell patients of Haematology Department, ABUTH (42%) had an average of 2</w:t>
      </w:r>
      <w:r>
        <w:rPr>
          <w:spacing w:val="1"/>
        </w:rPr>
        <w:t> </w:t>
      </w:r>
      <w:r>
        <w:rPr/>
        <w:t>crises episodes per year that warranted hospital visits, 33% had an average of 1 episode per year,</w:t>
      </w:r>
      <w:r>
        <w:rPr>
          <w:spacing w:val="1"/>
        </w:rPr>
        <w:t> </w:t>
      </w:r>
      <w:r>
        <w:rPr/>
        <w:t>16% had about 3 crises episodes per year warranting a hospital visit, 7% had less than 1 crises</w:t>
      </w:r>
      <w:r>
        <w:rPr>
          <w:spacing w:val="1"/>
        </w:rPr>
        <w:t> </w:t>
      </w:r>
      <w:r>
        <w:rPr/>
        <w:t>episode,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2%</w:t>
      </w:r>
      <w:r>
        <w:rPr>
          <w:spacing w:val="3"/>
        </w:rPr>
        <w:t> </w:t>
      </w:r>
      <w:r>
        <w:rPr/>
        <w:t>had</w:t>
      </w:r>
      <w:r>
        <w:rPr>
          <w:spacing w:val="1"/>
        </w:rPr>
        <w:t> </w:t>
      </w:r>
      <w:r>
        <w:rPr/>
        <w:t>more</w:t>
      </w:r>
      <w:r>
        <w:rPr>
          <w:spacing w:val="-4"/>
        </w:rPr>
        <w:t> </w:t>
      </w:r>
      <w:r>
        <w:rPr/>
        <w:t>than</w:t>
      </w:r>
      <w:r>
        <w:rPr>
          <w:spacing w:val="-4"/>
        </w:rPr>
        <w:t> </w:t>
      </w:r>
      <w:r>
        <w:rPr/>
        <w:t>3</w:t>
      </w:r>
      <w:r>
        <w:rPr>
          <w:spacing w:val="3"/>
        </w:rPr>
        <w:t> </w:t>
      </w:r>
      <w:r>
        <w:rPr/>
        <w:t>crises</w:t>
      </w:r>
      <w:r>
        <w:rPr>
          <w:spacing w:val="-1"/>
        </w:rPr>
        <w:t> </w:t>
      </w:r>
      <w:r>
        <w:rPr/>
        <w:t>episodes</w:t>
      </w:r>
      <w:r>
        <w:rPr>
          <w:spacing w:val="-1"/>
        </w:rPr>
        <w:t> </w:t>
      </w:r>
      <w:r>
        <w:rPr/>
        <w:t>warranting</w:t>
      </w:r>
      <w:r>
        <w:rPr>
          <w:spacing w:val="1"/>
        </w:rPr>
        <w:t> </w:t>
      </w:r>
      <w:r>
        <w:rPr/>
        <w:t>a hospital</w:t>
      </w:r>
      <w:r>
        <w:rPr>
          <w:spacing w:val="-3"/>
        </w:rPr>
        <w:t> </w:t>
      </w:r>
      <w:r>
        <w:rPr/>
        <w:t>visit.</w:t>
      </w:r>
    </w:p>
    <w:p>
      <w:pPr>
        <w:pStyle w:val="BodyText"/>
        <w:spacing w:line="357" w:lineRule="auto" w:before="202"/>
        <w:ind w:left="820" w:right="1440"/>
        <w:jc w:val="both"/>
      </w:pP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10"/>
        </w:rPr>
        <w:t> </w:t>
      </w:r>
      <w:r>
        <w:rPr/>
        <w:t>patients</w:t>
      </w:r>
      <w:r>
        <w:rPr>
          <w:spacing w:val="7"/>
        </w:rPr>
        <w:t> </w:t>
      </w:r>
      <w:r>
        <w:rPr/>
        <w:t>who</w:t>
      </w:r>
      <w:r>
        <w:rPr>
          <w:spacing w:val="14"/>
        </w:rPr>
        <w:t> </w:t>
      </w:r>
      <w:r>
        <w:rPr/>
        <w:t>had</w:t>
      </w:r>
      <w:r>
        <w:rPr>
          <w:spacing w:val="10"/>
        </w:rPr>
        <w:t> </w:t>
      </w:r>
      <w:r>
        <w:rPr/>
        <w:t>to</w:t>
      </w:r>
      <w:r>
        <w:rPr>
          <w:spacing w:val="14"/>
        </w:rPr>
        <w:t> </w:t>
      </w:r>
      <w:r>
        <w:rPr/>
        <w:t>visit</w:t>
      </w:r>
      <w:r>
        <w:rPr>
          <w:spacing w:val="15"/>
        </w:rPr>
        <w:t> </w:t>
      </w:r>
      <w:r>
        <w:rPr/>
        <w:t>the</w:t>
      </w:r>
      <w:r>
        <w:rPr>
          <w:spacing w:val="10"/>
        </w:rPr>
        <w:t> </w:t>
      </w:r>
      <w:r>
        <w:rPr/>
        <w:t>Haematology</w:t>
      </w:r>
      <w:r>
        <w:rPr>
          <w:spacing w:val="5"/>
        </w:rPr>
        <w:t> </w:t>
      </w:r>
      <w:r>
        <w:rPr/>
        <w:t>day</w:t>
      </w:r>
      <w:r>
        <w:rPr>
          <w:spacing w:val="1"/>
        </w:rPr>
        <w:t> </w:t>
      </w:r>
      <w:r>
        <w:rPr/>
        <w:t>care</w:t>
      </w:r>
      <w:r>
        <w:rPr>
          <w:spacing w:val="9"/>
        </w:rPr>
        <w:t> </w:t>
      </w:r>
      <w:r>
        <w:rPr/>
        <w:t>clinic</w:t>
      </w:r>
      <w:r>
        <w:rPr>
          <w:spacing w:val="10"/>
        </w:rPr>
        <w:t> </w:t>
      </w:r>
      <w:r>
        <w:rPr/>
        <w:t>as</w:t>
      </w:r>
      <w:r>
        <w:rPr>
          <w:spacing w:val="7"/>
        </w:rPr>
        <w:t> </w:t>
      </w:r>
      <w:r>
        <w:rPr/>
        <w:t>a</w:t>
      </w:r>
      <w:r>
        <w:rPr>
          <w:spacing w:val="10"/>
        </w:rPr>
        <w:t> </w:t>
      </w:r>
      <w:r>
        <w:rPr/>
        <w:t>result</w:t>
      </w:r>
      <w:r>
        <w:rPr>
          <w:spacing w:val="15"/>
        </w:rPr>
        <w:t> </w:t>
      </w:r>
      <w:r>
        <w:rPr/>
        <w:t>of</w:t>
      </w:r>
      <w:r>
        <w:rPr>
          <w:spacing w:val="2"/>
        </w:rPr>
        <w:t> </w:t>
      </w:r>
      <w:r>
        <w:rPr/>
        <w:t>crises,</w:t>
      </w:r>
      <w:r>
        <w:rPr>
          <w:spacing w:val="13"/>
        </w:rPr>
        <w:t> </w:t>
      </w:r>
      <w:r>
        <w:rPr/>
        <w:t>63%</w:t>
      </w:r>
      <w:r>
        <w:rPr>
          <w:spacing w:val="11"/>
        </w:rPr>
        <w:t> </w:t>
      </w:r>
      <w:r>
        <w:rPr/>
        <w:t>were</w:t>
      </w:r>
      <w:r>
        <w:rPr>
          <w:spacing w:val="-57"/>
        </w:rPr>
        <w:t> </w:t>
      </w:r>
      <w:r>
        <w:rPr/>
        <w:t>as</w:t>
      </w:r>
      <w:r>
        <w:rPr>
          <w:spacing w:val="6"/>
        </w:rPr>
        <w:t> </w:t>
      </w:r>
      <w:r>
        <w:rPr/>
        <w:t>a</w:t>
      </w:r>
      <w:r>
        <w:rPr>
          <w:spacing w:val="8"/>
        </w:rPr>
        <w:t> </w:t>
      </w:r>
      <w:r>
        <w:rPr/>
        <w:t>result</w:t>
      </w:r>
      <w:r>
        <w:rPr>
          <w:spacing w:val="14"/>
        </w:rPr>
        <w:t> </w:t>
      </w:r>
      <w:r>
        <w:rPr/>
        <w:t>of</w:t>
      </w:r>
      <w:r>
        <w:rPr>
          <w:spacing w:val="5"/>
        </w:rPr>
        <w:t> </w:t>
      </w:r>
      <w:r>
        <w:rPr/>
        <w:t>a</w:t>
      </w:r>
      <w:r>
        <w:rPr>
          <w:spacing w:val="12"/>
        </w:rPr>
        <w:t> </w:t>
      </w:r>
      <w:r>
        <w:rPr/>
        <w:t>vaso</w:t>
      </w:r>
      <w:r>
        <w:rPr>
          <w:spacing w:val="13"/>
        </w:rPr>
        <w:t> </w:t>
      </w:r>
      <w:r>
        <w:rPr/>
        <w:t>occlusive</w:t>
      </w:r>
      <w:r>
        <w:rPr>
          <w:spacing w:val="13"/>
        </w:rPr>
        <w:t> </w:t>
      </w:r>
      <w:r>
        <w:rPr/>
        <w:t>crises,</w:t>
      </w:r>
      <w:r>
        <w:rPr>
          <w:spacing w:val="11"/>
        </w:rPr>
        <w:t> </w:t>
      </w:r>
      <w:r>
        <w:rPr/>
        <w:t>11%</w:t>
      </w:r>
      <w:r>
        <w:rPr>
          <w:spacing w:val="10"/>
        </w:rPr>
        <w:t> </w:t>
      </w:r>
      <w:r>
        <w:rPr/>
        <w:t>due</w:t>
      </w:r>
      <w:r>
        <w:rPr>
          <w:spacing w:val="8"/>
        </w:rPr>
        <w:t> </w:t>
      </w:r>
      <w:r>
        <w:rPr/>
        <w:t>to</w:t>
      </w:r>
      <w:r>
        <w:rPr>
          <w:spacing w:val="13"/>
        </w:rPr>
        <w:t> </w:t>
      </w:r>
      <w:r>
        <w:rPr/>
        <w:t>headache,</w:t>
      </w:r>
      <w:r>
        <w:rPr>
          <w:spacing w:val="11"/>
        </w:rPr>
        <w:t> </w:t>
      </w:r>
      <w:r>
        <w:rPr/>
        <w:t>8%</w:t>
      </w:r>
      <w:r>
        <w:rPr>
          <w:spacing w:val="10"/>
        </w:rPr>
        <w:t> </w:t>
      </w:r>
      <w:r>
        <w:rPr/>
        <w:t>epigastric</w:t>
      </w:r>
      <w:r>
        <w:rPr>
          <w:spacing w:val="9"/>
        </w:rPr>
        <w:t> </w:t>
      </w:r>
      <w:r>
        <w:rPr/>
        <w:t>pain,</w:t>
      </w:r>
      <w:r>
        <w:rPr>
          <w:spacing w:val="11"/>
        </w:rPr>
        <w:t> </w:t>
      </w:r>
      <w:r>
        <w:rPr/>
        <w:t>6%</w:t>
      </w:r>
      <w:r>
        <w:rPr>
          <w:spacing w:val="10"/>
        </w:rPr>
        <w:t> </w:t>
      </w:r>
      <w:r>
        <w:rPr/>
        <w:t>complained</w:t>
      </w:r>
      <w:r>
        <w:rPr>
          <w:spacing w:val="-58"/>
        </w:rPr>
        <w:t> </w:t>
      </w:r>
      <w:r>
        <w:rPr/>
        <w:t>of avascular necrosis, 6% had priapism, 4% osteomyelitis, and about 2% had to visit the hospital</w:t>
      </w:r>
      <w:r>
        <w:rPr>
          <w:spacing w:val="1"/>
        </w:rPr>
        <w:t> </w:t>
      </w:r>
      <w:r>
        <w:rPr/>
        <w:t>day</w:t>
      </w:r>
      <w:r>
        <w:rPr>
          <w:spacing w:val="-9"/>
        </w:rPr>
        <w:t> </w:t>
      </w:r>
      <w:r>
        <w:rPr/>
        <w:t>care</w:t>
      </w:r>
      <w:r>
        <w:rPr>
          <w:spacing w:val="1"/>
        </w:rPr>
        <w:t> </w:t>
      </w:r>
      <w:r>
        <w:rPr/>
        <w:t>as a</w:t>
      </w:r>
      <w:r>
        <w:rPr>
          <w:spacing w:val="1"/>
        </w:rPr>
        <w:t> </w:t>
      </w:r>
      <w:r>
        <w:rPr/>
        <w:t>result</w:t>
      </w:r>
      <w:r>
        <w:rPr>
          <w:spacing w:val="7"/>
        </w:rPr>
        <w:t> </w:t>
      </w:r>
      <w:r>
        <w:rPr/>
        <w:t>of</w:t>
      </w:r>
      <w:r>
        <w:rPr>
          <w:spacing w:val="-2"/>
        </w:rPr>
        <w:t> </w:t>
      </w:r>
      <w:r>
        <w:rPr/>
        <w:t>leg</w:t>
      </w:r>
      <w:r>
        <w:rPr>
          <w:spacing w:val="2"/>
        </w:rPr>
        <w:t> </w:t>
      </w:r>
      <w:r>
        <w:rPr/>
        <w:t>ulcers.</w:t>
      </w:r>
    </w:p>
    <w:p>
      <w:pPr>
        <w:spacing w:after="0" w:line="357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60" w:lineRule="auto" w:before="72"/>
        <w:ind w:left="820" w:right="1444"/>
        <w:jc w:val="both"/>
      </w:pPr>
      <w:r>
        <w:rPr/>
        <w:t>19% of the sickle cell patients attending haematology clinic in ABUTH</w:t>
      </w:r>
      <w:r>
        <w:rPr>
          <w:spacing w:val="1"/>
        </w:rPr>
        <w:t> </w:t>
      </w:r>
      <w:r>
        <w:rPr/>
        <w:t>had never been admitted</w:t>
      </w:r>
      <w:r>
        <w:rPr>
          <w:spacing w:val="-57"/>
        </w:rPr>
        <w:t> </w:t>
      </w:r>
      <w:r>
        <w:rPr/>
        <w:t>before, 46% had been admitted at least once, 27% had been admitted about two times in a year,</w:t>
      </w:r>
      <w:r>
        <w:rPr>
          <w:spacing w:val="1"/>
        </w:rPr>
        <w:t> </w:t>
      </w:r>
      <w:r>
        <w:rPr/>
        <w:t>6% had been admitted about three times in a year, and only 2% claimed there were admitted an</w:t>
      </w:r>
      <w:r>
        <w:rPr>
          <w:spacing w:val="1"/>
        </w:rPr>
        <w:t> </w:t>
      </w:r>
      <w:r>
        <w:rPr/>
        <w:t>average of</w:t>
      </w:r>
      <w:r>
        <w:rPr>
          <w:spacing w:val="-1"/>
        </w:rPr>
        <w:t> </w:t>
      </w:r>
      <w:r>
        <w:rPr/>
        <w:t>four</w:t>
      </w:r>
      <w:r>
        <w:rPr>
          <w:spacing w:val="-1"/>
        </w:rPr>
        <w:t> </w:t>
      </w:r>
      <w:r>
        <w:rPr/>
        <w:t>times each</w:t>
      </w:r>
      <w:r>
        <w:rPr>
          <w:spacing w:val="2"/>
        </w:rPr>
        <w:t> </w:t>
      </w:r>
      <w:r>
        <w:rPr/>
        <w:t>year.</w:t>
      </w:r>
    </w:p>
    <w:p>
      <w:pPr>
        <w:pStyle w:val="BodyText"/>
        <w:spacing w:line="360" w:lineRule="auto" w:before="201"/>
        <w:ind w:left="820" w:right="1436"/>
        <w:jc w:val="both"/>
      </w:pPr>
      <w:r>
        <w:rPr/>
        <w:t>In a given year, about 60% of patients with sickle cell anaemia will have an episode of severe</w:t>
      </w:r>
      <w:r>
        <w:rPr>
          <w:spacing w:val="1"/>
        </w:rPr>
        <w:t> </w:t>
      </w:r>
      <w:r>
        <w:rPr/>
        <w:t>pain (Steinberg, 1999). The most common reason for hospital admission was vaso occlusive</w:t>
      </w:r>
      <w:r>
        <w:rPr>
          <w:spacing w:val="1"/>
        </w:rPr>
        <w:t> </w:t>
      </w:r>
      <w:r>
        <w:rPr/>
        <w:t>crises. Vaso occlusive crises of pain has been described by Mc Clish </w:t>
      </w:r>
      <w:r>
        <w:rPr>
          <w:i/>
        </w:rPr>
        <w:t>et al</w:t>
      </w:r>
      <w:r>
        <w:rPr/>
        <w:t>., (2009), as pain</w:t>
      </w:r>
      <w:r>
        <w:rPr>
          <w:spacing w:val="1"/>
        </w:rPr>
        <w:t> </w:t>
      </w:r>
      <w:r>
        <w:rPr/>
        <w:t>classically occurring in the back, chest, and extremities; however, they stated that this clinical</w:t>
      </w:r>
      <w:r>
        <w:rPr>
          <w:spacing w:val="1"/>
        </w:rPr>
        <w:t> </w:t>
      </w:r>
      <w:r>
        <w:rPr/>
        <w:t>observation is supported by limited empirical evidence. In the current study, 74% of the patients</w:t>
      </w:r>
      <w:r>
        <w:rPr>
          <w:spacing w:val="1"/>
        </w:rPr>
        <w:t> </w:t>
      </w:r>
      <w:r>
        <w:rPr/>
        <w:t>had a history of bone pains, 63% had to make a visit to the hospital as a result of vaso occlusive</w:t>
      </w:r>
      <w:r>
        <w:rPr>
          <w:spacing w:val="1"/>
        </w:rPr>
        <w:t> </w:t>
      </w:r>
      <w:r>
        <w:rPr/>
        <w:t>crises, while, 58% were admitted as a result of vaso occlusive crises; this is in line with a study</w:t>
      </w:r>
      <w:r>
        <w:rPr>
          <w:spacing w:val="1"/>
        </w:rPr>
        <w:t> </w:t>
      </w:r>
      <w:r>
        <w:rPr/>
        <w:t>by Ibidapo and Akinyanju, (2000) in Lagos who found that 68% of sickle cell patients presented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vaso</w:t>
      </w:r>
      <w:r>
        <w:rPr>
          <w:spacing w:val="7"/>
        </w:rPr>
        <w:t> </w:t>
      </w:r>
      <w:r>
        <w:rPr/>
        <w:t>occlusive</w:t>
      </w:r>
      <w:r>
        <w:rPr>
          <w:spacing w:val="1"/>
        </w:rPr>
        <w:t> </w:t>
      </w:r>
      <w:r>
        <w:rPr/>
        <w:t>crises.</w:t>
      </w:r>
    </w:p>
    <w:p>
      <w:pPr>
        <w:pStyle w:val="BodyText"/>
        <w:spacing w:line="360" w:lineRule="auto" w:before="196"/>
        <w:ind w:left="820" w:right="1437"/>
        <w:jc w:val="both"/>
      </w:pPr>
      <w:r>
        <w:rPr/>
        <w:t>Epigastric pain usually indicative of peptic ulcer was a cause for hospital visit in 8% of the</w:t>
      </w:r>
      <w:r>
        <w:rPr>
          <w:spacing w:val="1"/>
        </w:rPr>
        <w:t> </w:t>
      </w:r>
      <w:r>
        <w:rPr/>
        <w:t>patients. It is estimated that one third of patients with homozygous SCD with chronic recurrent</w:t>
      </w:r>
      <w:r>
        <w:rPr>
          <w:spacing w:val="1"/>
        </w:rPr>
        <w:t> </w:t>
      </w:r>
      <w:r>
        <w:rPr/>
        <w:t>epigastric pain have endoscopic evidence of peptic ulcer: with predominance of duodenal (27%)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gastric</w:t>
      </w:r>
      <w:r>
        <w:rPr>
          <w:spacing w:val="1"/>
        </w:rPr>
        <w:t> </w:t>
      </w:r>
      <w:r>
        <w:rPr/>
        <w:t>(8%)</w:t>
      </w:r>
      <w:r>
        <w:rPr>
          <w:spacing w:val="1"/>
        </w:rPr>
        <w:t> </w:t>
      </w:r>
      <w:r>
        <w:rPr/>
        <w:t>ulcer</w:t>
      </w:r>
      <w:r>
        <w:rPr>
          <w:spacing w:val="1"/>
        </w:rPr>
        <w:t> </w:t>
      </w:r>
      <w:r>
        <w:rPr/>
        <w:t>(Meshikhes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foetal</w:t>
      </w:r>
      <w:r>
        <w:rPr>
          <w:spacing w:val="1"/>
        </w:rPr>
        <w:t> </w:t>
      </w:r>
      <w:r>
        <w:rPr/>
        <w:t>haemoglobin level are at lesser risk of ulceration. Duodenal ulcer in sickle cell populations does</w:t>
      </w:r>
      <w:r>
        <w:rPr>
          <w:spacing w:val="1"/>
        </w:rPr>
        <w:t> </w:t>
      </w:r>
      <w:r>
        <w:rPr/>
        <w:t>not appear to be associated with high acid outputs; it is believed that the aetiology is related to</w:t>
      </w:r>
      <w:r>
        <w:rPr>
          <w:spacing w:val="1"/>
        </w:rPr>
        <w:t> </w:t>
      </w:r>
      <w:r>
        <w:rPr/>
        <w:t>decreased mucosal resistance as a result of repeated ischaemic infarcts secondary to sickling</w:t>
      </w:r>
      <w:r>
        <w:rPr>
          <w:spacing w:val="1"/>
        </w:rPr>
        <w:t> </w:t>
      </w:r>
      <w:r>
        <w:rPr/>
        <w:t>crises</w:t>
      </w:r>
      <w:r>
        <w:rPr>
          <w:spacing w:val="-1"/>
        </w:rPr>
        <w:t> </w:t>
      </w:r>
      <w:r>
        <w:rPr/>
        <w:t>(Rao</w:t>
      </w:r>
      <w:r>
        <w:rPr>
          <w:spacing w:val="7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4"/>
        </w:rPr>
        <w:t> </w:t>
      </w:r>
      <w:r>
        <w:rPr/>
        <w:t>1985).</w:t>
      </w:r>
    </w:p>
    <w:p>
      <w:pPr>
        <w:pStyle w:val="BodyText"/>
        <w:spacing w:line="360" w:lineRule="auto" w:before="202"/>
        <w:ind w:left="820" w:right="1438"/>
        <w:jc w:val="both"/>
      </w:pPr>
      <w:r>
        <w:rPr/>
        <w:t>Transfusion is done using</w:t>
      </w:r>
      <w:r>
        <w:rPr>
          <w:spacing w:val="1"/>
        </w:rPr>
        <w:t> </w:t>
      </w:r>
      <w:r>
        <w:rPr/>
        <w:t>sickle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blood to</w:t>
      </w:r>
      <w:r>
        <w:rPr>
          <w:spacing w:val="1"/>
        </w:rPr>
        <w:t> </w:t>
      </w:r>
      <w:r>
        <w:rPr/>
        <w:t>“dilute” out</w:t>
      </w:r>
      <w:r>
        <w:rPr>
          <w:spacing w:val="1"/>
        </w:rPr>
        <w:t> </w:t>
      </w:r>
      <w:r>
        <w:rPr/>
        <w:t>sickled</w:t>
      </w:r>
      <w:r>
        <w:rPr>
          <w:spacing w:val="60"/>
        </w:rPr>
        <w:t> </w:t>
      </w:r>
      <w:r>
        <w:rPr/>
        <w:t>RBCs, reduces ISCs</w:t>
      </w:r>
      <w:r>
        <w:rPr>
          <w:spacing w:val="1"/>
        </w:rPr>
        <w:t> </w:t>
      </w:r>
      <w:r>
        <w:rPr/>
        <w:t>count, precludes recurrent stroke if HbS is less than 30%, and reduces abnormal flow in cerebral</w:t>
      </w:r>
      <w:r>
        <w:rPr>
          <w:spacing w:val="1"/>
        </w:rPr>
        <w:t> </w:t>
      </w:r>
      <w:r>
        <w:rPr/>
        <w:t>vessels in children with sickle cell disease (Adams </w:t>
      </w:r>
      <w:r>
        <w:rPr>
          <w:i/>
        </w:rPr>
        <w:t>et al</w:t>
      </w:r>
      <w:r>
        <w:rPr/>
        <w:t>., 2000). Indications for transfusion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pregnant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anaemia,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cerebral</w:t>
      </w:r>
      <w:r>
        <w:rPr>
          <w:spacing w:val="1"/>
        </w:rPr>
        <w:t> </w:t>
      </w:r>
      <w:r>
        <w:rPr/>
        <w:t>syndrome,</w:t>
      </w:r>
      <w:r>
        <w:rPr>
          <w:spacing w:val="1"/>
        </w:rPr>
        <w:t> </w:t>
      </w:r>
      <w:r>
        <w:rPr/>
        <w:t>priapism,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chest</w:t>
      </w:r>
      <w:r>
        <w:rPr>
          <w:spacing w:val="1"/>
        </w:rPr>
        <w:t> </w:t>
      </w:r>
      <w:r>
        <w:rPr/>
        <w:t>syndrome, surgery, and anaemia (Steven </w:t>
      </w:r>
      <w:r>
        <w:rPr>
          <w:i/>
        </w:rPr>
        <w:t>et al</w:t>
      </w:r>
      <w:r>
        <w:rPr/>
        <w:t>., 2000). Thirty six percent of the SCD patients did</w:t>
      </w:r>
      <w:r>
        <w:rPr>
          <w:spacing w:val="1"/>
        </w:rPr>
        <w:t> </w:t>
      </w:r>
      <w:r>
        <w:rPr/>
        <w:t>not know whether they had been transfused or not. Thirty two percent said they had never been</w:t>
      </w:r>
      <w:r>
        <w:rPr>
          <w:spacing w:val="1"/>
        </w:rPr>
        <w:t> </w:t>
      </w:r>
      <w:r>
        <w:rPr/>
        <w:t>transfused; 17 (19%) had been transfused at least once; 7 (8%) had been transfused two times, 3</w:t>
      </w:r>
      <w:r>
        <w:rPr>
          <w:spacing w:val="1"/>
        </w:rPr>
        <w:t> </w:t>
      </w:r>
      <w:r>
        <w:rPr/>
        <w:t>(3%) had been transfused three times, 1 (1%) had been transfused four times; and also 1 patient</w:t>
      </w:r>
      <w:r>
        <w:rPr>
          <w:spacing w:val="1"/>
        </w:rPr>
        <w:t> </w:t>
      </w:r>
      <w:r>
        <w:rPr/>
        <w:t>(1%)</w:t>
      </w:r>
      <w:r>
        <w:rPr>
          <w:spacing w:val="-2"/>
        </w:rPr>
        <w:t> </w:t>
      </w:r>
      <w:r>
        <w:rPr/>
        <w:t>had</w:t>
      </w:r>
      <w:r>
        <w:rPr>
          <w:spacing w:val="2"/>
        </w:rPr>
        <w:t> </w:t>
      </w:r>
      <w:r>
        <w:rPr/>
        <w:t>been</w:t>
      </w:r>
      <w:r>
        <w:rPr>
          <w:spacing w:val="-3"/>
        </w:rPr>
        <w:t> </w:t>
      </w:r>
      <w:r>
        <w:rPr/>
        <w:t>transfused</w:t>
      </w:r>
      <w:r>
        <w:rPr>
          <w:spacing w:val="2"/>
        </w:rPr>
        <w:t> </w:t>
      </w:r>
      <w:r>
        <w:rPr/>
        <w:t>12</w:t>
      </w:r>
      <w:r>
        <w:rPr>
          <w:spacing w:val="2"/>
        </w:rPr>
        <w:t> </w:t>
      </w:r>
      <w:r>
        <w:rPr/>
        <w:t>times.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60" w:lineRule="auto" w:before="72"/>
        <w:ind w:left="820" w:right="1441"/>
        <w:jc w:val="both"/>
      </w:pPr>
      <w:r>
        <w:rPr/>
        <w:t>In addition to SCD, 51% had a co-morbid illness while 49% did not have any. The most common</w:t>
      </w:r>
      <w:r>
        <w:rPr>
          <w:spacing w:val="-57"/>
        </w:rPr>
        <w:t> </w:t>
      </w:r>
      <w:r>
        <w:rPr/>
        <w:t>co-morbid illness observed was peptic ulcer (22%); 13% of the patients were hypertensive; 4%</w:t>
      </w:r>
      <w:r>
        <w:rPr>
          <w:spacing w:val="1"/>
        </w:rPr>
        <w:t> </w:t>
      </w:r>
      <w:r>
        <w:rPr/>
        <w:t>had arthritis; hepatitis and heart failure was seen in 3% of the patients; while few patients (1%</w:t>
      </w:r>
      <w:r>
        <w:rPr>
          <w:spacing w:val="1"/>
        </w:rPr>
        <w:t> </w:t>
      </w:r>
      <w:r>
        <w:rPr/>
        <w:t>each)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asthma,</w:t>
      </w:r>
      <w:r>
        <w:rPr>
          <w:spacing w:val="1"/>
        </w:rPr>
        <w:t> </w:t>
      </w:r>
      <w:r>
        <w:rPr/>
        <w:t>myeloproliferative</w:t>
      </w:r>
      <w:r>
        <w:rPr>
          <w:spacing w:val="1"/>
        </w:rPr>
        <w:t> </w:t>
      </w:r>
      <w:r>
        <w:rPr/>
        <w:t>disorder,</w:t>
      </w:r>
      <w:r>
        <w:rPr>
          <w:spacing w:val="1"/>
        </w:rPr>
        <w:t> </w:t>
      </w:r>
      <w:r>
        <w:rPr/>
        <w:t>HIV/AIDS,</w:t>
      </w:r>
      <w:r>
        <w:rPr>
          <w:spacing w:val="1"/>
        </w:rPr>
        <w:t> </w:t>
      </w:r>
      <w:r>
        <w:rPr/>
        <w:t>pyelonephritis,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transient</w:t>
      </w:r>
      <w:r>
        <w:rPr>
          <w:spacing w:val="1"/>
        </w:rPr>
        <w:t> </w:t>
      </w:r>
      <w:r>
        <w:rPr/>
        <w:t>erythroblastopenia. Increased susceptibility to renal diseases calls for caution in the use of IVFs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potassium,</w:t>
      </w:r>
      <w:r>
        <w:rPr>
          <w:spacing w:val="4"/>
        </w:rPr>
        <w:t> </w:t>
      </w:r>
      <w:r>
        <w:rPr/>
        <w:t>e.g.</w:t>
      </w:r>
      <w:r>
        <w:rPr>
          <w:spacing w:val="3"/>
        </w:rPr>
        <w:t> </w:t>
      </w:r>
      <w:r>
        <w:rPr/>
        <w:t>darrows solution.</w:t>
      </w:r>
    </w:p>
    <w:p>
      <w:pPr>
        <w:pStyle w:val="BodyText"/>
        <w:spacing w:line="360" w:lineRule="auto" w:before="199"/>
        <w:ind w:left="820" w:right="1444"/>
        <w:jc w:val="both"/>
      </w:pPr>
      <w:r>
        <w:rPr/>
        <w:t>Blood transfusions form an integral part of management of sickle cell disease. Blood transfusion</w:t>
      </w:r>
      <w:r>
        <w:rPr>
          <w:spacing w:val="1"/>
        </w:rPr>
        <w:t> </w:t>
      </w:r>
      <w:r>
        <w:rPr/>
        <w:t>is also established as a route of transmission of the Human Immunodeficiency Virus (HIV) and</w:t>
      </w:r>
      <w:r>
        <w:rPr>
          <w:spacing w:val="1"/>
        </w:rPr>
        <w:t> </w:t>
      </w:r>
      <w:r>
        <w:rPr/>
        <w:t>hepatitis;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lacking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properly</w:t>
      </w:r>
      <w:r>
        <w:rPr>
          <w:spacing w:val="1"/>
        </w:rPr>
        <w:t> </w:t>
      </w:r>
      <w:r>
        <w:rPr/>
        <w:t>organized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transfusion services. 1.8% of patients in the Paediatric Haematology Clinic of A.B.U.T.H., Zaria,</w:t>
      </w:r>
      <w:r>
        <w:rPr>
          <w:spacing w:val="-57"/>
        </w:rPr>
        <w:t> </w:t>
      </w:r>
      <w:r>
        <w:rPr/>
        <w:t>Nigeria were</w:t>
      </w:r>
      <w:r>
        <w:rPr>
          <w:spacing w:val="1"/>
        </w:rPr>
        <w:t> </w:t>
      </w:r>
      <w:r>
        <w:rPr/>
        <w:t>HIV-seropositive (Ogunrinde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2005).</w:t>
      </w:r>
    </w:p>
    <w:p>
      <w:pPr>
        <w:pStyle w:val="BodyText"/>
        <w:spacing w:line="360" w:lineRule="auto" w:before="201"/>
        <w:ind w:left="820" w:right="1438"/>
        <w:jc w:val="both"/>
      </w:pPr>
      <w:r>
        <w:rPr/>
        <w:t>According to Adedoyin</w:t>
      </w:r>
      <w:r>
        <w:rPr>
          <w:spacing w:val="1"/>
        </w:rPr>
        <w:t>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(2010),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of tuberculosis</w:t>
      </w:r>
      <w:r>
        <w:rPr>
          <w:spacing w:val="60"/>
        </w:rPr>
        <w:t> </w:t>
      </w:r>
      <w:r>
        <w:rPr/>
        <w:t>in SCD patients compared to</w:t>
      </w:r>
      <w:r>
        <w:rPr>
          <w:spacing w:val="-57"/>
        </w:rPr>
        <w:t> </w:t>
      </w:r>
      <w:r>
        <w:rPr/>
        <w:t>the general population is quite low and unremarkable. Sickle cell patients are predisposed to</w:t>
      </w:r>
      <w:r>
        <w:rPr>
          <w:spacing w:val="1"/>
        </w:rPr>
        <w:t> </w:t>
      </w:r>
      <w:r>
        <w:rPr/>
        <w:t>infections due to</w:t>
      </w:r>
      <w:r>
        <w:rPr>
          <w:spacing w:val="1"/>
        </w:rPr>
        <w:t> </w:t>
      </w:r>
      <w:r>
        <w:rPr/>
        <w:t>depressed cell</w:t>
      </w:r>
      <w:r>
        <w:rPr>
          <w:spacing w:val="1"/>
        </w:rPr>
        <w:t> </w:t>
      </w:r>
      <w:r>
        <w:rPr/>
        <w:t>mediated</w:t>
      </w:r>
      <w:r>
        <w:rPr>
          <w:spacing w:val="1"/>
        </w:rPr>
        <w:t> </w:t>
      </w:r>
      <w:r>
        <w:rPr/>
        <w:t>immunity and</w:t>
      </w:r>
      <w:r>
        <w:rPr>
          <w:spacing w:val="1"/>
        </w:rPr>
        <w:t> </w:t>
      </w:r>
      <w:r>
        <w:rPr/>
        <w:t>functional asplenia;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tuberculosis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immunosuppressive</w:t>
      </w:r>
      <w:r>
        <w:rPr>
          <w:spacing w:val="1"/>
        </w:rPr>
        <w:t> </w:t>
      </w:r>
      <w:r>
        <w:rPr/>
        <w:t>illness;</w:t>
      </w:r>
      <w:r>
        <w:rPr>
          <w:spacing w:val="1"/>
        </w:rPr>
        <w:t> </w:t>
      </w:r>
      <w:r>
        <w:rPr/>
        <w:t>however, it rarely does (Adedoyin </w:t>
      </w:r>
      <w:r>
        <w:rPr>
          <w:i/>
        </w:rPr>
        <w:t>et al</w:t>
      </w:r>
      <w:r>
        <w:rPr/>
        <w:t>., 2010). In present study, only 1% of the patients had</w:t>
      </w:r>
      <w:r>
        <w:rPr>
          <w:spacing w:val="1"/>
        </w:rPr>
        <w:t> </w:t>
      </w:r>
      <w:r>
        <w:rPr/>
        <w:t>tuberculosis.</w:t>
      </w:r>
    </w:p>
    <w:p>
      <w:pPr>
        <w:pStyle w:val="Heading1"/>
        <w:numPr>
          <w:ilvl w:val="1"/>
          <w:numId w:val="33"/>
        </w:numPr>
        <w:tabs>
          <w:tab w:pos="1180" w:val="left" w:leader="none"/>
        </w:tabs>
        <w:spacing w:line="240" w:lineRule="auto" w:before="199" w:after="0"/>
        <w:ind w:left="1179" w:right="0" w:hanging="360"/>
        <w:jc w:val="both"/>
      </w:pPr>
      <w:r>
        <w:rPr/>
        <w:t>Medication</w:t>
      </w:r>
      <w:r>
        <w:rPr>
          <w:spacing w:val="-4"/>
        </w:rPr>
        <w:t> </w:t>
      </w:r>
      <w:r>
        <w:rPr/>
        <w:t>History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Sickle</w:t>
      </w:r>
      <w:r>
        <w:rPr>
          <w:spacing w:val="-1"/>
        </w:rPr>
        <w:t> </w:t>
      </w:r>
      <w:r>
        <w:rPr/>
        <w:t>Cell</w:t>
      </w:r>
      <w:r>
        <w:rPr>
          <w:spacing w:val="-3"/>
        </w:rPr>
        <w:t> </w:t>
      </w:r>
      <w:r>
        <w:rPr/>
        <w:t>Disease Patients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Study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38"/>
        <w:jc w:val="both"/>
      </w:pPr>
      <w:r>
        <w:rPr/>
        <w:t>All the patients were prescribed “routine drugs” for maintenance of their general well being</w:t>
      </w:r>
      <w:r>
        <w:rPr>
          <w:spacing w:val="1"/>
        </w:rPr>
        <w:t> </w:t>
      </w:r>
      <w:r>
        <w:rPr/>
        <w:t>usually comprising: folic acid 5mg daily, proguanil 100mg daily, vitamin C 600mg daily in 3</w:t>
      </w:r>
      <w:r>
        <w:rPr>
          <w:spacing w:val="1"/>
        </w:rPr>
        <w:t> </w:t>
      </w:r>
      <w:r>
        <w:rPr/>
        <w:t>divided doses,</w:t>
      </w:r>
      <w:r>
        <w:rPr>
          <w:spacing w:val="1"/>
        </w:rPr>
        <w:t> </w:t>
      </w:r>
      <w:r>
        <w:rPr/>
        <w:t>vitamin B12 50-150mcg daily,</w:t>
      </w:r>
      <w:r>
        <w:rPr>
          <w:spacing w:val="60"/>
        </w:rPr>
        <w:t> </w:t>
      </w:r>
      <w:r>
        <w:rPr/>
        <w:t>and vitamin B6 25-50mg daily. In addition to</w:t>
      </w:r>
      <w:r>
        <w:rPr>
          <w:spacing w:val="1"/>
        </w:rPr>
        <w:t> </w:t>
      </w:r>
      <w:r>
        <w:rPr/>
        <w:t>these, they were all advised (as a group; during</w:t>
      </w:r>
      <w:r>
        <w:rPr>
          <w:spacing w:val="60"/>
        </w:rPr>
        <w:t> </w:t>
      </w:r>
      <w:r>
        <w:rPr/>
        <w:t>“health talk” given by the nurses every clinic</w:t>
      </w:r>
      <w:r>
        <w:rPr>
          <w:spacing w:val="1"/>
        </w:rPr>
        <w:t> </w:t>
      </w:r>
      <w:r>
        <w:rPr/>
        <w:t>day, and individually by the physicians) to take fluids liberally. In cases of infection, amoxicillin</w:t>
      </w:r>
      <w:r>
        <w:rPr>
          <w:spacing w:val="1"/>
        </w:rPr>
        <w:t> </w:t>
      </w:r>
      <w:r>
        <w:rPr/>
        <w:t>was prescribed in accordance with the Standard Treatment Guidelines (2008). A full blood count</w:t>
      </w:r>
      <w:r>
        <w:rPr>
          <w:spacing w:val="-57"/>
        </w:rPr>
        <w:t> </w:t>
      </w:r>
      <w:r>
        <w:rPr/>
        <w:t>is run for every patient that visits the haematology clinic in ABUTH before they are examined by</w:t>
      </w:r>
      <w:r>
        <w:rPr>
          <w:spacing w:val="-57"/>
        </w:rPr>
        <w:t> </w:t>
      </w:r>
      <w:r>
        <w:rPr/>
        <w:t>the doctor and drugs are prescribed. The results of this laboratory tests are used together with the</w:t>
      </w:r>
      <w:r>
        <w:rPr>
          <w:spacing w:val="1"/>
        </w:rPr>
        <w:t> </w:t>
      </w:r>
      <w:r>
        <w:rPr/>
        <w:t>patients’ presentations to determine use of other medication such as vitamin E, iron supplements,</w:t>
      </w:r>
      <w:r>
        <w:rPr>
          <w:spacing w:val="-57"/>
        </w:rPr>
        <w:t> </w:t>
      </w:r>
      <w:r>
        <w:rPr/>
        <w:t>multivitamins,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hydroxyurea.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60" w:lineRule="auto" w:before="72"/>
        <w:ind w:left="820" w:right="1442"/>
        <w:jc w:val="both"/>
      </w:pPr>
      <w:r>
        <w:rPr/>
        <w:t>In the present study, medication utilisation of the SCD patients was grouped into two. The first</w:t>
      </w:r>
      <w:r>
        <w:rPr>
          <w:spacing w:val="1"/>
        </w:rPr>
        <w:t> </w:t>
      </w:r>
      <w:r>
        <w:rPr/>
        <w:t>grouping showed the medication utilisation patterns of the SCD patients in crises and the SCD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in steady state.</w:t>
      </w:r>
      <w:r>
        <w:rPr>
          <w:spacing w:val="1"/>
        </w:rPr>
        <w:t> </w:t>
      </w:r>
      <w:r>
        <w:rPr/>
        <w:t>While,</w:t>
      </w:r>
      <w:r>
        <w:rPr>
          <w:spacing w:val="1"/>
        </w:rPr>
        <w:t> </w:t>
      </w:r>
      <w:r>
        <w:rPr/>
        <w:t>the second grouping showed the</w:t>
      </w:r>
      <w:r>
        <w:rPr>
          <w:spacing w:val="60"/>
        </w:rPr>
        <w:t> </w:t>
      </w:r>
      <w:r>
        <w:rPr/>
        <w:t>medication utilisation of the</w:t>
      </w:r>
      <w:r>
        <w:rPr>
          <w:spacing w:val="1"/>
        </w:rPr>
        <w:t> </w:t>
      </w:r>
      <w:r>
        <w:rPr/>
        <w:t>SCD</w:t>
      </w:r>
      <w:r>
        <w:rPr>
          <w:spacing w:val="-1"/>
        </w:rPr>
        <w:t> </w:t>
      </w:r>
      <w:r>
        <w:rPr/>
        <w:t>patients</w:t>
      </w:r>
      <w:r>
        <w:rPr>
          <w:spacing w:val="-2"/>
        </w:rPr>
        <w:t> </w:t>
      </w:r>
      <w:r>
        <w:rPr/>
        <w:t>based on</w:t>
      </w:r>
      <w:r>
        <w:rPr>
          <w:spacing w:val="-9"/>
        </w:rPr>
        <w:t> </w:t>
      </w:r>
      <w:r>
        <w:rPr/>
        <w:t>their</w:t>
      </w:r>
      <w:r>
        <w:rPr>
          <w:spacing w:val="5"/>
        </w:rPr>
        <w:t> </w:t>
      </w:r>
      <w:r>
        <w:rPr/>
        <w:t>haemoglobin variants – HbSS,</w:t>
      </w:r>
      <w:r>
        <w:rPr>
          <w:spacing w:val="1"/>
        </w:rPr>
        <w:t> </w:t>
      </w:r>
      <w:r>
        <w:rPr/>
        <w:t>HbSS</w:t>
      </w:r>
      <w:r>
        <w:rPr>
          <w:spacing w:val="1"/>
        </w:rPr>
        <w:t> </w:t>
      </w:r>
      <w:r>
        <w:rPr/>
        <w:t>+</w:t>
      </w:r>
      <w:r>
        <w:rPr>
          <w:spacing w:val="-1"/>
        </w:rPr>
        <w:t> </w:t>
      </w:r>
      <w:r>
        <w:rPr/>
        <w:t>F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HbSC</w:t>
      </w:r>
      <w:r>
        <w:rPr>
          <w:spacing w:val="3"/>
        </w:rPr>
        <w:t> </w:t>
      </w:r>
      <w:r>
        <w:rPr/>
        <w:t>variants.</w:t>
      </w:r>
    </w:p>
    <w:p>
      <w:pPr>
        <w:pStyle w:val="BodyText"/>
        <w:spacing w:line="360" w:lineRule="auto" w:before="201"/>
        <w:ind w:left="820" w:right="1445"/>
        <w:jc w:val="both"/>
      </w:pPr>
      <w:r>
        <w:rPr/>
        <w:t>Prophylactic folic acid (B9) use is the most popular vitamin in the management of HbSS. Its use</w:t>
      </w:r>
      <w:r>
        <w:rPr>
          <w:spacing w:val="1"/>
        </w:rPr>
        <w:t> </w:t>
      </w:r>
      <w:r>
        <w:rPr/>
        <w:t>in treatment is based on preventing deficiency from increased folate turnover (as in any chronic</w:t>
      </w:r>
      <w:r>
        <w:rPr>
          <w:spacing w:val="1"/>
        </w:rPr>
        <w:t> </w:t>
      </w:r>
      <w:r>
        <w:rPr/>
        <w:t>haemolytic</w:t>
      </w:r>
      <w:r>
        <w:rPr>
          <w:spacing w:val="1"/>
        </w:rPr>
        <w:t> </w:t>
      </w:r>
      <w:r>
        <w:rPr/>
        <w:t>anaemia),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reports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megaloblastic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HbSS</w:t>
      </w:r>
      <w:r>
        <w:rPr>
          <w:spacing w:val="1"/>
        </w:rPr>
        <w:t> </w:t>
      </w:r>
      <w:r>
        <w:rPr/>
        <w:t>responsive to folate supplementation. This practice remains a fundamental part of sickle cell</w:t>
      </w:r>
      <w:r>
        <w:rPr>
          <w:spacing w:val="1"/>
        </w:rPr>
        <w:t> </w:t>
      </w:r>
      <w:r>
        <w:rPr/>
        <w:t>treatment (Hyacinth </w:t>
      </w:r>
      <w:r>
        <w:rPr>
          <w:i/>
        </w:rPr>
        <w:t>et al</w:t>
      </w:r>
      <w:r>
        <w:rPr/>
        <w:t>., 2010). Folic acid is readily available and affordable. In the present</w:t>
      </w:r>
      <w:r>
        <w:rPr>
          <w:spacing w:val="1"/>
        </w:rPr>
        <w:t> </w:t>
      </w:r>
      <w:r>
        <w:rPr/>
        <w:t>study,</w:t>
      </w:r>
      <w:r>
        <w:rPr>
          <w:spacing w:val="7"/>
        </w:rPr>
        <w:t> </w:t>
      </w:r>
      <w:r>
        <w:rPr/>
        <w:t>folic acid</w:t>
      </w:r>
      <w:r>
        <w:rPr>
          <w:spacing w:val="1"/>
        </w:rPr>
        <w:t> </w:t>
      </w:r>
      <w:r>
        <w:rPr/>
        <w:t>utilisation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all</w:t>
      </w:r>
      <w:r>
        <w:rPr>
          <w:spacing w:val="-9"/>
        </w:rPr>
        <w:t> </w:t>
      </w:r>
      <w:r>
        <w:rPr/>
        <w:t>the SCD</w:t>
      </w:r>
      <w:r>
        <w:rPr>
          <w:spacing w:val="1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across</w:t>
      </w:r>
      <w:r>
        <w:rPr>
          <w:spacing w:val="-1"/>
        </w:rPr>
        <w:t> </w:t>
      </w:r>
      <w:r>
        <w:rPr/>
        <w:t>all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groups</w:t>
      </w:r>
      <w:r>
        <w:rPr>
          <w:spacing w:val="-1"/>
        </w:rPr>
        <w:t> </w:t>
      </w:r>
      <w:r>
        <w:rPr/>
        <w:t>was</w:t>
      </w:r>
      <w:r>
        <w:rPr>
          <w:spacing w:val="-6"/>
        </w:rPr>
        <w:t> </w:t>
      </w:r>
      <w:r>
        <w:rPr/>
        <w:t>the same (100%).</w:t>
      </w:r>
    </w:p>
    <w:p>
      <w:pPr>
        <w:pStyle w:val="BodyText"/>
        <w:spacing w:line="360" w:lineRule="auto" w:before="200"/>
        <w:ind w:left="820" w:right="1439"/>
        <w:jc w:val="both"/>
      </w:pPr>
      <w:r>
        <w:rPr/>
        <w:t>SCD is widely spread in the high malaria endemic areas of Nigeria (Uzoegwu and Onwurah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Proguanil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prophylaxis.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precipitating cause of crises in patients with SCD living in malaria endemic regions (Oniyangi</w:t>
      </w:r>
      <w:r>
        <w:rPr>
          <w:spacing w:val="1"/>
        </w:rPr>
        <w:t> </w:t>
      </w:r>
      <w:r>
        <w:rPr/>
        <w:t>and Omari 2006). Hence the lifelong malaria prophylaxis recommended for these patients. The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accepted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HbS</w:t>
      </w:r>
      <w:r>
        <w:rPr>
          <w:spacing w:val="1"/>
        </w:rPr>
        <w:t> </w:t>
      </w:r>
      <w:r>
        <w:rPr/>
        <w:t>offers</w:t>
      </w:r>
      <w:r>
        <w:rPr>
          <w:spacing w:val="1"/>
        </w:rPr>
        <w:t> </w:t>
      </w:r>
      <w:r>
        <w:rPr/>
        <w:t>selective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falciparum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probably because of induction of sickling even at physiological oxygen tension by </w:t>
      </w:r>
      <w:r>
        <w:rPr>
          <w:i/>
        </w:rPr>
        <w:t>Plasmodium</w:t>
      </w:r>
      <w:r>
        <w:rPr>
          <w:i/>
          <w:spacing w:val="1"/>
        </w:rPr>
        <w:t> </w:t>
      </w:r>
      <w:r>
        <w:rPr>
          <w:i/>
        </w:rPr>
        <w:t>falciparum </w:t>
      </w:r>
      <w:r>
        <w:rPr/>
        <w:t>followed by sequestration of parasitized red cells deep within reticulo-endothelial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microenvironment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hostile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parasite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(Desai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Dhanani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Proguanil utilisation was lower than folic acid utilisation in all the sickle cell patients. Some</w:t>
      </w:r>
      <w:r>
        <w:rPr>
          <w:spacing w:val="1"/>
        </w:rPr>
        <w:t> </w:t>
      </w:r>
      <w:r>
        <w:rPr/>
        <w:t>patients complained it was more expensive and not as readily available as folic acid. Others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 a</w:t>
      </w:r>
      <w:r>
        <w:rPr>
          <w:spacing w:val="1"/>
        </w:rPr>
        <w:t> </w:t>
      </w:r>
      <w:r>
        <w:rPr/>
        <w:t>bitter</w:t>
      </w:r>
      <w:r>
        <w:rPr>
          <w:spacing w:val="1"/>
        </w:rPr>
        <w:t> </w:t>
      </w:r>
      <w:r>
        <w:rPr/>
        <w:t>in taste.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SCD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crises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higher</w:t>
      </w:r>
      <w:r>
        <w:rPr>
          <w:spacing w:val="60"/>
        </w:rPr>
        <w:t> </w:t>
      </w:r>
      <w:r>
        <w:rPr/>
        <w:t>proguanil</w:t>
      </w:r>
      <w:r>
        <w:rPr>
          <w:spacing w:val="1"/>
        </w:rPr>
        <w:t> </w:t>
      </w:r>
      <w:r>
        <w:rPr/>
        <w:t>utilisation (73%) than the SCD patients in steady state (67%). While, the HbSC had the highest</w:t>
      </w:r>
      <w:r>
        <w:rPr>
          <w:spacing w:val="1"/>
        </w:rPr>
        <w:t> </w:t>
      </w:r>
      <w:r>
        <w:rPr/>
        <w:t>proguanil utilisation (83%),</w:t>
      </w:r>
      <w:r>
        <w:rPr>
          <w:spacing w:val="1"/>
        </w:rPr>
        <w:t> </w:t>
      </w:r>
      <w:r>
        <w:rPr/>
        <w:t>followed by the HbSS (71%), and the HbSS+F had the</w:t>
      </w:r>
      <w:r>
        <w:rPr>
          <w:spacing w:val="1"/>
        </w:rPr>
        <w:t> </w:t>
      </w:r>
      <w:r>
        <w:rPr/>
        <w:t>lowest</w:t>
      </w:r>
      <w:r>
        <w:rPr>
          <w:spacing w:val="1"/>
        </w:rPr>
        <w:t> </w:t>
      </w:r>
      <w:r>
        <w:rPr/>
        <w:t>proguanil</w:t>
      </w:r>
      <w:r>
        <w:rPr>
          <w:spacing w:val="-7"/>
        </w:rPr>
        <w:t> </w:t>
      </w:r>
      <w:r>
        <w:rPr/>
        <w:t>utilisation</w:t>
      </w:r>
      <w:r>
        <w:rPr>
          <w:spacing w:val="-4"/>
        </w:rPr>
        <w:t> </w:t>
      </w:r>
      <w:r>
        <w:rPr/>
        <w:t>(62%).</w:t>
      </w:r>
    </w:p>
    <w:p>
      <w:pPr>
        <w:pStyle w:val="BodyText"/>
        <w:spacing w:line="360" w:lineRule="auto" w:before="199"/>
        <w:ind w:left="820" w:right="1440"/>
        <w:jc w:val="both"/>
      </w:pPr>
      <w:r>
        <w:rPr/>
        <w:t>Amoxicillin utilisation by the SCD patients in crises and the SCD patients in steady state was</w:t>
      </w:r>
      <w:r>
        <w:rPr>
          <w:spacing w:val="1"/>
        </w:rPr>
        <w:t> </w:t>
      </w:r>
      <w:r>
        <w:rPr/>
        <w:t>similar. The HbSS sickle cell patients had the highest amoxicillin utilisation (54%), followed 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HbSC</w:t>
      </w:r>
      <w:r>
        <w:rPr>
          <w:spacing w:val="1"/>
        </w:rPr>
        <w:t> </w:t>
      </w:r>
      <w:r>
        <w:rPr/>
        <w:t>(50%),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HbSS+F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lowest</w:t>
      </w:r>
      <w:r>
        <w:rPr>
          <w:spacing w:val="1"/>
        </w:rPr>
        <w:t> </w:t>
      </w:r>
      <w:r>
        <w:rPr/>
        <w:t>amoxicillin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(38%).</w:t>
      </w:r>
      <w:r>
        <w:rPr>
          <w:spacing w:val="1"/>
        </w:rPr>
        <w:t> </w:t>
      </w:r>
      <w:r>
        <w:rPr/>
        <w:t>Further</w:t>
      </w:r>
      <w:r>
        <w:rPr>
          <w:spacing w:val="-57"/>
        </w:rPr>
        <w:t> </w:t>
      </w:r>
      <w:r>
        <w:rPr/>
        <w:t>analysis showed that, the SCD patients on amoxicillin had a statistically significantly higher</w:t>
      </w:r>
      <w:r>
        <w:rPr>
          <w:spacing w:val="1"/>
        </w:rPr>
        <w:t> </w:t>
      </w:r>
      <w:r>
        <w:rPr/>
        <w:t>WBC count (10.55 ± 0.48 × 10</w:t>
      </w:r>
      <w:r>
        <w:rPr>
          <w:vertAlign w:val="superscript"/>
        </w:rPr>
        <w:t>9</w:t>
      </w:r>
      <w:r>
        <w:rPr>
          <w:vertAlign w:val="baseline"/>
        </w:rPr>
        <w:t>) than the WBC count SCD patients that were not on amoxicillin</w:t>
      </w:r>
      <w:r>
        <w:rPr>
          <w:spacing w:val="1"/>
          <w:vertAlign w:val="baseline"/>
        </w:rPr>
        <w:t> </w:t>
      </w:r>
      <w:r>
        <w:rPr>
          <w:vertAlign w:val="baseline"/>
        </w:rPr>
        <w:t>(7.82</w:t>
      </w:r>
      <w:r>
        <w:rPr>
          <w:spacing w:val="1"/>
          <w:vertAlign w:val="baseline"/>
        </w:rPr>
        <w:t> </w:t>
      </w:r>
      <w:r>
        <w:rPr>
          <w:vertAlign w:val="baseline"/>
        </w:rPr>
        <w:t>± 0.52</w:t>
      </w:r>
      <w:r>
        <w:rPr>
          <w:spacing w:val="2"/>
          <w:vertAlign w:val="baseline"/>
        </w:rPr>
        <w:t> </w:t>
      </w:r>
      <w:r>
        <w:rPr>
          <w:vertAlign w:val="baseline"/>
        </w:rPr>
        <w:t>×</w:t>
      </w:r>
      <w:r>
        <w:rPr>
          <w:spacing w:val="-3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9</w:t>
      </w:r>
      <w:r>
        <w:rPr>
          <w:vertAlign w:val="baseline"/>
        </w:rPr>
        <w:t>).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60" w:lineRule="auto" w:before="72"/>
        <w:ind w:left="820" w:right="1438"/>
        <w:jc w:val="both"/>
      </w:pPr>
      <w:r>
        <w:rPr/>
        <w:t>Vitamins B6 and B12 have been found to be deficient in SCD patients in addition they are</w:t>
      </w:r>
      <w:r>
        <w:rPr>
          <w:spacing w:val="1"/>
        </w:rPr>
        <w:t> </w:t>
      </w:r>
      <w:r>
        <w:rPr/>
        <w:t>antioxidants; and B6 acts as an essential cofactor for hundreds of enzymes. Vitamin C has been</w:t>
      </w:r>
      <w:r>
        <w:rPr>
          <w:spacing w:val="1"/>
        </w:rPr>
        <w:t> </w:t>
      </w:r>
      <w:r>
        <w:rPr/>
        <w:t>shown in many studies to modulate a wide variety of cellular functions which include bone</w:t>
      </w:r>
      <w:r>
        <w:rPr>
          <w:spacing w:val="1"/>
        </w:rPr>
        <w:t> </w:t>
      </w:r>
      <w:r>
        <w:rPr/>
        <w:t>formation,</w:t>
      </w:r>
      <w:r>
        <w:rPr>
          <w:spacing w:val="20"/>
        </w:rPr>
        <w:t> </w:t>
      </w:r>
      <w:r>
        <w:rPr/>
        <w:t>folic</w:t>
      </w:r>
      <w:r>
        <w:rPr>
          <w:spacing w:val="14"/>
        </w:rPr>
        <w:t> </w:t>
      </w:r>
      <w:r>
        <w:rPr/>
        <w:t>acid</w:t>
      </w:r>
      <w:r>
        <w:rPr>
          <w:spacing w:val="19"/>
        </w:rPr>
        <w:t> </w:t>
      </w:r>
      <w:r>
        <w:rPr/>
        <w:t>metabolism,</w:t>
      </w:r>
      <w:r>
        <w:rPr>
          <w:spacing w:val="16"/>
        </w:rPr>
        <w:t> </w:t>
      </w:r>
      <w:r>
        <w:rPr/>
        <w:t>enhancement</w:t>
      </w:r>
      <w:r>
        <w:rPr>
          <w:spacing w:val="19"/>
        </w:rPr>
        <w:t> </w:t>
      </w:r>
      <w:r>
        <w:rPr/>
        <w:t>of</w:t>
      </w:r>
      <w:r>
        <w:rPr>
          <w:spacing w:val="12"/>
        </w:rPr>
        <w:t> </w:t>
      </w:r>
      <w:r>
        <w:rPr/>
        <w:t>absorption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iron,</w:t>
      </w:r>
      <w:r>
        <w:rPr>
          <w:spacing w:val="21"/>
        </w:rPr>
        <w:t> </w:t>
      </w:r>
      <w:r>
        <w:rPr/>
        <w:t>formation</w:t>
      </w:r>
      <w:r>
        <w:rPr>
          <w:spacing w:val="9"/>
        </w:rPr>
        <w:t> </w:t>
      </w:r>
      <w:r>
        <w:rPr/>
        <w:t>and</w:t>
      </w:r>
      <w:r>
        <w:rPr>
          <w:spacing w:val="19"/>
        </w:rPr>
        <w:t> </w:t>
      </w:r>
      <w:r>
        <w:rPr/>
        <w:t>maturation</w:t>
      </w:r>
      <w:r>
        <w:rPr>
          <w:spacing w:val="-57"/>
        </w:rPr>
        <w:t> </w:t>
      </w:r>
      <w:r>
        <w:rPr/>
        <w:t>of red blood cells and immune response mechanisms (Okochi and Okpuzor 2005). It has been</w:t>
      </w:r>
      <w:r>
        <w:rPr>
          <w:spacing w:val="1"/>
        </w:rPr>
        <w:t> </w:t>
      </w:r>
      <w:r>
        <w:rPr/>
        <w:t>proposed that antioxidants would</w:t>
      </w:r>
      <w:r>
        <w:rPr>
          <w:spacing w:val="60"/>
        </w:rPr>
        <w:t> </w:t>
      </w:r>
      <w:r>
        <w:rPr/>
        <w:t>be effective in alleviating the incidence and severity of crises</w:t>
      </w:r>
      <w:r>
        <w:rPr>
          <w:spacing w:val="1"/>
        </w:rPr>
        <w:t> </w:t>
      </w:r>
      <w:r>
        <w:rPr/>
        <w:t>in sickle cell patients (Okochi and Okpuzor 2005); thus they are commonly prescribed as routine</w:t>
      </w:r>
      <w:r>
        <w:rPr>
          <w:spacing w:val="1"/>
        </w:rPr>
        <w:t> </w:t>
      </w:r>
      <w:r>
        <w:rPr/>
        <w:t>drugs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6"/>
        </w:rPr>
        <w:t> </w:t>
      </w:r>
      <w:r>
        <w:rPr/>
        <w:t>management</w:t>
      </w:r>
      <w:r>
        <w:rPr>
          <w:spacing w:val="3"/>
        </w:rPr>
        <w:t> </w:t>
      </w:r>
      <w:r>
        <w:rPr/>
        <w:t>of</w:t>
      </w:r>
      <w:r>
        <w:rPr>
          <w:spacing w:val="-4"/>
        </w:rPr>
        <w:t> </w:t>
      </w:r>
      <w:r>
        <w:rPr/>
        <w:t>SCD.</w:t>
      </w:r>
    </w:p>
    <w:p>
      <w:pPr>
        <w:pStyle w:val="BodyText"/>
        <w:spacing w:line="360" w:lineRule="auto" w:before="202"/>
        <w:ind w:left="820" w:right="1436"/>
        <w:jc w:val="both"/>
      </w:pPr>
      <w:r>
        <w:rPr/>
        <w:t>Utilisation pattern of vitamin C and vitamin B12 was similar in the SCD patients in crises and in</w:t>
      </w:r>
      <w:r>
        <w:rPr>
          <w:spacing w:val="1"/>
        </w:rPr>
        <w:t> </w:t>
      </w:r>
      <w:r>
        <w:rPr/>
        <w:t>the SCD patients in steady state. Further analysis of utilisation patterns based on haemoglobin</w:t>
      </w:r>
      <w:r>
        <w:rPr>
          <w:spacing w:val="1"/>
        </w:rPr>
        <w:t> </w:t>
      </w:r>
      <w:r>
        <w:rPr/>
        <w:t>variant showed that the HbSS have the lowest utilisation of vitamin B12 (44%). The sickle cell</w:t>
      </w:r>
      <w:r>
        <w:rPr>
          <w:spacing w:val="1"/>
        </w:rPr>
        <w:t> </w:t>
      </w:r>
      <w:r>
        <w:rPr/>
        <w:t>HbSC (67%) and HbSS+F (62%) had similar utilisation patterns. Most patients who were on</w:t>
      </w:r>
      <w:r>
        <w:rPr>
          <w:spacing w:val="1"/>
        </w:rPr>
        <w:t> </w:t>
      </w:r>
      <w:r>
        <w:rPr/>
        <w:t>vitamin B12 used the single tablet combination containing 5 milligrams of folic acid and 5</w:t>
      </w:r>
      <w:r>
        <w:rPr>
          <w:spacing w:val="1"/>
        </w:rPr>
        <w:t> </w:t>
      </w:r>
      <w:r>
        <w:rPr/>
        <w:t>micrograms of vitamin B12. Those who were not on vitamin B12 gave reason of its not being</w:t>
      </w:r>
      <w:r>
        <w:rPr>
          <w:spacing w:val="1"/>
        </w:rPr>
        <w:t> </w:t>
      </w:r>
      <w:r>
        <w:rPr/>
        <w:t>readily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they were</w:t>
      </w:r>
      <w:r>
        <w:rPr>
          <w:spacing w:val="1"/>
        </w:rPr>
        <w:t> </w:t>
      </w:r>
      <w:r>
        <w:rPr/>
        <w:t>advised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preparation which is readily available at an affordable price. Vitamin C utilisation patterns across</w:t>
      </w:r>
      <w:r>
        <w:rPr>
          <w:spacing w:val="-57"/>
        </w:rPr>
        <w:t> </w:t>
      </w:r>
      <w:r>
        <w:rPr/>
        <w:t>the haemoglobin variants were similar (HbSS+F, HbSS, and HbSC had utilisations of 71%, 68%,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67%</w:t>
      </w:r>
      <w:r>
        <w:rPr>
          <w:spacing w:val="4"/>
        </w:rPr>
        <w:t> </w:t>
      </w:r>
      <w:r>
        <w:rPr/>
        <w:t>respectively).</w:t>
      </w:r>
    </w:p>
    <w:p>
      <w:pPr>
        <w:pStyle w:val="BodyText"/>
        <w:spacing w:line="360" w:lineRule="auto" w:before="199"/>
        <w:ind w:left="820" w:right="1436"/>
        <w:jc w:val="both"/>
      </w:pPr>
      <w:r>
        <w:rPr/>
        <w:t>Sickle erythrocytes are more susceptible to peroxidation than normal erythrocytes and this is due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levels.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peroxidative</w:t>
      </w:r>
      <w:r>
        <w:rPr>
          <w:spacing w:val="1"/>
        </w:rPr>
        <w:t> </w:t>
      </w:r>
      <w:r>
        <w:rPr/>
        <w:t>damage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accelerate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contribute to chronic haemolysis (Chiu </w:t>
      </w:r>
      <w:r>
        <w:rPr>
          <w:i/>
        </w:rPr>
        <w:t>et al</w:t>
      </w:r>
      <w:r>
        <w:rPr/>
        <w:t>., 1982). Vitamin E acts to neutralize free radical</w:t>
      </w:r>
      <w:r>
        <w:rPr>
          <w:spacing w:val="1"/>
        </w:rPr>
        <w:t> </w:t>
      </w:r>
      <w:r>
        <w:rPr/>
        <w:t>species produced during normal cellular metabolism, thus primarily functions as an antioxidant</w:t>
      </w:r>
      <w:r>
        <w:rPr>
          <w:spacing w:val="1"/>
        </w:rPr>
        <w:t> </w:t>
      </w:r>
      <w:r>
        <w:rPr/>
        <w:t>(Okochi and Okpuzor 2005). In the present study, vitamin E utilization by the SCD patients in</w:t>
      </w:r>
      <w:r>
        <w:rPr>
          <w:spacing w:val="1"/>
        </w:rPr>
        <w:t> </w:t>
      </w:r>
      <w:r>
        <w:rPr/>
        <w:t>crises was 13%, while the utilization by the SCD patients in steady state was 20%. Further</w:t>
      </w:r>
      <w:r>
        <w:rPr>
          <w:spacing w:val="1"/>
        </w:rPr>
        <w:t> </w:t>
      </w:r>
      <w:r>
        <w:rPr/>
        <w:t>analysis showed the utilization of vitamin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HbSS and HbSC patients to</w:t>
      </w:r>
      <w:r>
        <w:rPr>
          <w:spacing w:val="60"/>
        </w:rPr>
        <w:t> </w:t>
      </w:r>
      <w:r>
        <w:rPr/>
        <w:t>be similar (19%</w:t>
      </w:r>
      <w:r>
        <w:rPr>
          <w:spacing w:val="1"/>
        </w:rPr>
        <w:t> </w:t>
      </w:r>
      <w:r>
        <w:rPr/>
        <w:t>and 17%</w:t>
      </w:r>
      <w:r>
        <w:rPr>
          <w:spacing w:val="2"/>
        </w:rPr>
        <w:t> </w:t>
      </w:r>
      <w:r>
        <w:rPr/>
        <w:t>respectively),</w:t>
      </w:r>
      <w:r>
        <w:rPr>
          <w:spacing w:val="2"/>
        </w:rPr>
        <w:t> </w:t>
      </w:r>
      <w:r>
        <w:rPr/>
        <w:t>while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HbSS+F</w:t>
      </w:r>
      <w:r>
        <w:rPr>
          <w:spacing w:val="-3"/>
        </w:rPr>
        <w:t> </w:t>
      </w:r>
      <w:r>
        <w:rPr/>
        <w:t>had the</w:t>
      </w:r>
      <w:r>
        <w:rPr>
          <w:spacing w:val="4"/>
        </w:rPr>
        <w:t> </w:t>
      </w:r>
      <w:r>
        <w:rPr/>
        <w:t>lowest</w:t>
      </w:r>
      <w:r>
        <w:rPr>
          <w:spacing w:val="5"/>
        </w:rPr>
        <w:t> </w:t>
      </w:r>
      <w:r>
        <w:rPr/>
        <w:t>vitamin</w:t>
      </w:r>
      <w:r>
        <w:rPr>
          <w:spacing w:val="-5"/>
        </w:rPr>
        <w:t> </w:t>
      </w:r>
      <w:r>
        <w:rPr/>
        <w:t>E</w:t>
      </w:r>
      <w:r>
        <w:rPr>
          <w:spacing w:val="2"/>
        </w:rPr>
        <w:t> </w:t>
      </w:r>
      <w:r>
        <w:rPr/>
        <w:t>utilization</w:t>
      </w:r>
      <w:r>
        <w:rPr>
          <w:spacing w:val="-5"/>
        </w:rPr>
        <w:t> </w:t>
      </w:r>
      <w:r>
        <w:rPr/>
        <w:t>(10%).</w:t>
      </w:r>
    </w:p>
    <w:p>
      <w:pPr>
        <w:pStyle w:val="BodyText"/>
        <w:spacing w:line="360" w:lineRule="auto" w:before="197"/>
        <w:ind w:left="820" w:right="1441"/>
        <w:jc w:val="both"/>
      </w:pPr>
      <w:r>
        <w:rPr/>
        <w:t>The kidney in patients with sickle cell disease (SCD) exhibits numerous structural and functional</w:t>
      </w:r>
      <w:r>
        <w:rPr>
          <w:spacing w:val="-57"/>
        </w:rPr>
        <w:t> </w:t>
      </w:r>
      <w:r>
        <w:rPr/>
        <w:t>abnormalities, changes that are seen along the entire length of the nephron. These abnormalities</w:t>
      </w:r>
      <w:r>
        <w:rPr>
          <w:spacing w:val="1"/>
        </w:rPr>
        <w:t> </w:t>
      </w:r>
      <w:r>
        <w:rPr/>
        <w:t>include hypostenuria, hematuria, acute renal failure, glomerular abnormalities and chronic renal</w:t>
      </w:r>
      <w:r>
        <w:rPr>
          <w:spacing w:val="1"/>
        </w:rPr>
        <w:t> </w:t>
      </w:r>
      <w:r>
        <w:rPr/>
        <w:t>failure.</w:t>
      </w:r>
      <w:r>
        <w:rPr>
          <w:spacing w:val="11"/>
        </w:rPr>
        <w:t> </w:t>
      </w:r>
      <w:r>
        <w:rPr/>
        <w:t>Patients</w:t>
      </w:r>
      <w:r>
        <w:rPr>
          <w:spacing w:val="8"/>
        </w:rPr>
        <w:t> </w:t>
      </w:r>
      <w:r>
        <w:rPr/>
        <w:t>with</w:t>
      </w:r>
      <w:r>
        <w:rPr>
          <w:spacing w:val="5"/>
        </w:rPr>
        <w:t> </w:t>
      </w:r>
      <w:r>
        <w:rPr/>
        <w:t>SCD</w:t>
      </w:r>
      <w:r>
        <w:rPr>
          <w:spacing w:val="14"/>
        </w:rPr>
        <w:t> </w:t>
      </w:r>
      <w:r>
        <w:rPr/>
        <w:t>should</w:t>
      </w:r>
      <w:r>
        <w:rPr>
          <w:spacing w:val="9"/>
        </w:rPr>
        <w:t> </w:t>
      </w:r>
      <w:r>
        <w:rPr/>
        <w:t>therefore</w:t>
      </w:r>
      <w:r>
        <w:rPr>
          <w:spacing w:val="9"/>
        </w:rPr>
        <w:t> </w:t>
      </w:r>
      <w:r>
        <w:rPr/>
        <w:t>be</w:t>
      </w:r>
      <w:r>
        <w:rPr>
          <w:spacing w:val="9"/>
        </w:rPr>
        <w:t> </w:t>
      </w:r>
      <w:r>
        <w:rPr/>
        <w:t>encouraged</w:t>
      </w:r>
      <w:r>
        <w:rPr>
          <w:spacing w:val="5"/>
        </w:rPr>
        <w:t> </w:t>
      </w:r>
      <w:r>
        <w:rPr/>
        <w:t>to</w:t>
      </w:r>
      <w:r>
        <w:rPr>
          <w:spacing w:val="14"/>
        </w:rPr>
        <w:t> </w:t>
      </w:r>
      <w:r>
        <w:rPr/>
        <w:t>drink</w:t>
      </w:r>
      <w:r>
        <w:rPr>
          <w:spacing w:val="14"/>
        </w:rPr>
        <w:t> </w:t>
      </w:r>
      <w:r>
        <w:rPr/>
        <w:t>liberal</w:t>
      </w:r>
      <w:r>
        <w:rPr>
          <w:spacing w:val="5"/>
        </w:rPr>
        <w:t> </w:t>
      </w:r>
      <w:r>
        <w:rPr/>
        <w:t>amounts</w:t>
      </w:r>
      <w:r>
        <w:rPr>
          <w:spacing w:val="7"/>
        </w:rPr>
        <w:t> </w:t>
      </w:r>
      <w:r>
        <w:rPr/>
        <w:t>of</w:t>
      </w:r>
      <w:r>
        <w:rPr>
          <w:spacing w:val="11"/>
        </w:rPr>
        <w:t> </w:t>
      </w:r>
      <w:r>
        <w:rPr/>
        <w:t>liquids</w:t>
      </w:r>
      <w:r>
        <w:rPr>
          <w:spacing w:val="12"/>
        </w:rPr>
        <w:t> </w:t>
      </w:r>
      <w:r>
        <w:rPr/>
        <w:t>in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60" w:lineRule="auto" w:before="72"/>
        <w:ind w:left="820" w:right="1445"/>
        <w:jc w:val="both"/>
      </w:pPr>
      <w:r>
        <w:rPr/>
        <w:t>order to compensate for the fluid loss that is brought on by hyposthenuria (Isoa, 2009). Eye</w:t>
      </w:r>
      <w:r>
        <w:rPr>
          <w:spacing w:val="1"/>
        </w:rPr>
        <w:t> </w:t>
      </w:r>
      <w:r>
        <w:rPr/>
        <w:t>disorders,</w:t>
      </w:r>
      <w:r>
        <w:rPr>
          <w:spacing w:val="1"/>
        </w:rPr>
        <w:t> </w:t>
      </w:r>
      <w:r>
        <w:rPr/>
        <w:t>priapism,</w:t>
      </w:r>
      <w:r>
        <w:rPr>
          <w:spacing w:val="1"/>
        </w:rPr>
        <w:t> </w:t>
      </w:r>
      <w:r>
        <w:rPr/>
        <w:t>bone</w:t>
      </w:r>
      <w:r>
        <w:rPr>
          <w:spacing w:val="1"/>
        </w:rPr>
        <w:t> </w:t>
      </w:r>
      <w:r>
        <w:rPr/>
        <w:t>pains,</w:t>
      </w:r>
      <w:r>
        <w:rPr>
          <w:spacing w:val="1"/>
        </w:rPr>
        <w:t> </w:t>
      </w:r>
      <w:r>
        <w:rPr/>
        <w:t>AVN,</w:t>
      </w:r>
      <w:r>
        <w:rPr>
          <w:spacing w:val="1"/>
        </w:rPr>
        <w:t> </w:t>
      </w:r>
      <w:r>
        <w:rPr/>
        <w:t>haematuria,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vasoocclusion.</w:t>
      </w:r>
      <w:r>
        <w:rPr>
          <w:spacing w:val="1"/>
        </w:rPr>
        <w:t> </w:t>
      </w:r>
      <w:r>
        <w:rPr/>
        <w:t>Simultaneous to this, dehydration is an important</w:t>
      </w:r>
      <w:r>
        <w:rPr>
          <w:spacing w:val="60"/>
        </w:rPr>
        <w:t> </w:t>
      </w:r>
      <w:r>
        <w:rPr/>
        <w:t>indicator for vasoocclusion. Therefore, the</w:t>
      </w:r>
      <w:r>
        <w:rPr>
          <w:spacing w:val="1"/>
        </w:rPr>
        <w:t> </w:t>
      </w:r>
      <w:r>
        <w:rPr/>
        <w:t>SCD patient should be encouraged to take fluids. Patients presenting with VOC should as a first</w:t>
      </w:r>
      <w:r>
        <w:rPr>
          <w:spacing w:val="1"/>
        </w:rPr>
        <w:t> </w:t>
      </w:r>
      <w:r>
        <w:rPr/>
        <w:t>aid measure be given IVFs (except where contraindicated e.g. congestive heart failure). All</w:t>
      </w:r>
      <w:r>
        <w:rPr>
          <w:spacing w:val="1"/>
        </w:rPr>
        <w:t> </w:t>
      </w:r>
      <w:r>
        <w:rPr/>
        <w:t>patients were advised during each clinic visit to take liberal fluids, but only 49% of the SCD</w:t>
      </w:r>
      <w:r>
        <w:rPr>
          <w:spacing w:val="1"/>
        </w:rPr>
        <w:t> </w:t>
      </w:r>
      <w:r>
        <w:rPr/>
        <w:t>patients in crises and 62% of SCD patients in steady state took liberal fluids. A few patients said</w:t>
      </w:r>
      <w:r>
        <w:rPr>
          <w:spacing w:val="1"/>
        </w:rPr>
        <w:t> </w:t>
      </w:r>
      <w:r>
        <w:rPr/>
        <w:t>taking liberal fluids was inconvenient because it made them frequently pass urine and they 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always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comfortable environment</w:t>
      </w:r>
      <w:r>
        <w:rPr>
          <w:spacing w:val="3"/>
        </w:rPr>
        <w:t> </w:t>
      </w:r>
      <w:r>
        <w:rPr/>
        <w:t>to</w:t>
      </w:r>
      <w:r>
        <w:rPr>
          <w:spacing w:val="1"/>
        </w:rPr>
        <w:t> </w:t>
      </w:r>
      <w:r>
        <w:rPr/>
        <w:t>do</w:t>
      </w:r>
      <w:r>
        <w:rPr>
          <w:spacing w:val="7"/>
        </w:rPr>
        <w:t> </w:t>
      </w:r>
      <w:r>
        <w:rPr/>
        <w:t>so.</w:t>
      </w:r>
    </w:p>
    <w:p>
      <w:pPr>
        <w:pStyle w:val="BodyText"/>
        <w:spacing w:line="360" w:lineRule="auto" w:before="200"/>
        <w:ind w:left="820" w:right="1438"/>
        <w:jc w:val="both"/>
      </w:pPr>
      <w:r>
        <w:rPr/>
        <w:t>Hydroxyurea was utilised by 4% of the SCD patients in the study. These SCD patients were all</w:t>
      </w:r>
      <w:r>
        <w:rPr>
          <w:spacing w:val="1"/>
        </w:rPr>
        <w:t> </w:t>
      </w:r>
      <w:r>
        <w:rPr/>
        <w:t>HbSS and during the study, they were in steady state. Hydroxurea is efficacious in children and</w:t>
      </w:r>
      <w:r>
        <w:rPr>
          <w:spacing w:val="1"/>
        </w:rPr>
        <w:t> </w:t>
      </w:r>
      <w:r>
        <w:rPr/>
        <w:t>adults with SCD, and has been proven to increase percentage of HbF, and reduce hospitalizations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pain</w:t>
      </w:r>
      <w:r>
        <w:rPr>
          <w:spacing w:val="-3"/>
        </w:rPr>
        <w:t> </w:t>
      </w:r>
      <w:r>
        <w:rPr/>
        <w:t>crises (Segal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4"/>
        </w:rPr>
        <w:t> </w:t>
      </w:r>
      <w:r>
        <w:rPr/>
        <w:t>2008).</w:t>
      </w:r>
    </w:p>
    <w:p>
      <w:pPr>
        <w:pStyle w:val="BodyText"/>
        <w:spacing w:line="360" w:lineRule="auto" w:before="197"/>
        <w:ind w:left="820" w:right="1440"/>
        <w:jc w:val="both"/>
      </w:pPr>
      <w:r>
        <w:rPr/>
        <w:t>Opiod and non opiod analgesics were used in management of pain in the haematology clinic of</w:t>
      </w:r>
      <w:r>
        <w:rPr>
          <w:spacing w:val="1"/>
        </w:rPr>
        <w:t> </w:t>
      </w:r>
      <w:r>
        <w:rPr/>
        <w:t>ABUTH,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accordance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presented to the haematology clinic in painful crises were immediately hydrated using five</w:t>
      </w:r>
      <w:r>
        <w:rPr>
          <w:spacing w:val="1"/>
        </w:rPr>
        <w:t> </w:t>
      </w:r>
      <w:r>
        <w:rPr/>
        <w:t>percent dextrose saline or if they were not too ill to drink adequate amounts of water, they were</w:t>
      </w:r>
      <w:r>
        <w:rPr>
          <w:spacing w:val="1"/>
        </w:rPr>
        <w:t> </w:t>
      </w:r>
      <w:r>
        <w:rPr/>
        <w:t>encouraged to do so. The patients were also assessed for the cause of pain and other possible</w:t>
      </w:r>
      <w:r>
        <w:rPr>
          <w:spacing w:val="1"/>
        </w:rPr>
        <w:t> </w:t>
      </w:r>
      <w:r>
        <w:rPr/>
        <w:t>complications, after which they were treated appropriately. Interview with the doctors revealed a</w:t>
      </w:r>
      <w:r>
        <w:rPr>
          <w:spacing w:val="1"/>
        </w:rPr>
        <w:t> </w:t>
      </w:r>
      <w:r>
        <w:rPr/>
        <w:t>deep concern for the SCD patient; who often experience pain severe enough to require treatment</w:t>
      </w:r>
      <w:r>
        <w:rPr>
          <w:spacing w:val="1"/>
        </w:rPr>
        <w:t> </w:t>
      </w:r>
      <w:r>
        <w:rPr/>
        <w:t>with analgesics. Analgesics are the foundation for the management of sickle cell pain, and their</w:t>
      </w:r>
      <w:r>
        <w:rPr>
          <w:spacing w:val="1"/>
        </w:rPr>
        <w:t> </w:t>
      </w:r>
      <w:r>
        <w:rPr/>
        <w:t>use should be tailored to the individual patient. However, in general, duration and frequency of</w:t>
      </w:r>
      <w:r>
        <w:rPr>
          <w:spacing w:val="1"/>
        </w:rPr>
        <w:t> </w:t>
      </w:r>
      <w:r>
        <w:rPr/>
        <w:t>pain episodes in the SCD patient is high, and this raises the risk of peptic ulcer and nephropathy</w:t>
      </w:r>
      <w:r>
        <w:rPr>
          <w:spacing w:val="1"/>
        </w:rPr>
        <w:t> </w:t>
      </w:r>
      <w:r>
        <w:rPr/>
        <w:t>with non steroidal anti-inflammatory analgesics (NSAIDS) and that of addiction with use of</w:t>
      </w:r>
      <w:r>
        <w:rPr>
          <w:spacing w:val="1"/>
        </w:rPr>
        <w:t> </w:t>
      </w:r>
      <w:r>
        <w:rPr/>
        <w:t>opioid analgesics. Both NSAIDs and opioid analgesics were used to manage pain in the SCD</w:t>
      </w:r>
      <w:r>
        <w:rPr>
          <w:spacing w:val="1"/>
        </w:rPr>
        <w:t> </w:t>
      </w:r>
      <w:r>
        <w:rPr/>
        <w:t>patients in the study, the WHO three-step ladder for the management of pain in cancer was used</w:t>
      </w:r>
      <w:r>
        <w:rPr>
          <w:spacing w:val="1"/>
        </w:rPr>
        <w:t> </w:t>
      </w:r>
      <w:r>
        <w:rPr/>
        <w:t>in making a choice of analgesic. In addition, the unique characteristic of each patient was taken</w:t>
      </w:r>
      <w:r>
        <w:rPr>
          <w:spacing w:val="1"/>
        </w:rPr>
        <w:t> </w:t>
      </w:r>
      <w:r>
        <w:rPr/>
        <w:t>into consideration with respect to previous adverse drug reactions (e.g. headache or insomnia</w:t>
      </w:r>
      <w:r>
        <w:rPr>
          <w:spacing w:val="1"/>
        </w:rPr>
        <w:t> </w:t>
      </w:r>
      <w:r>
        <w:rPr/>
        <w:t>with pentazocin, uncontrollable vomiting with tramadol especially when given intravenously,</w:t>
      </w:r>
      <w:r>
        <w:rPr>
          <w:spacing w:val="1"/>
        </w:rPr>
        <w:t> </w:t>
      </w:r>
      <w:r>
        <w:rPr/>
        <w:t>epigastric</w:t>
      </w:r>
      <w:r>
        <w:rPr>
          <w:spacing w:val="-2"/>
        </w:rPr>
        <w:t> </w:t>
      </w:r>
      <w:r>
        <w:rPr/>
        <w:t>pain</w:t>
      </w:r>
      <w:r>
        <w:rPr>
          <w:spacing w:val="-6"/>
        </w:rPr>
        <w:t> </w:t>
      </w:r>
      <w:r>
        <w:rPr/>
        <w:t>with</w:t>
      </w:r>
      <w:r>
        <w:rPr>
          <w:spacing w:val="-1"/>
        </w:rPr>
        <w:t> </w:t>
      </w:r>
      <w:r>
        <w:rPr/>
        <w:t>ibuprofen) as</w:t>
      </w:r>
      <w:r>
        <w:rPr>
          <w:spacing w:val="-3"/>
        </w:rPr>
        <w:t> </w:t>
      </w:r>
      <w:r>
        <w:rPr/>
        <w:t>well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sickle</w:t>
      </w:r>
      <w:r>
        <w:rPr>
          <w:spacing w:val="-2"/>
        </w:rPr>
        <w:t> </w:t>
      </w:r>
      <w:r>
        <w:rPr/>
        <w:t>cell</w:t>
      </w:r>
      <w:r>
        <w:rPr>
          <w:spacing w:val="-9"/>
        </w:rPr>
        <w:t> </w:t>
      </w:r>
      <w:r>
        <w:rPr/>
        <w:t>co</w:t>
      </w:r>
      <w:r>
        <w:rPr>
          <w:spacing w:val="7"/>
        </w:rPr>
        <w:t> </w:t>
      </w:r>
      <w:r>
        <w:rPr/>
        <w:t>morbid</w:t>
      </w:r>
      <w:r>
        <w:rPr>
          <w:spacing w:val="4"/>
        </w:rPr>
        <w:t> </w:t>
      </w:r>
      <w:r>
        <w:rPr/>
        <w:t>illnesses</w:t>
      </w:r>
      <w:r>
        <w:rPr>
          <w:spacing w:val="-3"/>
        </w:rPr>
        <w:t> </w:t>
      </w:r>
      <w:r>
        <w:rPr/>
        <w:t>(mentioned</w:t>
      </w:r>
      <w:r>
        <w:rPr>
          <w:spacing w:val="-1"/>
        </w:rPr>
        <w:t> </w:t>
      </w:r>
      <w:r>
        <w:rPr/>
        <w:t>above).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60" w:lineRule="auto" w:before="72"/>
        <w:ind w:left="820" w:right="1442"/>
        <w:jc w:val="both"/>
      </w:pPr>
      <w:r>
        <w:rPr/>
        <w:t>The HbSS patients generally had a higher analgesic utilisation pattern than the HbSS+F and the</w:t>
      </w:r>
      <w:r>
        <w:rPr>
          <w:spacing w:val="1"/>
        </w:rPr>
        <w:t> </w:t>
      </w:r>
      <w:r>
        <w:rPr/>
        <w:t>HbSC. Paracetamol utilisation across all the SCD patients was similar. Ibuprofen utilisation by</w:t>
      </w:r>
      <w:r>
        <w:rPr>
          <w:spacing w:val="1"/>
        </w:rPr>
        <w:t> </w:t>
      </w:r>
      <w:r>
        <w:rPr/>
        <w:t>the HbSS was the highest (54%), while HbSS+F had an ibuprofen utilisation of 38% and HbSC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33%.</w:t>
      </w:r>
      <w:r>
        <w:rPr>
          <w:spacing w:val="1"/>
        </w:rPr>
        <w:t> </w:t>
      </w:r>
      <w:r>
        <w:rPr/>
        <w:t>Diclofenac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HbSS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HbSC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(70%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67%</w:t>
      </w:r>
      <w:r>
        <w:rPr>
          <w:spacing w:val="1"/>
        </w:rPr>
        <w:t> </w:t>
      </w:r>
      <w:r>
        <w:rPr/>
        <w:t>respectively),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HbSS+F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48%.</w:t>
      </w:r>
      <w:r>
        <w:rPr>
          <w:spacing w:val="1"/>
        </w:rPr>
        <w:t> </w:t>
      </w:r>
      <w:r>
        <w:rPr/>
        <w:t>Tramadol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utilisation pattern with diclofenac (HbSS, HbSC and HbSS+F had utilisations of 73%, 67%, and</w:t>
      </w:r>
      <w:r>
        <w:rPr>
          <w:spacing w:val="1"/>
        </w:rPr>
        <w:t> </w:t>
      </w:r>
      <w:r>
        <w:rPr/>
        <w:t>43% respectively). Pentazocin utilisation by the HbSS was highest (43%), followed by the HbSC</w:t>
      </w:r>
      <w:r>
        <w:rPr>
          <w:spacing w:val="-57"/>
        </w:rPr>
        <w:t> </w:t>
      </w:r>
      <w:r>
        <w:rPr/>
        <w:t>(33%), while the HbSS+F had the lowest utilisation (29%). Utilisation of pethidine was 2% and</w:t>
      </w:r>
      <w:r>
        <w:rPr>
          <w:spacing w:val="1"/>
        </w:rPr>
        <w:t> </w:t>
      </w:r>
      <w:r>
        <w:rPr/>
        <w:t>the SCD patients that had used pethidine in the study were HbSS. Only 7% of all the SCD</w:t>
      </w:r>
      <w:r>
        <w:rPr>
          <w:spacing w:val="1"/>
        </w:rPr>
        <w:t> </w:t>
      </w:r>
      <w:r>
        <w:rPr/>
        <w:t>patients in the study had used morphine and they were in crises during the study. Morphine</w:t>
      </w:r>
      <w:r>
        <w:rPr>
          <w:spacing w:val="1"/>
        </w:rPr>
        <w:t> </w:t>
      </w:r>
      <w:r>
        <w:rPr/>
        <w:t>utilisation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HbSS+F</w:t>
      </w:r>
      <w:r>
        <w:rPr>
          <w:spacing w:val="-3"/>
        </w:rPr>
        <w:t> </w:t>
      </w:r>
      <w:r>
        <w:rPr/>
        <w:t>was</w:t>
      </w:r>
      <w:r>
        <w:rPr>
          <w:spacing w:val="-1"/>
        </w:rPr>
        <w:t> </w:t>
      </w:r>
      <w:r>
        <w:rPr/>
        <w:t>1%,</w:t>
      </w:r>
      <w:r>
        <w:rPr>
          <w:spacing w:val="4"/>
        </w:rPr>
        <w:t> </w:t>
      </w:r>
      <w:r>
        <w:rPr/>
        <w:t>while the utilisation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the HbSS</w:t>
      </w:r>
      <w:r>
        <w:rPr>
          <w:spacing w:val="3"/>
        </w:rPr>
        <w:t> </w:t>
      </w:r>
      <w:r>
        <w:rPr/>
        <w:t>was</w:t>
      </w:r>
      <w:r>
        <w:rPr>
          <w:spacing w:val="-1"/>
        </w:rPr>
        <w:t> </w:t>
      </w:r>
      <w:r>
        <w:rPr/>
        <w:t>6%.</w:t>
      </w:r>
    </w:p>
    <w:p>
      <w:pPr>
        <w:pStyle w:val="Heading1"/>
        <w:numPr>
          <w:ilvl w:val="1"/>
          <w:numId w:val="33"/>
        </w:numPr>
        <w:tabs>
          <w:tab w:pos="1242" w:val="left" w:leader="none"/>
        </w:tabs>
        <w:spacing w:line="240" w:lineRule="auto" w:before="198" w:after="0"/>
        <w:ind w:left="1241" w:right="0" w:hanging="360"/>
        <w:jc w:val="both"/>
      </w:pPr>
      <w:r>
        <w:rPr/>
        <w:t>Full</w:t>
      </w:r>
      <w:r>
        <w:rPr>
          <w:spacing w:val="-4"/>
        </w:rPr>
        <w:t> </w:t>
      </w:r>
      <w:r>
        <w:rPr/>
        <w:t>Blood</w:t>
      </w:r>
      <w:r>
        <w:rPr>
          <w:spacing w:val="1"/>
        </w:rPr>
        <w:t> </w:t>
      </w:r>
      <w:r>
        <w:rPr/>
        <w:t>Count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Groups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39"/>
        <w:jc w:val="both"/>
      </w:pPr>
      <w:r>
        <w:rPr/>
        <w:t>Recent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implicates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clotting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pathophysiology of sickle cell disease (SCD) (Sarris </w:t>
      </w:r>
      <w:r>
        <w:rPr>
          <w:i/>
        </w:rPr>
        <w:t>et al</w:t>
      </w:r>
      <w:r>
        <w:rPr/>
        <w:t>., 2008). Platelet count of SCD patients</w:t>
      </w:r>
      <w:r>
        <w:rPr>
          <w:spacing w:val="1"/>
        </w:rPr>
        <w:t> </w:t>
      </w:r>
      <w:r>
        <w:rPr/>
        <w:t>in crises and HbAA volunteers were within normal range while that of SCD in steady state was</w:t>
      </w:r>
      <w:r>
        <w:rPr>
          <w:spacing w:val="1"/>
        </w:rPr>
        <w:t> </w:t>
      </w:r>
      <w:r>
        <w:rPr/>
        <w:t>above</w:t>
      </w:r>
      <w:r>
        <w:rPr>
          <w:spacing w:val="60"/>
        </w:rPr>
        <w:t> </w:t>
      </w:r>
      <w:r>
        <w:rPr/>
        <w:t>normal range. There was a statistically significant difference between the groups. Kenny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(1980)</w:t>
      </w:r>
      <w:r>
        <w:rPr>
          <w:spacing w:val="1"/>
        </w:rPr>
        <w:t> </w:t>
      </w:r>
      <w:r>
        <w:rPr/>
        <w:t>suggested that</w:t>
      </w:r>
      <w:r>
        <w:rPr>
          <w:spacing w:val="1"/>
        </w:rPr>
        <w:t> </w:t>
      </w:r>
      <w:r>
        <w:rPr/>
        <w:t>platelet</w:t>
      </w:r>
      <w:r>
        <w:rPr>
          <w:spacing w:val="1"/>
        </w:rPr>
        <w:t> </w:t>
      </w:r>
      <w:r>
        <w:rPr/>
        <w:t>hyperactivity of the</w:t>
      </w:r>
      <w:r>
        <w:rPr>
          <w:spacing w:val="1"/>
        </w:rPr>
        <w:t> </w:t>
      </w:r>
      <w:r>
        <w:rPr/>
        <w:t>sickle-cell steady state</w:t>
      </w:r>
      <w:r>
        <w:rPr>
          <w:spacing w:val="1"/>
        </w:rPr>
        <w:t> </w:t>
      </w:r>
      <w:r>
        <w:rPr/>
        <w:t>reflects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increased circulating population of young, metabolically active platelets resulting from previous</w:t>
      </w:r>
      <w:r>
        <w:rPr>
          <w:spacing w:val="1"/>
        </w:rPr>
        <w:t> </w:t>
      </w:r>
      <w:r>
        <w:rPr/>
        <w:t>autosplenectomy. They continued by saying that platelets are implicated in vaso occlusive crises,</w:t>
      </w:r>
      <w:r>
        <w:rPr>
          <w:spacing w:val="-57"/>
        </w:rPr>
        <w:t> </w:t>
      </w:r>
      <w:r>
        <w:rPr/>
        <w:t>and</w:t>
      </w:r>
      <w:r>
        <w:rPr>
          <w:spacing w:val="6"/>
        </w:rPr>
        <w:t> </w:t>
      </w:r>
      <w:r>
        <w:rPr/>
        <w:t>may</w:t>
      </w:r>
      <w:r>
        <w:rPr>
          <w:spacing w:val="-4"/>
        </w:rPr>
        <w:t> </w:t>
      </w:r>
      <w:r>
        <w:rPr/>
        <w:t>fall</w:t>
      </w:r>
      <w:r>
        <w:rPr>
          <w:spacing w:val="-8"/>
        </w:rPr>
        <w:t> </w:t>
      </w:r>
      <w:r>
        <w:rPr/>
        <w:t>during</w:t>
      </w:r>
      <w:r>
        <w:rPr>
          <w:spacing w:val="2"/>
        </w:rPr>
        <w:t> </w:t>
      </w:r>
      <w:r>
        <w:rPr/>
        <w:t>crises</w:t>
      </w:r>
      <w:r>
        <w:rPr>
          <w:spacing w:val="-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steady-state values (Kenny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1980).</w:t>
      </w:r>
    </w:p>
    <w:p>
      <w:pPr>
        <w:pStyle w:val="BodyText"/>
        <w:spacing w:line="360" w:lineRule="auto" w:before="202"/>
        <w:ind w:left="820" w:right="1440"/>
        <w:jc w:val="both"/>
      </w:pPr>
      <w:r>
        <w:rPr/>
        <w:t>The most common cause of elevated platelet count is iron deficiency which was not the case in</w:t>
      </w:r>
      <w:r>
        <w:rPr>
          <w:spacing w:val="1"/>
        </w:rPr>
        <w:t> </w:t>
      </w:r>
      <w:r>
        <w:rPr/>
        <w:t>the present study. Perhaps the elevation found among the SCD patients in steady state in present</w:t>
      </w:r>
      <w:r>
        <w:rPr>
          <w:spacing w:val="1"/>
        </w:rPr>
        <w:t> </w:t>
      </w:r>
      <w:r>
        <w:rPr/>
        <w:t>study was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inflammation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SCD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trigger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thrombocytic response. Therefore, to alleviate the vasodilatory effect, antiplatelet drugs such as</w:t>
      </w:r>
      <w:r>
        <w:rPr>
          <w:spacing w:val="1"/>
        </w:rPr>
        <w:t> </w:t>
      </w:r>
      <w:r>
        <w:rPr/>
        <w:t>aspirin and dipyridamole have a role. However, there is a need for caution in SCD patients with</w:t>
      </w:r>
      <w:r>
        <w:rPr>
          <w:spacing w:val="1"/>
        </w:rPr>
        <w:t> </w:t>
      </w:r>
      <w:r>
        <w:rPr/>
        <w:t>peptic ulcers and</w:t>
      </w:r>
      <w:r>
        <w:rPr>
          <w:spacing w:val="2"/>
        </w:rPr>
        <w:t> </w:t>
      </w:r>
      <w:r>
        <w:rPr/>
        <w:t>SC</w:t>
      </w:r>
      <w:r>
        <w:rPr>
          <w:spacing w:val="1"/>
        </w:rPr>
        <w:t> </w:t>
      </w:r>
      <w:r>
        <w:rPr/>
        <w:t>nephropathy.</w:t>
      </w:r>
    </w:p>
    <w:p>
      <w:pPr>
        <w:pStyle w:val="BodyText"/>
        <w:spacing w:line="360" w:lineRule="auto" w:before="199"/>
        <w:ind w:left="820" w:right="1438"/>
        <w:jc w:val="both"/>
      </w:pPr>
      <w:r>
        <w:rPr/>
        <w:t>High platelets and</w:t>
      </w:r>
      <w:r>
        <w:rPr>
          <w:spacing w:val="1"/>
        </w:rPr>
        <w:t> </w:t>
      </w:r>
      <w:r>
        <w:rPr/>
        <w:t>leucocyte counts are cautionary indicators in the SC patient</w:t>
      </w:r>
      <w:r>
        <w:rPr>
          <w:spacing w:val="1"/>
        </w:rPr>
        <w:t> </w:t>
      </w:r>
      <w:r>
        <w:rPr/>
        <w:t>undergoing</w:t>
      </w:r>
      <w:r>
        <w:rPr>
          <w:spacing w:val="1"/>
        </w:rPr>
        <w:t> </w:t>
      </w:r>
      <w:r>
        <w:rPr/>
        <w:t>surgery; especially as surgical and anaesthetic stress can trigger sudden intravascular stress with</w:t>
      </w:r>
      <w:r>
        <w:rPr>
          <w:spacing w:val="1"/>
        </w:rPr>
        <w:t> </w:t>
      </w:r>
      <w:r>
        <w:rPr/>
        <w:t>fatal</w:t>
      </w:r>
      <w:r>
        <w:rPr>
          <w:spacing w:val="14"/>
        </w:rPr>
        <w:t> </w:t>
      </w:r>
      <w:r>
        <w:rPr/>
        <w:t>outcomes.</w:t>
      </w:r>
      <w:r>
        <w:rPr>
          <w:spacing w:val="24"/>
        </w:rPr>
        <w:t> </w:t>
      </w:r>
      <w:r>
        <w:rPr/>
        <w:t>Therefore,</w:t>
      </w:r>
      <w:r>
        <w:rPr>
          <w:spacing w:val="25"/>
        </w:rPr>
        <w:t> </w:t>
      </w:r>
      <w:r>
        <w:rPr/>
        <w:t>nitric</w:t>
      </w:r>
      <w:r>
        <w:rPr>
          <w:spacing w:val="21"/>
        </w:rPr>
        <w:t> </w:t>
      </w:r>
      <w:r>
        <w:rPr/>
        <w:t>oxide</w:t>
      </w:r>
      <w:r>
        <w:rPr>
          <w:spacing w:val="22"/>
        </w:rPr>
        <w:t> </w:t>
      </w:r>
      <w:r>
        <w:rPr/>
        <w:t>(laughing</w:t>
      </w:r>
      <w:r>
        <w:rPr>
          <w:spacing w:val="27"/>
        </w:rPr>
        <w:t> </w:t>
      </w:r>
      <w:r>
        <w:rPr/>
        <w:t>gas)</w:t>
      </w:r>
      <w:r>
        <w:rPr>
          <w:spacing w:val="24"/>
        </w:rPr>
        <w:t> </w:t>
      </w:r>
      <w:r>
        <w:rPr/>
        <w:t>which</w:t>
      </w:r>
      <w:r>
        <w:rPr>
          <w:spacing w:val="23"/>
        </w:rPr>
        <w:t> </w:t>
      </w:r>
      <w:r>
        <w:rPr/>
        <w:t>is</w:t>
      </w:r>
      <w:r>
        <w:rPr>
          <w:spacing w:val="24"/>
        </w:rPr>
        <w:t> </w:t>
      </w:r>
      <w:r>
        <w:rPr/>
        <w:t>a</w:t>
      </w:r>
      <w:r>
        <w:rPr>
          <w:spacing w:val="27"/>
        </w:rPr>
        <w:t> </w:t>
      </w:r>
      <w:r>
        <w:rPr/>
        <w:t>vasodilator</w:t>
      </w:r>
      <w:r>
        <w:rPr>
          <w:spacing w:val="23"/>
        </w:rPr>
        <w:t> </w:t>
      </w:r>
      <w:r>
        <w:rPr/>
        <w:t>plus</w:t>
      </w:r>
      <w:r>
        <w:rPr>
          <w:spacing w:val="21"/>
        </w:rPr>
        <w:t> </w:t>
      </w:r>
      <w:r>
        <w:rPr/>
        <w:t>50%</w:t>
      </w:r>
      <w:r>
        <w:rPr>
          <w:spacing w:val="25"/>
        </w:rPr>
        <w:t> </w:t>
      </w:r>
      <w:r>
        <w:rPr/>
        <w:t>oxygen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55" w:lineRule="auto" w:before="72"/>
        <w:ind w:left="820" w:right="1451"/>
        <w:jc w:val="both"/>
      </w:pPr>
      <w:r>
        <w:rPr/>
        <w:t>should be the hallmark of inhalation anaesthetics. When conditions permit, ketamine plus 50%</w:t>
      </w:r>
      <w:r>
        <w:rPr>
          <w:spacing w:val="1"/>
        </w:rPr>
        <w:t> </w:t>
      </w:r>
      <w:r>
        <w:rPr/>
        <w:t>oxygen</w:t>
      </w:r>
      <w:r>
        <w:rPr>
          <w:spacing w:val="-4"/>
        </w:rPr>
        <w:t> </w:t>
      </w:r>
      <w:r>
        <w:rPr/>
        <w:t>can</w:t>
      </w:r>
      <w:r>
        <w:rPr>
          <w:spacing w:val="-3"/>
        </w:rPr>
        <w:t> </w:t>
      </w:r>
      <w:r>
        <w:rPr/>
        <w:t>also</w:t>
      </w:r>
      <w:r>
        <w:rPr>
          <w:spacing w:val="7"/>
        </w:rPr>
        <w:t> </w:t>
      </w:r>
      <w:r>
        <w:rPr/>
        <w:t>be</w:t>
      </w:r>
      <w:r>
        <w:rPr>
          <w:spacing w:val="1"/>
        </w:rPr>
        <w:t> </w:t>
      </w:r>
      <w:r>
        <w:rPr/>
        <w:t>used.</w:t>
      </w:r>
    </w:p>
    <w:p>
      <w:pPr>
        <w:pStyle w:val="BodyText"/>
        <w:spacing w:line="360" w:lineRule="auto" w:before="210"/>
        <w:ind w:left="820" w:right="1435"/>
        <w:jc w:val="both"/>
      </w:pPr>
      <w:r>
        <w:rPr/>
        <w:t>Increasing evidence suggests that</w:t>
      </w:r>
      <w:r>
        <w:rPr>
          <w:spacing w:val="1"/>
        </w:rPr>
        <w:t> </w:t>
      </w:r>
      <w:r>
        <w:rPr/>
        <w:t>white blood cells (WBC),</w:t>
      </w:r>
      <w:r>
        <w:rPr>
          <w:spacing w:val="1"/>
        </w:rPr>
        <w:t> </w:t>
      </w:r>
      <w:r>
        <w:rPr/>
        <w:t>especially neutrophils,</w:t>
      </w:r>
      <w:r>
        <w:rPr>
          <w:spacing w:val="1"/>
        </w:rPr>
        <w:t> </w:t>
      </w:r>
      <w:r>
        <w:rPr/>
        <w:t>may be</w:t>
      </w:r>
      <w:r>
        <w:rPr>
          <w:spacing w:val="1"/>
        </w:rPr>
        <w:t> </w:t>
      </w:r>
      <w:r>
        <w:rPr/>
        <w:t>involved in the initiation and propagation of vaso-occlusive crisis</w:t>
      </w:r>
      <w:r>
        <w:rPr>
          <w:spacing w:val="60"/>
        </w:rPr>
        <w:t> </w:t>
      </w:r>
      <w:r>
        <w:rPr/>
        <w:t>in SCD (Lard </w:t>
      </w:r>
      <w:r>
        <w:rPr>
          <w:i/>
        </w:rPr>
        <w:t>et al</w:t>
      </w:r>
      <w:r>
        <w:rPr/>
        <w:t>., 1999).</w:t>
      </w:r>
      <w:r>
        <w:rPr>
          <w:spacing w:val="1"/>
        </w:rPr>
        <w:t> </w:t>
      </w:r>
      <w:r>
        <w:rPr/>
        <w:t>The WBC counts of all the groups fell within normal limits; SCD patients in crises had the</w:t>
      </w:r>
      <w:r>
        <w:rPr>
          <w:spacing w:val="1"/>
        </w:rPr>
        <w:t> </w:t>
      </w:r>
      <w:r>
        <w:rPr/>
        <w:t>highest WBC counts, followed by the SCD patients in steady state; with the HbAA volunteers</w:t>
      </w:r>
      <w:r>
        <w:rPr>
          <w:spacing w:val="1"/>
        </w:rPr>
        <w:t> </w:t>
      </w:r>
      <w:r>
        <w:rPr/>
        <w:t>having the lowest WBC counts. There was a statistically significant difference between the WBC</w:t>
      </w:r>
      <w:r>
        <w:rPr>
          <w:spacing w:val="-57"/>
        </w:rPr>
        <w:t> </w:t>
      </w:r>
      <w:r>
        <w:rPr/>
        <w:t>counts of the groups. Elevated total WBC counts are common in SCD patients and WBC counts</w:t>
      </w:r>
      <w:r>
        <w:rPr>
          <w:spacing w:val="1"/>
        </w:rPr>
        <w:t> </w:t>
      </w:r>
      <w:r>
        <w:rPr>
          <w:w w:val="95"/>
        </w:rPr>
        <w:t>of more than 15 </w:t>
      </w:r>
      <w:r>
        <w:rPr>
          <w:rFonts w:ascii="Cambria Math" w:hAnsi="Cambria Math"/>
          <w:w w:val="95"/>
        </w:rPr>
        <w:t>× </w:t>
      </w:r>
      <w:r>
        <w:rPr>
          <w:w w:val="95"/>
        </w:rPr>
        <w:t>10</w:t>
      </w:r>
      <w:r>
        <w:rPr>
          <w:w w:val="95"/>
          <w:vertAlign w:val="superscript"/>
        </w:rPr>
        <w:t>9</w:t>
      </w:r>
      <w:r>
        <w:rPr>
          <w:w w:val="95"/>
          <w:vertAlign w:val="baseline"/>
        </w:rPr>
        <w:t>/L are associated with an increased risk of early death in SCD (Lard </w:t>
      </w:r>
      <w:r>
        <w:rPr>
          <w:i/>
          <w:w w:val="95"/>
          <w:vertAlign w:val="baseline"/>
        </w:rPr>
        <w:t>et al</w:t>
      </w:r>
      <w:r>
        <w:rPr>
          <w:w w:val="95"/>
          <w:vertAlign w:val="baseline"/>
        </w:rPr>
        <w:t>.,</w:t>
      </w:r>
      <w:r>
        <w:rPr>
          <w:spacing w:val="1"/>
          <w:w w:val="95"/>
          <w:vertAlign w:val="baseline"/>
        </w:rPr>
        <w:t> </w:t>
      </w:r>
      <w:r>
        <w:rPr>
          <w:vertAlign w:val="baseline"/>
        </w:rPr>
        <w:t>1999). Elevated WBC counts are an indication of infection e.g. septicaemia or organ damage.</w:t>
      </w:r>
      <w:r>
        <w:rPr>
          <w:spacing w:val="1"/>
          <w:vertAlign w:val="baseline"/>
        </w:rPr>
        <w:t> </w:t>
      </w:r>
      <w:r>
        <w:rPr>
          <w:vertAlign w:val="baseline"/>
        </w:rPr>
        <w:t>Awogu (2000) in a study among sickle cell children in Lagos observed elevated WBC counts</w:t>
      </w:r>
      <w:r>
        <w:rPr>
          <w:spacing w:val="1"/>
          <w:vertAlign w:val="baseline"/>
        </w:rPr>
        <w:t> </w:t>
      </w:r>
      <w:r>
        <w:rPr>
          <w:vertAlign w:val="baseline"/>
        </w:rPr>
        <w:t>among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steady</w:t>
      </w:r>
      <w:r>
        <w:rPr>
          <w:spacing w:val="1"/>
          <w:vertAlign w:val="baseline"/>
        </w:rPr>
        <w:t> </w:t>
      </w:r>
      <w:r>
        <w:rPr>
          <w:vertAlign w:val="baseline"/>
        </w:rPr>
        <w:t>state</w:t>
      </w:r>
      <w:r>
        <w:rPr>
          <w:spacing w:val="1"/>
          <w:vertAlign w:val="baseline"/>
        </w:rPr>
        <w:t> </w:t>
      </w:r>
      <w:r>
        <w:rPr>
          <w:vertAlign w:val="baseline"/>
        </w:rPr>
        <w:t>patients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suggested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previously</w:t>
      </w:r>
      <w:r>
        <w:rPr>
          <w:spacing w:val="1"/>
          <w:vertAlign w:val="baseline"/>
        </w:rPr>
        <w:t> </w:t>
      </w:r>
      <w:r>
        <w:rPr>
          <w:vertAlign w:val="baseline"/>
        </w:rPr>
        <w:t>established</w:t>
      </w:r>
      <w:r>
        <w:rPr>
          <w:spacing w:val="1"/>
          <w:vertAlign w:val="baseline"/>
        </w:rPr>
        <w:t> </w:t>
      </w:r>
      <w:r>
        <w:rPr>
          <w:vertAlign w:val="baseline"/>
        </w:rPr>
        <w:t>criteria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diagnosis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bacterial</w:t>
      </w:r>
      <w:r>
        <w:rPr>
          <w:spacing w:val="1"/>
          <w:vertAlign w:val="baseline"/>
        </w:rPr>
        <w:t> </w:t>
      </w:r>
      <w:r>
        <w:rPr>
          <w:vertAlign w:val="baseline"/>
        </w:rPr>
        <w:t>infections</w:t>
      </w:r>
      <w:r>
        <w:rPr>
          <w:spacing w:val="1"/>
          <w:vertAlign w:val="baseline"/>
        </w:rPr>
        <w:t> </w:t>
      </w:r>
      <w:r>
        <w:rPr>
          <w:vertAlign w:val="baseline"/>
        </w:rPr>
        <w:t>cannot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applied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sickle</w:t>
      </w:r>
      <w:r>
        <w:rPr>
          <w:spacing w:val="1"/>
          <w:vertAlign w:val="baseline"/>
        </w:rPr>
        <w:t> </w:t>
      </w:r>
      <w:r>
        <w:rPr>
          <w:vertAlign w:val="baseline"/>
        </w:rPr>
        <w:t>cell</w:t>
      </w:r>
      <w:r>
        <w:rPr>
          <w:spacing w:val="1"/>
          <w:vertAlign w:val="baseline"/>
        </w:rPr>
        <w:t> </w:t>
      </w:r>
      <w:r>
        <w:rPr>
          <w:vertAlign w:val="baseline"/>
        </w:rPr>
        <w:t>patients.</w:t>
      </w:r>
      <w:r>
        <w:rPr>
          <w:spacing w:val="1"/>
          <w:vertAlign w:val="baseline"/>
        </w:rPr>
        <w:t> </w:t>
      </w:r>
      <w:r>
        <w:rPr>
          <w:vertAlign w:val="baseline"/>
        </w:rPr>
        <w:t>High</w:t>
      </w:r>
      <w:r>
        <w:rPr>
          <w:spacing w:val="1"/>
          <w:vertAlign w:val="baseline"/>
        </w:rPr>
        <w:t> </w:t>
      </w:r>
      <w:r>
        <w:rPr>
          <w:vertAlign w:val="baseline"/>
        </w:rPr>
        <w:t>WBC</w:t>
      </w:r>
      <w:r>
        <w:rPr>
          <w:spacing w:val="60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platelets play a predictive role in indicating the presence of infection and are routinely monitored</w:t>
      </w:r>
      <w:r>
        <w:rPr>
          <w:spacing w:val="-57"/>
          <w:vertAlign w:val="baseline"/>
        </w:rPr>
        <w:t> </w:t>
      </w:r>
      <w:r>
        <w:rPr>
          <w:vertAlign w:val="baseline"/>
        </w:rPr>
        <w:t>in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SCD</w:t>
      </w:r>
      <w:r>
        <w:rPr>
          <w:spacing w:val="2"/>
          <w:vertAlign w:val="baseline"/>
        </w:rPr>
        <w:t> </w:t>
      </w:r>
      <w:r>
        <w:rPr>
          <w:vertAlign w:val="baseline"/>
        </w:rPr>
        <w:t>patients of</w:t>
      </w:r>
      <w:r>
        <w:rPr>
          <w:spacing w:val="-6"/>
          <w:vertAlign w:val="baseline"/>
        </w:rPr>
        <w:t> </w:t>
      </w:r>
      <w:r>
        <w:rPr>
          <w:vertAlign w:val="baseline"/>
        </w:rPr>
        <w:t>ABUTH.</w:t>
      </w:r>
    </w:p>
    <w:p>
      <w:pPr>
        <w:pStyle w:val="BodyText"/>
        <w:spacing w:line="360" w:lineRule="auto" w:before="202"/>
        <w:ind w:left="820" w:right="1442"/>
        <w:jc w:val="both"/>
      </w:pPr>
      <w:r>
        <w:rPr/>
        <w:t>The neutrophil counts in all the groups had similar pattern as the WBC count. They all fell within</w:t>
      </w:r>
      <w:r>
        <w:rPr>
          <w:spacing w:val="-58"/>
        </w:rPr>
        <w:t> </w:t>
      </w:r>
      <w:r>
        <w:rPr/>
        <w:t>normal limits; with the steady state group having the highest values (60.27%), followed by SCD</w:t>
      </w:r>
      <w:r>
        <w:rPr>
          <w:spacing w:val="1"/>
        </w:rPr>
        <w:t> </w:t>
      </w:r>
      <w:r>
        <w:rPr/>
        <w:t>patients in crises (58.26%); with the HbAA volunteers having the</w:t>
      </w:r>
      <w:r>
        <w:rPr>
          <w:spacing w:val="1"/>
        </w:rPr>
        <w:t> </w:t>
      </w:r>
      <w:r>
        <w:rPr/>
        <w:t>lowest</w:t>
      </w:r>
      <w:r>
        <w:rPr>
          <w:spacing w:val="1"/>
        </w:rPr>
        <w:t> </w:t>
      </w:r>
      <w:r>
        <w:rPr/>
        <w:t>neutrophil counts</w:t>
      </w:r>
      <w:r>
        <w:rPr>
          <w:spacing w:val="1"/>
        </w:rPr>
        <w:t> </w:t>
      </w:r>
      <w:r>
        <w:rPr/>
        <w:t>(45.75%). There was a statistically significant difference between the neutrophil counts of the</w:t>
      </w:r>
      <w:r>
        <w:rPr>
          <w:spacing w:val="1"/>
        </w:rPr>
        <w:t> </w:t>
      </w:r>
      <w:r>
        <w:rPr/>
        <w:t>SCD in crises and HbAA group; as well as the SCD in steady state and HbAA group. However,</w:t>
      </w:r>
      <w:r>
        <w:rPr>
          <w:spacing w:val="1"/>
        </w:rPr>
        <w:t> </w:t>
      </w:r>
      <w:r>
        <w:rPr/>
        <w:t>there was no</w:t>
      </w:r>
      <w:r>
        <w:rPr>
          <w:spacing w:val="1"/>
        </w:rPr>
        <w:t> </w:t>
      </w:r>
      <w:r>
        <w:rPr/>
        <w:t>statistically 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 the</w:t>
      </w:r>
      <w:r>
        <w:rPr>
          <w:spacing w:val="1"/>
        </w:rPr>
        <w:t> </w:t>
      </w:r>
      <w:r>
        <w:rPr/>
        <w:t>neutrophil counts in</w:t>
      </w:r>
      <w:r>
        <w:rPr>
          <w:spacing w:val="1"/>
        </w:rPr>
        <w:t> </w:t>
      </w:r>
      <w:r>
        <w:rPr/>
        <w:t>both SCD</w:t>
      </w:r>
      <w:r>
        <w:rPr>
          <w:spacing w:val="1"/>
        </w:rPr>
        <w:t> </w:t>
      </w:r>
      <w:r>
        <w:rPr/>
        <w:t>groups. Adhesion of (activated) neutrophils to endothelium in patients with SCD may lead to</w:t>
      </w:r>
      <w:r>
        <w:rPr>
          <w:spacing w:val="1"/>
        </w:rPr>
        <w:t> </w:t>
      </w:r>
      <w:r>
        <w:rPr/>
        <w:t>endothelial damage as described in other vascular diseases. Because the neutrophil is larger and</w:t>
      </w:r>
      <w:r>
        <w:rPr>
          <w:spacing w:val="1"/>
        </w:rPr>
        <w:t> </w:t>
      </w:r>
      <w:r>
        <w:rPr/>
        <w:t>more difficult to deform than the red cell, its attachment to the endothelium, particularly in the</w:t>
      </w:r>
      <w:r>
        <w:rPr>
          <w:spacing w:val="1"/>
        </w:rPr>
        <w:t> </w:t>
      </w:r>
      <w:r>
        <w:rPr/>
        <w:t>microcirculation, would impede passage of RBC and WBC, which could increase the risk for</w:t>
      </w:r>
      <w:r>
        <w:rPr>
          <w:spacing w:val="1"/>
        </w:rPr>
        <w:t> </w:t>
      </w:r>
      <w:r>
        <w:rPr/>
        <w:t>vaso-occlusive crises. Thus, one would assume that the neutrophil counts in the SCD in crises</w:t>
      </w:r>
      <w:r>
        <w:rPr>
          <w:spacing w:val="1"/>
        </w:rPr>
        <w:t> </w:t>
      </w:r>
      <w:r>
        <w:rPr/>
        <w:t>will be higher than that in SCD in steady state; however, there was no statistically significant</w:t>
      </w:r>
      <w:r>
        <w:rPr>
          <w:spacing w:val="1"/>
        </w:rPr>
        <w:t> </w:t>
      </w:r>
      <w:r>
        <w:rPr/>
        <w:t>difference between</w:t>
      </w:r>
      <w:r>
        <w:rPr>
          <w:spacing w:val="-3"/>
        </w:rPr>
        <w:t> </w:t>
      </w:r>
      <w:r>
        <w:rPr/>
        <w:t>the two</w:t>
      </w:r>
      <w:r>
        <w:rPr>
          <w:spacing w:val="2"/>
        </w:rPr>
        <w:t> </w:t>
      </w:r>
      <w:r>
        <w:rPr/>
        <w:t>SCD</w:t>
      </w:r>
      <w:r>
        <w:rPr>
          <w:spacing w:val="2"/>
        </w:rPr>
        <w:t> </w:t>
      </w:r>
      <w:r>
        <w:rPr/>
        <w:t>groups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this study.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57" w:lineRule="auto" w:before="72"/>
        <w:ind w:left="820" w:right="1443"/>
        <w:jc w:val="both"/>
      </w:pPr>
      <w:r>
        <w:rPr/>
        <w:t>Lymphocytes which are believed to be responsible for the storage of immunologic memory are a</w:t>
      </w:r>
      <w:r>
        <w:rPr>
          <w:spacing w:val="1"/>
        </w:rPr>
        <w:t> </w:t>
      </w:r>
      <w:r>
        <w:rPr/>
        <w:t>primary source of viral defence and antibodies. The lymphocyte counts of all the groups were</w:t>
      </w:r>
      <w:r>
        <w:rPr>
          <w:spacing w:val="1"/>
        </w:rPr>
        <w:t> </w:t>
      </w:r>
      <w:r>
        <w:rPr/>
        <w:t>within</w:t>
      </w:r>
      <w:r>
        <w:rPr>
          <w:spacing w:val="-1"/>
        </w:rPr>
        <w:t> </w:t>
      </w:r>
      <w:r>
        <w:rPr/>
        <w:t>normal</w:t>
      </w:r>
      <w:r>
        <w:rPr>
          <w:spacing w:val="-4"/>
        </w:rPr>
        <w:t> </w:t>
      </w:r>
      <w:r>
        <w:rPr/>
        <w:t>limits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there</w:t>
      </w:r>
      <w:r>
        <w:rPr>
          <w:spacing w:val="-1"/>
        </w:rPr>
        <w:t> </w:t>
      </w:r>
      <w:r>
        <w:rPr/>
        <w:t>was</w:t>
      </w:r>
      <w:r>
        <w:rPr>
          <w:spacing w:val="-3"/>
        </w:rPr>
        <w:t> </w:t>
      </w:r>
      <w:r>
        <w:rPr/>
        <w:t>no</w:t>
      </w:r>
      <w:r>
        <w:rPr>
          <w:spacing w:val="5"/>
        </w:rPr>
        <w:t> </w:t>
      </w:r>
      <w:r>
        <w:rPr/>
        <w:t>statistically significant</w:t>
      </w:r>
      <w:r>
        <w:rPr>
          <w:spacing w:val="4"/>
        </w:rPr>
        <w:t> </w:t>
      </w:r>
      <w:r>
        <w:rPr/>
        <w:t>difference</w:t>
      </w:r>
      <w:r>
        <w:rPr>
          <w:spacing w:val="3"/>
        </w:rPr>
        <w:t> </w:t>
      </w:r>
      <w:r>
        <w:rPr/>
        <w:t>between</w:t>
      </w:r>
      <w:r>
        <w:rPr>
          <w:spacing w:val="-5"/>
        </w:rPr>
        <w:t> </w:t>
      </w:r>
      <w:r>
        <w:rPr/>
        <w:t>them.</w:t>
      </w:r>
    </w:p>
    <w:p>
      <w:pPr>
        <w:pStyle w:val="BodyText"/>
        <w:spacing w:line="360" w:lineRule="auto" w:before="206"/>
        <w:ind w:left="820" w:right="1440"/>
        <w:jc w:val="both"/>
      </w:pPr>
      <w:r>
        <w:rPr/>
        <w:t>PCV is considered an integral part of a person's complete blood count results. It is the proportion</w:t>
      </w:r>
      <w:r>
        <w:rPr>
          <w:spacing w:val="-57"/>
        </w:rPr>
        <w:t> </w:t>
      </w:r>
      <w:r>
        <w:rPr/>
        <w:t>of blood volume that is occupied by red blood cells. In the present study, PCV of the HbAA</w:t>
      </w:r>
      <w:r>
        <w:rPr>
          <w:spacing w:val="1"/>
        </w:rPr>
        <w:t> </w:t>
      </w:r>
      <w:r>
        <w:rPr/>
        <w:t>volunteers (38.36%) fell within normal range while that of the SCD in crises (22.76%) and SCD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steady state (24.53%) groups fell below</w:t>
      </w:r>
      <w:r>
        <w:rPr>
          <w:spacing w:val="60"/>
        </w:rPr>
        <w:t> </w:t>
      </w:r>
      <w:r>
        <w:rPr/>
        <w:t>normal range. In Ibadan (Nigeria), the average PCV</w:t>
      </w:r>
      <w:r>
        <w:rPr>
          <w:spacing w:val="1"/>
        </w:rPr>
        <w:t> </w:t>
      </w:r>
      <w:r>
        <w:rPr/>
        <w:t>of SCD patients was found to be 22.3% (Olaniyi and Abjah 2007); this was close to the average</w:t>
      </w:r>
      <w:r>
        <w:rPr>
          <w:spacing w:val="1"/>
        </w:rPr>
        <w:t> </w:t>
      </w:r>
      <w:r>
        <w:rPr/>
        <w:t>PCVs of SCD patients in the present study (23.65%). Transfusions are not needed for the usual</w:t>
      </w:r>
      <w:r>
        <w:rPr>
          <w:spacing w:val="1"/>
        </w:rPr>
        <w:t> </w:t>
      </w:r>
      <w:r>
        <w:rPr/>
        <w:t>anaemia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episodes of pain associated with sickle cell disease (Steinberg,</w:t>
      </w:r>
      <w:r>
        <w:rPr>
          <w:spacing w:val="1"/>
        </w:rPr>
        <w:t> </w:t>
      </w:r>
      <w:r>
        <w:rPr/>
        <w:t>1999).</w:t>
      </w:r>
      <w:r>
        <w:rPr>
          <w:spacing w:val="60"/>
        </w:rPr>
        <w:t> </w:t>
      </w:r>
      <w:r>
        <w:rPr/>
        <w:t>Thus since</w:t>
      </w:r>
      <w:r>
        <w:rPr>
          <w:spacing w:val="1"/>
        </w:rPr>
        <w:t> </w:t>
      </w:r>
      <w:r>
        <w:rPr/>
        <w:t>SCD patients have a lower than normal PCV, blood transfusions in the SCD patient must be</w:t>
      </w:r>
      <w:r>
        <w:rPr>
          <w:spacing w:val="1"/>
        </w:rPr>
        <w:t> </w:t>
      </w:r>
      <w:r>
        <w:rPr/>
        <w:t>individualised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based</w:t>
      </w:r>
      <w:r>
        <w:rPr>
          <w:spacing w:val="2"/>
        </w:rPr>
        <w:t> </w:t>
      </w:r>
      <w:r>
        <w:rPr/>
        <w:t>on</w:t>
      </w:r>
      <w:r>
        <w:rPr>
          <w:spacing w:val="-3"/>
        </w:rPr>
        <w:t> </w:t>
      </w:r>
      <w:r>
        <w:rPr/>
        <w:t>each</w:t>
      </w:r>
      <w:r>
        <w:rPr>
          <w:spacing w:val="-4"/>
        </w:rPr>
        <w:t> </w:t>
      </w:r>
      <w:r>
        <w:rPr/>
        <w:t>patients steady</w:t>
      </w:r>
      <w:r>
        <w:rPr>
          <w:spacing w:val="-8"/>
        </w:rPr>
        <w:t> </w:t>
      </w:r>
      <w:r>
        <w:rPr/>
        <w:t>state</w:t>
      </w:r>
      <w:r>
        <w:rPr>
          <w:spacing w:val="1"/>
        </w:rPr>
        <w:t> </w:t>
      </w:r>
      <w:r>
        <w:rPr/>
        <w:t>PCV.</w:t>
      </w:r>
    </w:p>
    <w:p>
      <w:pPr>
        <w:pStyle w:val="Heading1"/>
        <w:numPr>
          <w:ilvl w:val="1"/>
          <w:numId w:val="33"/>
        </w:numPr>
        <w:tabs>
          <w:tab w:pos="1185" w:val="left" w:leader="none"/>
        </w:tabs>
        <w:spacing w:line="240" w:lineRule="auto" w:before="201" w:after="0"/>
        <w:ind w:left="1184" w:right="0" w:hanging="365"/>
        <w:jc w:val="both"/>
      </w:pPr>
      <w:r>
        <w:rPr/>
        <w:t>Result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Micronutrient</w:t>
      </w:r>
      <w:r>
        <w:rPr>
          <w:spacing w:val="-2"/>
        </w:rPr>
        <w:t> </w:t>
      </w:r>
      <w:r>
        <w:rPr/>
        <w:t>Assay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820" w:right="1438"/>
        <w:jc w:val="both"/>
      </w:pPr>
      <w:r>
        <w:rPr/>
        <w:t>Sickle erythrocytes are fragile and dehydrated; and they require a delicate balance of minerals</w:t>
      </w:r>
      <w:r>
        <w:rPr>
          <w:spacing w:val="1"/>
        </w:rPr>
        <w:t> </w:t>
      </w:r>
      <w:r>
        <w:rPr/>
        <w:t>and antioxidants to maintain hydration and membrane integrity (Okochi and Okpuzor 2005).</w:t>
      </w:r>
      <w:r>
        <w:rPr>
          <w:spacing w:val="1"/>
        </w:rPr>
        <w:t> </w:t>
      </w:r>
      <w:r>
        <w:rPr/>
        <w:t>Dehydration of sickle</w:t>
      </w:r>
      <w:r>
        <w:rPr>
          <w:spacing w:val="1"/>
        </w:rPr>
        <w:t> </w:t>
      </w:r>
      <w:r>
        <w:rPr/>
        <w:t>erythrocytes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mediated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K-Cl co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triggered</w:t>
      </w:r>
      <w:r>
        <w:rPr>
          <w:spacing w:val="11"/>
        </w:rPr>
        <w:t> </w:t>
      </w:r>
      <w:r>
        <w:rPr/>
        <w:t>by</w:t>
      </w:r>
      <w:r>
        <w:rPr>
          <w:spacing w:val="11"/>
        </w:rPr>
        <w:t> </w:t>
      </w:r>
      <w:r>
        <w:rPr/>
        <w:t>low</w:t>
      </w:r>
      <w:r>
        <w:rPr>
          <w:spacing w:val="12"/>
        </w:rPr>
        <w:t> </w:t>
      </w:r>
      <w:r>
        <w:rPr/>
        <w:t>plasma</w:t>
      </w:r>
      <w:r>
        <w:rPr>
          <w:spacing w:val="15"/>
        </w:rPr>
        <w:t> </w:t>
      </w:r>
      <w:r>
        <w:rPr/>
        <w:t>magnesium</w:t>
      </w:r>
      <w:r>
        <w:rPr>
          <w:spacing w:val="7"/>
        </w:rPr>
        <w:t> </w:t>
      </w:r>
      <w:r>
        <w:rPr/>
        <w:t>(Mg)</w:t>
      </w:r>
      <w:r>
        <w:rPr>
          <w:spacing w:val="18"/>
        </w:rPr>
        <w:t> </w:t>
      </w:r>
      <w:r>
        <w:rPr/>
        <w:t>levels</w:t>
      </w:r>
      <w:r>
        <w:rPr>
          <w:spacing w:val="10"/>
        </w:rPr>
        <w:t> </w:t>
      </w:r>
      <w:r>
        <w:rPr/>
        <w:t>(Brugnara</w:t>
      </w:r>
      <w:r>
        <w:rPr>
          <w:spacing w:val="15"/>
        </w:rPr>
        <w:t> </w:t>
      </w:r>
      <w:r>
        <w:rPr>
          <w:i/>
        </w:rPr>
        <w:t>et</w:t>
      </w:r>
      <w:r>
        <w:rPr>
          <w:i/>
          <w:spacing w:val="12"/>
        </w:rPr>
        <w:t> </w:t>
      </w:r>
      <w:r>
        <w:rPr>
          <w:i/>
        </w:rPr>
        <w:t>al</w:t>
      </w:r>
      <w:r>
        <w:rPr/>
        <w:t>.,</w:t>
      </w:r>
      <w:r>
        <w:rPr>
          <w:spacing w:val="15"/>
        </w:rPr>
        <w:t> </w:t>
      </w:r>
      <w:r>
        <w:rPr/>
        <w:t>1993).</w:t>
      </w:r>
      <w:r>
        <w:rPr>
          <w:spacing w:val="14"/>
        </w:rPr>
        <w:t> </w:t>
      </w:r>
      <w:r>
        <w:rPr/>
        <w:t>When</w:t>
      </w:r>
      <w:r>
        <w:rPr>
          <w:spacing w:val="8"/>
        </w:rPr>
        <w:t> </w:t>
      </w:r>
      <w:r>
        <w:rPr/>
        <w:t>the</w:t>
      </w:r>
      <w:r>
        <w:rPr>
          <w:spacing w:val="15"/>
        </w:rPr>
        <w:t> </w:t>
      </w:r>
      <w:r>
        <w:rPr/>
        <w:t>internal</w:t>
      </w:r>
      <w:r>
        <w:rPr>
          <w:spacing w:val="7"/>
        </w:rPr>
        <w:t> </w:t>
      </w:r>
      <w:r>
        <w:rPr/>
        <w:t>Mg</w:t>
      </w:r>
      <w:r>
        <w:rPr>
          <w:spacing w:val="-57"/>
        </w:rPr>
        <w:t> </w:t>
      </w:r>
      <w:r>
        <w:rPr/>
        <w:t>of the</w:t>
      </w:r>
      <w:r>
        <w:rPr>
          <w:spacing w:val="1"/>
        </w:rPr>
        <w:t> </w:t>
      </w:r>
      <w:r>
        <w:rPr/>
        <w:t>erythrocytes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increased,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K-Cl</w:t>
      </w:r>
      <w:r>
        <w:rPr>
          <w:spacing w:val="1"/>
        </w:rPr>
        <w:t> </w:t>
      </w:r>
      <w:r>
        <w:rPr/>
        <w:t>co-transport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markedly</w:t>
      </w:r>
      <w:r>
        <w:rPr>
          <w:spacing w:val="1"/>
        </w:rPr>
        <w:t> </w:t>
      </w:r>
      <w:r>
        <w:rPr/>
        <w:t>diminished.</w:t>
      </w:r>
      <w:r>
        <w:rPr>
          <w:spacing w:val="1"/>
        </w:rPr>
        <w:t> </w:t>
      </w:r>
      <w:r>
        <w:rPr/>
        <w:t>Therefore, blockage of this pathway by intracellular Mg could result in decreased dehydration</w:t>
      </w:r>
      <w:r>
        <w:rPr>
          <w:spacing w:val="1"/>
        </w:rPr>
        <w:t> </w:t>
      </w:r>
      <w:r>
        <w:rPr/>
        <w:t>and sickling </w:t>
      </w:r>
      <w:r>
        <w:rPr>
          <w:i/>
        </w:rPr>
        <w:t>in vivo </w:t>
      </w:r>
      <w:r>
        <w:rPr/>
        <w:t>(Okochi and Okpuzor 2005). Among the many important functions of Mg is</w:t>
      </w:r>
      <w:r>
        <w:rPr>
          <w:spacing w:val="1"/>
        </w:rPr>
        <w:t> </w:t>
      </w:r>
      <w:r>
        <w:rPr/>
        <w:t>its involvement, along with calcium, in the organization of membranes. Both cations are known</w:t>
      </w:r>
      <w:r>
        <w:rPr>
          <w:spacing w:val="1"/>
        </w:rPr>
        <w:t> </w:t>
      </w:r>
      <w:r>
        <w:rPr/>
        <w:t>to act as bridges between the neighbouring carboxylate groups in lipoproteins and such bridges</w:t>
      </w:r>
      <w:r>
        <w:rPr>
          <w:spacing w:val="1"/>
        </w:rPr>
        <w:t> </w:t>
      </w:r>
      <w:r>
        <w:rPr/>
        <w:t>stiffen the cell membranes, thus reducing the tendency of sickle RBC to haemolyse (Okochi and</w:t>
      </w:r>
      <w:r>
        <w:rPr>
          <w:spacing w:val="1"/>
        </w:rPr>
        <w:t> </w:t>
      </w:r>
      <w:r>
        <w:rPr/>
        <w:t>Opkuzor 2005). Protection of red cell membranes from free radical-mediated oxidative stress is</w:t>
      </w:r>
      <w:r>
        <w:rPr>
          <w:spacing w:val="1"/>
        </w:rPr>
        <w:t> </w:t>
      </w:r>
      <w:r>
        <w:rPr/>
        <w:t>crucial to the successful management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sickle</w:t>
      </w:r>
      <w:r>
        <w:rPr>
          <w:spacing w:val="1"/>
        </w:rPr>
        <w:t> </w:t>
      </w:r>
      <w:r>
        <w:rPr/>
        <w:t>cell crises (Aslan </w:t>
      </w:r>
      <w:r>
        <w:rPr>
          <w:i/>
        </w:rPr>
        <w:t>et al</w:t>
      </w:r>
      <w:r>
        <w:rPr/>
        <w:t>., 2000). Certain</w:t>
      </w:r>
      <w:r>
        <w:rPr>
          <w:spacing w:val="1"/>
        </w:rPr>
        <w:t> </w:t>
      </w:r>
      <w:r>
        <w:rPr/>
        <w:t>minerals, copper, iron, magnesium, selenium as well as some antioxidants and vitamins C, E, B6,</w:t>
      </w:r>
      <w:r>
        <w:rPr>
          <w:spacing w:val="-57"/>
        </w:rPr>
        <w:t> </w:t>
      </w:r>
      <w:r>
        <w:rPr/>
        <w:t>B12, and folate, have been found to effectively relieve the oxidative stress that prevails in SCD</w:t>
      </w:r>
      <w:r>
        <w:rPr>
          <w:spacing w:val="1"/>
        </w:rPr>
        <w:t> </w:t>
      </w:r>
      <w:r>
        <w:rPr/>
        <w:t>(Hasanato, 2006). In addition, copper, iron and magnesium play important roles in haemoglobin</w:t>
      </w:r>
      <w:r>
        <w:rPr>
          <w:spacing w:val="1"/>
        </w:rPr>
        <w:t> </w:t>
      </w:r>
      <w:r>
        <w:rPr/>
        <w:t>synthesis.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60" w:lineRule="auto" w:before="72"/>
        <w:ind w:left="820" w:right="1443"/>
        <w:jc w:val="both"/>
      </w:pPr>
      <w:r>
        <w:rPr/>
        <w:t>Several studies have been done on magnesium concentration, but these studies have shown</w:t>
      </w:r>
      <w:r>
        <w:rPr>
          <w:spacing w:val="1"/>
        </w:rPr>
        <w:t> </w:t>
      </w:r>
      <w:r>
        <w:rPr/>
        <w:t>conflicting results. Reduced erythrocyte magnesium content and normal serum Mg was observed</w:t>
      </w:r>
      <w:r>
        <w:rPr>
          <w:spacing w:val="-57"/>
        </w:rPr>
        <w:t> </w:t>
      </w:r>
      <w:r>
        <w:rPr/>
        <w:t>sickle cell disease patients in Lagos (Okochi and Okpuzor 2005). Other studies have measured</w:t>
      </w:r>
      <w:r>
        <w:rPr>
          <w:spacing w:val="1"/>
        </w:rPr>
        <w:t> </w:t>
      </w:r>
      <w:r>
        <w:rPr/>
        <w:t>normal</w:t>
      </w:r>
      <w:r>
        <w:rPr>
          <w:spacing w:val="-9"/>
        </w:rPr>
        <w:t> </w:t>
      </w:r>
      <w:r>
        <w:rPr/>
        <w:t>circulating</w:t>
      </w:r>
      <w:r>
        <w:rPr>
          <w:spacing w:val="6"/>
        </w:rPr>
        <w:t> </w:t>
      </w:r>
      <w:r>
        <w:rPr/>
        <w:t>levels,</w:t>
      </w:r>
      <w:r>
        <w:rPr>
          <w:spacing w:val="2"/>
        </w:rPr>
        <w:t> </w:t>
      </w:r>
      <w:r>
        <w:rPr/>
        <w:t>while others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reported</w:t>
      </w:r>
      <w:r>
        <w:rPr>
          <w:spacing w:val="-8"/>
        </w:rPr>
        <w:t> </w:t>
      </w:r>
      <w:r>
        <w:rPr/>
        <w:t>to</w:t>
      </w:r>
      <w:r>
        <w:rPr>
          <w:spacing w:val="6"/>
        </w:rPr>
        <w:t> </w:t>
      </w:r>
      <w:r>
        <w:rPr/>
        <w:t>be</w:t>
      </w:r>
      <w:r>
        <w:rPr>
          <w:spacing w:val="-1"/>
        </w:rPr>
        <w:t> </w:t>
      </w:r>
      <w:r>
        <w:rPr/>
        <w:t>low</w:t>
      </w:r>
      <w:r>
        <w:rPr>
          <w:spacing w:val="1"/>
        </w:rPr>
        <w:t> </w:t>
      </w:r>
      <w:r>
        <w:rPr/>
        <w:t>(Hyacinth</w:t>
      </w:r>
      <w:r>
        <w:rPr>
          <w:spacing w:val="1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2010).</w:t>
      </w:r>
    </w:p>
    <w:p>
      <w:pPr>
        <w:pStyle w:val="BodyText"/>
        <w:spacing w:line="360" w:lineRule="auto" w:before="201"/>
        <w:ind w:left="820" w:right="1437"/>
        <w:jc w:val="both"/>
      </w:pPr>
      <w:r>
        <w:rPr/>
        <w:t>In present study, plasma magnesium levels of HbAA volunteers were highest (0.88 mg/dL). The</w:t>
      </w:r>
      <w:r>
        <w:rPr>
          <w:spacing w:val="1"/>
        </w:rPr>
        <w:t> </w:t>
      </w:r>
      <w:r>
        <w:rPr/>
        <w:t>levels of Mg</w:t>
      </w:r>
      <w:r>
        <w:rPr>
          <w:spacing w:val="1"/>
        </w:rPr>
        <w:t> </w:t>
      </w:r>
      <w:r>
        <w:rPr/>
        <w:t>in the SCD patients in steady state were</w:t>
      </w:r>
      <w:r>
        <w:rPr>
          <w:spacing w:val="60"/>
        </w:rPr>
        <w:t> </w:t>
      </w:r>
      <w:r>
        <w:rPr/>
        <w:t>lower (0.74 mg/dL), while the SCD</w:t>
      </w:r>
      <w:r>
        <w:rPr>
          <w:spacing w:val="1"/>
        </w:rPr>
        <w:t> </w:t>
      </w:r>
      <w:r>
        <w:rPr/>
        <w:t>patients in crises had the lowest plasma magnesium concentration (0.62 mg/dL). There was a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 the</w:t>
      </w:r>
      <w:r>
        <w:rPr>
          <w:spacing w:val="1"/>
        </w:rPr>
        <w:t> </w:t>
      </w:r>
      <w:r>
        <w:rPr/>
        <w:t>groups.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literature which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magnesium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sickle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crises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activating</w:t>
      </w:r>
      <w:r>
        <w:rPr>
          <w:spacing w:val="1"/>
        </w:rPr>
        <w:t> </w:t>
      </w:r>
      <w:r>
        <w:rPr/>
        <w:t>K-Cl</w:t>
      </w:r>
      <w:r>
        <w:rPr>
          <w:spacing w:val="60"/>
        </w:rPr>
        <w:t> </w:t>
      </w:r>
      <w:r>
        <w:rPr/>
        <w:t>co</w:t>
      </w:r>
      <w:r>
        <w:rPr>
          <w:spacing w:val="1"/>
        </w:rPr>
        <w:t> </w:t>
      </w:r>
      <w:r>
        <w:rPr/>
        <w:t>transport system, dehydrating the sickle red blood cell, increasing the fragility of the RBC and</w:t>
      </w:r>
      <w:r>
        <w:rPr>
          <w:spacing w:val="1"/>
        </w:rPr>
        <w:t> </w:t>
      </w:r>
      <w:r>
        <w:rPr/>
        <w:t>leaving the system exposed to reactive oxygen species. It has been shown that Magnesium (Mg)</w:t>
      </w:r>
      <w:r>
        <w:rPr>
          <w:spacing w:val="1"/>
        </w:rPr>
        <w:t> </w:t>
      </w:r>
      <w:r>
        <w:rPr/>
        <w:t>is effective in reducing</w:t>
      </w:r>
      <w:r>
        <w:rPr>
          <w:spacing w:val="1"/>
        </w:rPr>
        <w:t> </w:t>
      </w:r>
      <w:r>
        <w:rPr/>
        <w:t>not only the painful episode in SCD</w:t>
      </w:r>
      <w:r>
        <w:rPr>
          <w:spacing w:val="1"/>
        </w:rPr>
        <w:t> </w:t>
      </w:r>
      <w:r>
        <w:rPr/>
        <w:t>but</w:t>
      </w:r>
      <w:r>
        <w:rPr>
          <w:spacing w:val="60"/>
        </w:rPr>
        <w:t> </w:t>
      </w:r>
      <w:r>
        <w:rPr/>
        <w:t>also affects the hydration of</w:t>
      </w:r>
      <w:r>
        <w:rPr>
          <w:spacing w:val="1"/>
        </w:rPr>
        <w:t> </w:t>
      </w:r>
      <w:r>
        <w:rPr/>
        <w:t>RBC (Okochi and Okpuzor 2005). Oladipo </w:t>
      </w:r>
      <w:r>
        <w:rPr>
          <w:i/>
        </w:rPr>
        <w:t>et al</w:t>
      </w:r>
      <w:r>
        <w:rPr/>
        <w:t>., (2005) reported use of magnesium in clinical</w:t>
      </w:r>
      <w:r>
        <w:rPr>
          <w:spacing w:val="1"/>
        </w:rPr>
        <w:t> </w:t>
      </w:r>
      <w:r>
        <w:rPr/>
        <w:t>practice to reduce erythrocyte dehydration in SCD; thus, prevention of red cell dehydration using</w:t>
      </w:r>
      <w:r>
        <w:rPr>
          <w:spacing w:val="-57"/>
        </w:rPr>
        <w:t> </w:t>
      </w:r>
      <w:r>
        <w:rPr/>
        <w:t>magnesium supplements represents an exciting possible new therapeutic strategy (DeFranchesci,</w:t>
      </w:r>
      <w:r>
        <w:rPr>
          <w:spacing w:val="1"/>
        </w:rPr>
        <w:t> </w:t>
      </w:r>
      <w:r>
        <w:rPr/>
        <w:t>1997).</w:t>
      </w:r>
    </w:p>
    <w:p>
      <w:pPr>
        <w:pStyle w:val="BodyText"/>
        <w:spacing w:line="360" w:lineRule="auto" w:before="198"/>
        <w:ind w:left="820" w:right="1437"/>
        <w:jc w:val="both"/>
      </w:pPr>
      <w:r>
        <w:rPr/>
        <w:t>Zinc has been said to have important therapeutic potential in the management of sickle cell</w:t>
      </w:r>
      <w:r>
        <w:rPr>
          <w:spacing w:val="1"/>
        </w:rPr>
        <w:t> </w:t>
      </w:r>
      <w:r>
        <w:rPr/>
        <w:t>disease since 1974 (Brewer Oelshlegel Jr. 1974). Approximately 60-70% of adolescent and adult</w:t>
      </w:r>
      <w:r>
        <w:rPr>
          <w:spacing w:val="-57"/>
        </w:rPr>
        <w:t> </w:t>
      </w:r>
      <w:r>
        <w:rPr/>
        <w:t>patients with SCD are zinc deficient (Prasad, 2002). In children with acute malaria infection,</w:t>
      </w:r>
      <w:r>
        <w:rPr>
          <w:spacing w:val="1"/>
        </w:rPr>
        <w:t> </w:t>
      </w:r>
      <w:r>
        <w:rPr/>
        <w:t>plasma zinc concentration has been found to be very low (Muller </w:t>
      </w:r>
      <w:r>
        <w:rPr>
          <w:i/>
        </w:rPr>
        <w:t>et al</w:t>
      </w:r>
      <w:r>
        <w:rPr/>
        <w:t>., 2001). A deficiency of</w:t>
      </w:r>
      <w:r>
        <w:rPr>
          <w:spacing w:val="1"/>
        </w:rPr>
        <w:t> </w:t>
      </w:r>
      <w:r>
        <w:rPr/>
        <w:t>zinc in patients with sickle cell disease results in</w:t>
      </w:r>
      <w:r>
        <w:rPr>
          <w:spacing w:val="60"/>
        </w:rPr>
        <w:t> </w:t>
      </w:r>
      <w:r>
        <w:rPr/>
        <w:t>growth retardation (dwarfism), hypogonadism</w:t>
      </w:r>
      <w:r>
        <w:rPr>
          <w:spacing w:val="1"/>
        </w:rPr>
        <w:t> </w:t>
      </w:r>
      <w:r>
        <w:rPr/>
        <w:t>in males, rough skin, poor appetite, mental lethargy and recurrent infections. Zn plays a very</w:t>
      </w:r>
      <w:r>
        <w:rPr>
          <w:spacing w:val="1"/>
        </w:rPr>
        <w:t> </w:t>
      </w:r>
      <w:r>
        <w:rPr/>
        <w:t>important role in iron metabolism (Prasad, 1999), prevents formation of irreversibly sickled cells</w:t>
      </w:r>
      <w:r>
        <w:rPr>
          <w:spacing w:val="-57"/>
        </w:rPr>
        <w:t> </w:t>
      </w:r>
      <w:r>
        <w:rPr/>
        <w:t>and inhibits sickling (Okochi and Okpuzor 2005). It has been proposed that it produces its anti-</w:t>
      </w:r>
      <w:r>
        <w:rPr>
          <w:spacing w:val="1"/>
        </w:rPr>
        <w:t> </w:t>
      </w:r>
      <w:r>
        <w:rPr/>
        <w:t>sickling effect by antagonizing calcium. During sickling, there is an influx of calcium into the</w:t>
      </w:r>
      <w:r>
        <w:rPr>
          <w:spacing w:val="1"/>
        </w:rPr>
        <w:t> </w:t>
      </w:r>
      <w:r>
        <w:rPr/>
        <w:t>erythrocytes and this destroys the membrane leading to sickling; thus, zinc supplementation</w:t>
      </w:r>
      <w:r>
        <w:rPr>
          <w:spacing w:val="1"/>
        </w:rPr>
        <w:t> </w:t>
      </w:r>
      <w:r>
        <w:rPr/>
        <w:t>reverses this effect. In the present study, the plasma zinc levels of both SCD groups was lower</w:t>
      </w:r>
      <w:r>
        <w:rPr>
          <w:spacing w:val="1"/>
        </w:rPr>
        <w:t> </w:t>
      </w:r>
      <w:r>
        <w:rPr/>
        <w:t>than the HbAA controls, with the SCD crises group being lower than the SCD steady state group.</w:t>
      </w:r>
      <w:r>
        <w:rPr>
          <w:spacing w:val="-57"/>
        </w:rPr>
        <w:t> </w:t>
      </w:r>
      <w:r>
        <w:rPr/>
        <w:t>This</w:t>
      </w:r>
      <w:r>
        <w:rPr>
          <w:spacing w:val="-3"/>
        </w:rPr>
        <w:t> </w:t>
      </w:r>
      <w:r>
        <w:rPr/>
        <w:t>suggests</w:t>
      </w:r>
      <w:r>
        <w:rPr>
          <w:spacing w:val="-3"/>
        </w:rPr>
        <w:t> </w:t>
      </w:r>
      <w:r>
        <w:rPr/>
        <w:t>that the SCD group</w:t>
      </w:r>
      <w:r>
        <w:rPr>
          <w:spacing w:val="-1"/>
        </w:rPr>
        <w:t> </w:t>
      </w:r>
      <w:r>
        <w:rPr/>
        <w:t>could</w:t>
      </w:r>
      <w:r>
        <w:rPr>
          <w:spacing w:val="-1"/>
        </w:rPr>
        <w:t> </w:t>
      </w:r>
      <w:r>
        <w:rPr/>
        <w:t>probably</w:t>
      </w:r>
      <w:r>
        <w:rPr>
          <w:spacing w:val="-1"/>
        </w:rPr>
        <w:t> </w:t>
      </w:r>
      <w:r>
        <w:rPr/>
        <w:t>benefit</w:t>
      </w:r>
      <w:r>
        <w:rPr>
          <w:spacing w:val="9"/>
        </w:rPr>
        <w:t> </w:t>
      </w:r>
      <w:r>
        <w:rPr/>
        <w:t>from</w:t>
      </w:r>
      <w:r>
        <w:rPr>
          <w:spacing w:val="-9"/>
        </w:rPr>
        <w:t> </w:t>
      </w:r>
      <w:r>
        <w:rPr/>
        <w:t>zinc</w:t>
      </w:r>
      <w:r>
        <w:rPr>
          <w:spacing w:val="-2"/>
        </w:rPr>
        <w:t> </w:t>
      </w:r>
      <w:r>
        <w:rPr/>
        <w:t>supplementation;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low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55" w:lineRule="auto" w:before="72"/>
        <w:ind w:left="820" w:right="1449"/>
        <w:jc w:val="both"/>
      </w:pPr>
      <w:r>
        <w:rPr/>
        <w:t>zinc</w:t>
      </w:r>
      <w:r>
        <w:rPr>
          <w:spacing w:val="1"/>
        </w:rPr>
        <w:t> </w:t>
      </w:r>
      <w:r>
        <w:rPr/>
        <w:t>levels could be a contributing</w:t>
      </w:r>
      <w:r>
        <w:rPr>
          <w:spacing w:val="1"/>
        </w:rPr>
        <w:t> </w:t>
      </w:r>
      <w:r>
        <w:rPr/>
        <w:t>factor to the crises being experienced</w:t>
      </w:r>
      <w:r>
        <w:rPr>
          <w:spacing w:val="60"/>
        </w:rPr>
        <w:t> </w:t>
      </w:r>
      <w:r>
        <w:rPr/>
        <w:t>by the SCD crises</w:t>
      </w:r>
      <w:r>
        <w:rPr>
          <w:spacing w:val="1"/>
        </w:rPr>
        <w:t> </w:t>
      </w:r>
      <w:r>
        <w:rPr/>
        <w:t>group,</w:t>
      </w:r>
      <w:r>
        <w:rPr>
          <w:spacing w:val="3"/>
        </w:rPr>
        <w:t> </w:t>
      </w:r>
      <w:r>
        <w:rPr/>
        <w:t>because,</w:t>
      </w:r>
      <w:r>
        <w:rPr>
          <w:spacing w:val="3"/>
        </w:rPr>
        <w:t> </w:t>
      </w:r>
      <w:r>
        <w:rPr/>
        <w:t>they</w:t>
      </w:r>
      <w:r>
        <w:rPr>
          <w:spacing w:val="-9"/>
        </w:rPr>
        <w:t> </w:t>
      </w:r>
      <w:r>
        <w:rPr/>
        <w:t>had</w:t>
      </w:r>
      <w:r>
        <w:rPr>
          <w:spacing w:val="2"/>
        </w:rPr>
        <w:t> </w:t>
      </w:r>
      <w:r>
        <w:rPr/>
        <w:t>the</w:t>
      </w:r>
      <w:r>
        <w:rPr>
          <w:spacing w:val="5"/>
        </w:rPr>
        <w:t> </w:t>
      </w:r>
      <w:r>
        <w:rPr/>
        <w:t>lowest</w:t>
      </w:r>
      <w:r>
        <w:rPr>
          <w:spacing w:val="6"/>
        </w:rPr>
        <w:t> </w:t>
      </w:r>
      <w:r>
        <w:rPr/>
        <w:t>plasma</w:t>
      </w:r>
      <w:r>
        <w:rPr>
          <w:spacing w:val="1"/>
        </w:rPr>
        <w:t> </w:t>
      </w:r>
      <w:r>
        <w:rPr/>
        <w:t>zinc</w:t>
      </w:r>
      <w:r>
        <w:rPr>
          <w:spacing w:val="5"/>
        </w:rPr>
        <w:t> </w:t>
      </w:r>
      <w:r>
        <w:rPr/>
        <w:t>levels.</w:t>
      </w:r>
    </w:p>
    <w:p>
      <w:pPr>
        <w:pStyle w:val="BodyText"/>
        <w:spacing w:line="360" w:lineRule="auto" w:before="210"/>
        <w:ind w:left="820" w:right="1437"/>
        <w:jc w:val="both"/>
      </w:pPr>
      <w:r>
        <w:rPr/>
        <w:t>Plasma copper levels are reciprocal to plasma zinc levels. Deficiency of copper</w:t>
      </w:r>
      <w:r>
        <w:rPr>
          <w:spacing w:val="60"/>
        </w:rPr>
        <w:t> </w:t>
      </w:r>
      <w:r>
        <w:rPr/>
        <w:t>is known to</w:t>
      </w:r>
      <w:r>
        <w:rPr>
          <w:spacing w:val="1"/>
        </w:rPr>
        <w:t> </w:t>
      </w:r>
      <w:r>
        <w:rPr/>
        <w:t>cause anaemia and it is an important antioxidant (Okochi and Okpuzor 2005). There are reports</w:t>
      </w:r>
      <w:r>
        <w:rPr>
          <w:spacing w:val="1"/>
        </w:rPr>
        <w:t> </w:t>
      </w:r>
      <w:r>
        <w:rPr/>
        <w:t>of increased plasma copper levels in individuals with HbSS, and erythrocyte copper is either</w:t>
      </w:r>
      <w:r>
        <w:rPr>
          <w:spacing w:val="1"/>
        </w:rPr>
        <w:t> </w:t>
      </w:r>
      <w:r>
        <w:rPr/>
        <w:t>normal or increased. The clinical significance of this elevation in plasma copper is unclear, but it</w:t>
      </w:r>
      <w:r>
        <w:rPr>
          <w:spacing w:val="1"/>
        </w:rPr>
        <w:t> </w:t>
      </w:r>
      <w:r>
        <w:rPr/>
        <w:t>has been reported to occur in the event of decreased plasma zinc levels (Hyacinth </w:t>
      </w:r>
      <w:r>
        <w:rPr>
          <w:i/>
        </w:rPr>
        <w:t>et al</w:t>
      </w:r>
      <w:r>
        <w:rPr/>
        <w:t>., 2010).</w:t>
      </w:r>
      <w:r>
        <w:rPr>
          <w:spacing w:val="1"/>
        </w:rPr>
        <w:t> </w:t>
      </w:r>
      <w:r>
        <w:rPr/>
        <w:t>Plasma copper levels of all the groups were a reciprocal of the plasma zinc levels. The SCD</w:t>
      </w:r>
      <w:r>
        <w:rPr>
          <w:spacing w:val="1"/>
        </w:rPr>
        <w:t> </w:t>
      </w:r>
      <w:r>
        <w:rPr/>
        <w:t>patients in crises had the highest levels (94.39 µg/dL), while the SCD patients in steady state had</w:t>
      </w:r>
      <w:r>
        <w:rPr>
          <w:spacing w:val="-57"/>
        </w:rPr>
        <w:t> </w:t>
      </w:r>
      <w:r>
        <w:rPr/>
        <w:t>a lower plasma copper concentration (90.15 µg/dL); with the HbAA volunteers having the lowest</w:t>
      </w:r>
      <w:r>
        <w:rPr>
          <w:spacing w:val="-58"/>
        </w:rPr>
        <w:t> </w:t>
      </w:r>
      <w:r>
        <w:rPr/>
        <w:t>levels (82.39 µg/dL); however, there was no statistically significant difference between them.</w:t>
      </w:r>
      <w:r>
        <w:rPr>
          <w:spacing w:val="1"/>
        </w:rPr>
        <w:t> </w:t>
      </w:r>
      <w:r>
        <w:rPr/>
        <w:t>Since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copper</w:t>
      </w:r>
      <w:r>
        <w:rPr>
          <w:spacing w:val="-2"/>
        </w:rPr>
        <w:t> </w:t>
      </w:r>
      <w:r>
        <w:rPr/>
        <w:t>levels</w:t>
      </w:r>
      <w:r>
        <w:rPr>
          <w:spacing w:val="-5"/>
        </w:rPr>
        <w:t> </w:t>
      </w:r>
      <w:r>
        <w:rPr/>
        <w:t>were</w:t>
      </w:r>
      <w:r>
        <w:rPr>
          <w:spacing w:val="-4"/>
        </w:rPr>
        <w:t> </w:t>
      </w:r>
      <w:r>
        <w:rPr/>
        <w:t>normal,</w:t>
      </w:r>
      <w:r>
        <w:rPr>
          <w:spacing w:val="4"/>
        </w:rPr>
        <w:t> </w:t>
      </w:r>
      <w:r>
        <w:rPr/>
        <w:t>it</w:t>
      </w:r>
      <w:r>
        <w:rPr>
          <w:spacing w:val="1"/>
        </w:rPr>
        <w:t> </w:t>
      </w:r>
      <w:r>
        <w:rPr/>
        <w:t>does</w:t>
      </w:r>
      <w:r>
        <w:rPr>
          <w:spacing w:val="-5"/>
        </w:rPr>
        <w:t> </w:t>
      </w:r>
      <w:r>
        <w:rPr/>
        <w:t>not</w:t>
      </w:r>
      <w:r>
        <w:rPr>
          <w:spacing w:val="2"/>
        </w:rPr>
        <w:t> </w:t>
      </w:r>
      <w:r>
        <w:rPr/>
        <w:t>provide</w:t>
      </w:r>
      <w:r>
        <w:rPr>
          <w:spacing w:val="-4"/>
        </w:rPr>
        <w:t> </w:t>
      </w:r>
      <w:r>
        <w:rPr/>
        <w:t>an</w:t>
      </w:r>
      <w:r>
        <w:rPr>
          <w:spacing w:val="-7"/>
        </w:rPr>
        <w:t> </w:t>
      </w:r>
      <w:r>
        <w:rPr/>
        <w:t>avenue for</w:t>
      </w:r>
      <w:r>
        <w:rPr>
          <w:spacing w:val="-5"/>
        </w:rPr>
        <w:t> </w:t>
      </w:r>
      <w:r>
        <w:rPr/>
        <w:t>therapeutic intervention.</w:t>
      </w:r>
    </w:p>
    <w:p>
      <w:pPr>
        <w:pStyle w:val="BodyText"/>
        <w:spacing w:line="360" w:lineRule="auto" w:before="199"/>
        <w:ind w:left="820" w:right="1436"/>
        <w:jc w:val="both"/>
      </w:pPr>
      <w:r>
        <w:rPr/>
        <w:t>Fairly recent reports from India (Mohanty </w:t>
      </w:r>
      <w:r>
        <w:rPr>
          <w:i/>
        </w:rPr>
        <w:t>et al</w:t>
      </w:r>
      <w:r>
        <w:rPr/>
        <w:t>., 2008) and Nigeria (Hyacinth </w:t>
      </w:r>
      <w:r>
        <w:rPr>
          <w:i/>
        </w:rPr>
        <w:t>et al</w:t>
      </w:r>
      <w:r>
        <w:rPr/>
        <w:t>., 2010),</w:t>
      </w:r>
      <w:r>
        <w:rPr>
          <w:spacing w:val="1"/>
        </w:rPr>
        <w:t> </w:t>
      </w:r>
      <w:r>
        <w:rPr/>
        <w:t>describe low iron stores in the bone marrow of 36%–67% of the patients studied (Hyacinth </w:t>
      </w:r>
      <w:r>
        <w:rPr>
          <w:i/>
        </w:rPr>
        <w:t>et al</w:t>
      </w:r>
      <w:r>
        <w:rPr/>
        <w:t>.,</w:t>
      </w:r>
      <w:r>
        <w:rPr>
          <w:spacing w:val="-57"/>
        </w:rPr>
        <w:t> </w:t>
      </w:r>
      <w:r>
        <w:rPr/>
        <w:t>2010). In contrast, Vinchinsky </w:t>
      </w:r>
      <w:r>
        <w:rPr>
          <w:i/>
        </w:rPr>
        <w:t>et al</w:t>
      </w:r>
      <w:r>
        <w:rPr/>
        <w:t>., (1981) reported that only 16% of their non-transfused</w:t>
      </w:r>
      <w:r>
        <w:rPr>
          <w:spacing w:val="1"/>
        </w:rPr>
        <w:t> </w:t>
      </w:r>
      <w:r>
        <w:rPr/>
        <w:t>patients in the United States showed evidence of iron deficiency. In a study by Aken’ova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(1997) in Ibadan, all the adult sickle cell anaemia patients had serum iron levels within or above</w:t>
      </w:r>
      <w:r>
        <w:rPr>
          <w:spacing w:val="1"/>
        </w:rPr>
        <w:t> </w:t>
      </w:r>
      <w:r>
        <w:rPr/>
        <w:t>normal range; with serum iron levels being found to be deficient in only 6% of the patients. They</w:t>
      </w:r>
      <w:r>
        <w:rPr>
          <w:spacing w:val="-57"/>
        </w:rPr>
        <w:t> </w:t>
      </w:r>
      <w:r>
        <w:rPr/>
        <w:t>concluded that sickle cell anaemia patients in the area had adequate iron levels and that iron</w:t>
      </w:r>
      <w:r>
        <w:rPr>
          <w:spacing w:val="1"/>
        </w:rPr>
        <w:t> </w:t>
      </w:r>
      <w:r>
        <w:rPr/>
        <w:t>supplements should only be given in cases of proven iron deficiency.</w:t>
      </w:r>
      <w:r>
        <w:rPr>
          <w:spacing w:val="1"/>
        </w:rPr>
        <w:t> </w:t>
      </w:r>
      <w:r>
        <w:rPr/>
        <w:t>Akpotuzor </w:t>
      </w:r>
      <w:r>
        <w:rPr>
          <w:i/>
        </w:rPr>
        <w:t>et al</w:t>
      </w:r>
      <w:r>
        <w:rPr/>
        <w:t>. (2007)</w:t>
      </w:r>
      <w:r>
        <w:rPr>
          <w:spacing w:val="1"/>
        </w:rPr>
        <w:t> </w:t>
      </w:r>
      <w:r>
        <w:rPr/>
        <w:t>found serum iron levels of 14.1-16.5 µmol/dL and 15.6-18.1 µmol/dL in Ekori and Calabar</w:t>
      </w:r>
      <w:r>
        <w:rPr>
          <w:spacing w:val="1"/>
        </w:rPr>
        <w:t> </w:t>
      </w:r>
      <w:r>
        <w:rPr/>
        <w:t>metropolis respectively in healthy adult volunteers of Cross River State Nigeria. In present study,</w:t>
      </w:r>
      <w:r>
        <w:rPr>
          <w:spacing w:val="-57"/>
        </w:rPr>
        <w:t> </w:t>
      </w:r>
      <w:r>
        <w:rPr/>
        <w:t>plasma iron of the SCD patients in crises (19.09µmol/dL) and SCD patients in steady state</w:t>
      </w:r>
      <w:r>
        <w:rPr>
          <w:spacing w:val="1"/>
        </w:rPr>
        <w:t> </w:t>
      </w:r>
      <w:r>
        <w:rPr/>
        <w:t>(17.60µmol/dL) was</w:t>
      </w:r>
      <w:r>
        <w:rPr>
          <w:spacing w:val="60"/>
        </w:rPr>
        <w:t> </w:t>
      </w:r>
      <w:r>
        <w:rPr/>
        <w:t>higher than the HbAA volunteers (14.15 µmol/dL); with the SCD patients</w:t>
      </w:r>
      <w:r>
        <w:rPr>
          <w:spacing w:val="1"/>
        </w:rPr>
        <w:t> </w:t>
      </w:r>
      <w:r>
        <w:rPr/>
        <w:t>in crises having the highest iron levels. The values for the HbAA obtained were close to that of</w:t>
      </w:r>
      <w:r>
        <w:rPr>
          <w:spacing w:val="1"/>
        </w:rPr>
        <w:t> </w:t>
      </w:r>
      <w:r>
        <w:rPr/>
        <w:t>Akpotuzor </w:t>
      </w:r>
      <w:r>
        <w:rPr>
          <w:i/>
        </w:rPr>
        <w:t>et al</w:t>
      </w:r>
      <w:r>
        <w:rPr/>
        <w:t>. (2007). There was a statistically significant difference between plasma iron</w:t>
      </w:r>
      <w:r>
        <w:rPr>
          <w:spacing w:val="1"/>
        </w:rPr>
        <w:t> </w:t>
      </w:r>
      <w:r>
        <w:rPr/>
        <w:t>levels of the SCD patients</w:t>
      </w:r>
      <w:r>
        <w:rPr>
          <w:spacing w:val="1"/>
        </w:rPr>
        <w:t> </w:t>
      </w:r>
      <w:r>
        <w:rPr/>
        <w:t>in crises and the HbAA volunteers and the SCD patients</w:t>
      </w:r>
      <w:r>
        <w:rPr>
          <w:spacing w:val="60"/>
        </w:rPr>
        <w:t> </w:t>
      </w:r>
      <w:r>
        <w:rPr/>
        <w:t>in steady</w:t>
      </w:r>
      <w:r>
        <w:rPr>
          <w:spacing w:val="1"/>
        </w:rPr>
        <w:t> </w:t>
      </w:r>
      <w:r>
        <w:rPr/>
        <w:t>state and the HbAA volunteers; and no statistically significant difference between both SCD</w:t>
      </w:r>
      <w:r>
        <w:rPr>
          <w:spacing w:val="1"/>
        </w:rPr>
        <w:t> </w:t>
      </w:r>
      <w:r>
        <w:rPr/>
        <w:t>groups.</w:t>
      </w:r>
      <w:r>
        <w:rPr>
          <w:spacing w:val="10"/>
        </w:rPr>
        <w:t> </w:t>
      </w:r>
      <w:r>
        <w:rPr/>
        <w:t>This</w:t>
      </w:r>
      <w:r>
        <w:rPr>
          <w:spacing w:val="11"/>
        </w:rPr>
        <w:t> </w:t>
      </w:r>
      <w:r>
        <w:rPr/>
        <w:t>shows</w:t>
      </w:r>
      <w:r>
        <w:rPr>
          <w:spacing w:val="11"/>
        </w:rPr>
        <w:t> </w:t>
      </w:r>
      <w:r>
        <w:rPr/>
        <w:t>that</w:t>
      </w:r>
      <w:r>
        <w:rPr>
          <w:spacing w:val="18"/>
        </w:rPr>
        <w:t> </w:t>
      </w:r>
      <w:r>
        <w:rPr/>
        <w:t>since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plasma</w:t>
      </w:r>
      <w:r>
        <w:rPr>
          <w:spacing w:val="17"/>
        </w:rPr>
        <w:t> </w:t>
      </w:r>
      <w:r>
        <w:rPr/>
        <w:t>levels</w:t>
      </w:r>
      <w:r>
        <w:rPr>
          <w:spacing w:val="11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12"/>
        </w:rPr>
        <w:t> </w:t>
      </w:r>
      <w:r>
        <w:rPr/>
        <w:t>SCD</w:t>
      </w:r>
      <w:r>
        <w:rPr>
          <w:spacing w:val="12"/>
        </w:rPr>
        <w:t> </w:t>
      </w:r>
      <w:r>
        <w:rPr/>
        <w:t>groups</w:t>
      </w:r>
      <w:r>
        <w:rPr>
          <w:spacing w:val="11"/>
        </w:rPr>
        <w:t> </w:t>
      </w:r>
      <w:r>
        <w:rPr/>
        <w:t>are</w:t>
      </w:r>
      <w:r>
        <w:rPr>
          <w:spacing w:val="12"/>
        </w:rPr>
        <w:t> </w:t>
      </w:r>
      <w:r>
        <w:rPr/>
        <w:t>both</w:t>
      </w:r>
      <w:r>
        <w:rPr>
          <w:spacing w:val="9"/>
        </w:rPr>
        <w:t> </w:t>
      </w:r>
      <w:r>
        <w:rPr/>
        <w:t>above</w:t>
      </w:r>
      <w:r>
        <w:rPr>
          <w:spacing w:val="17"/>
        </w:rPr>
        <w:t> </w:t>
      </w:r>
      <w:r>
        <w:rPr/>
        <w:t>normal,</w:t>
      </w:r>
      <w:r>
        <w:rPr>
          <w:spacing w:val="19"/>
        </w:rPr>
        <w:t> </w:t>
      </w:r>
      <w:r>
        <w:rPr/>
        <w:t>iron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55" w:lineRule="auto" w:before="72"/>
        <w:ind w:left="820" w:right="1433"/>
      </w:pPr>
      <w:r>
        <w:rPr/>
        <w:t>supplementation</w:t>
      </w:r>
      <w:r>
        <w:rPr>
          <w:spacing w:val="26"/>
        </w:rPr>
        <w:t> </w:t>
      </w:r>
      <w:r>
        <w:rPr/>
        <w:t>can</w:t>
      </w:r>
      <w:r>
        <w:rPr>
          <w:spacing w:val="31"/>
        </w:rPr>
        <w:t> </w:t>
      </w:r>
      <w:r>
        <w:rPr/>
        <w:t>only</w:t>
      </w:r>
      <w:r>
        <w:rPr>
          <w:spacing w:val="30"/>
        </w:rPr>
        <w:t> </w:t>
      </w:r>
      <w:r>
        <w:rPr/>
        <w:t>be</w:t>
      </w:r>
      <w:r>
        <w:rPr>
          <w:spacing w:val="34"/>
        </w:rPr>
        <w:t> </w:t>
      </w:r>
      <w:r>
        <w:rPr/>
        <w:t>used</w:t>
      </w:r>
      <w:r>
        <w:rPr>
          <w:spacing w:val="39"/>
        </w:rPr>
        <w:t> </w:t>
      </w:r>
      <w:r>
        <w:rPr/>
        <w:t>in</w:t>
      </w:r>
      <w:r>
        <w:rPr>
          <w:spacing w:val="31"/>
        </w:rPr>
        <w:t> </w:t>
      </w:r>
      <w:r>
        <w:rPr/>
        <w:t>these</w:t>
      </w:r>
      <w:r>
        <w:rPr>
          <w:spacing w:val="30"/>
        </w:rPr>
        <w:t> </w:t>
      </w:r>
      <w:r>
        <w:rPr/>
        <w:t>patients</w:t>
      </w:r>
      <w:r>
        <w:rPr>
          <w:spacing w:val="32"/>
        </w:rPr>
        <w:t> </w:t>
      </w:r>
      <w:r>
        <w:rPr/>
        <w:t>in</w:t>
      </w:r>
      <w:r>
        <w:rPr>
          <w:spacing w:val="31"/>
        </w:rPr>
        <w:t> </w:t>
      </w:r>
      <w:r>
        <w:rPr/>
        <w:t>cases</w:t>
      </w:r>
      <w:r>
        <w:rPr>
          <w:spacing w:val="29"/>
        </w:rPr>
        <w:t> </w:t>
      </w:r>
      <w:r>
        <w:rPr/>
        <w:t>of</w:t>
      </w:r>
      <w:r>
        <w:rPr>
          <w:spacing w:val="22"/>
        </w:rPr>
        <w:t> </w:t>
      </w:r>
      <w:r>
        <w:rPr/>
        <w:t>proven</w:t>
      </w:r>
      <w:r>
        <w:rPr>
          <w:spacing w:val="35"/>
        </w:rPr>
        <w:t> </w:t>
      </w:r>
      <w:r>
        <w:rPr/>
        <w:t>iron</w:t>
      </w:r>
      <w:r>
        <w:rPr>
          <w:spacing w:val="30"/>
        </w:rPr>
        <w:t> </w:t>
      </w:r>
      <w:r>
        <w:rPr/>
        <w:t>deficiency</w:t>
      </w:r>
      <w:r>
        <w:rPr>
          <w:spacing w:val="26"/>
        </w:rPr>
        <w:t> </w:t>
      </w:r>
      <w:r>
        <w:rPr/>
        <w:t>as</w:t>
      </w:r>
      <w:r>
        <w:rPr>
          <w:spacing w:val="29"/>
        </w:rPr>
        <w:t> </w:t>
      </w:r>
      <w:r>
        <w:rPr/>
        <w:t>was</w:t>
      </w:r>
      <w:r>
        <w:rPr>
          <w:spacing w:val="-57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by</w:t>
      </w:r>
      <w:r>
        <w:rPr>
          <w:spacing w:val="-3"/>
        </w:rPr>
        <w:t> </w:t>
      </w:r>
      <w:r>
        <w:rPr/>
        <w:t>Aken’ova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4"/>
        </w:rPr>
        <w:t> </w:t>
      </w:r>
      <w:r>
        <w:rPr/>
        <w:t>1997.</w:t>
      </w:r>
    </w:p>
    <w:p>
      <w:pPr>
        <w:spacing w:after="0" w:line="355" w:lineRule="auto"/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spacing w:line="535" w:lineRule="auto"/>
        <w:ind w:left="3013" w:right="3562" w:firstLine="1670"/>
        <w:jc w:val="left"/>
      </w:pPr>
      <w:r>
        <w:rPr/>
        <w:t>CHAPTER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CONCLUSIONS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RECOMMENDATIONS</w:t>
      </w:r>
    </w:p>
    <w:p>
      <w:pPr>
        <w:pStyle w:val="ListParagraph"/>
        <w:numPr>
          <w:ilvl w:val="1"/>
          <w:numId w:val="34"/>
        </w:numPr>
        <w:tabs>
          <w:tab w:pos="1185" w:val="left" w:leader="none"/>
        </w:tabs>
        <w:spacing w:line="274" w:lineRule="exact" w:before="0" w:after="0"/>
        <w:ind w:left="1184" w:right="0" w:hanging="365"/>
        <w:jc w:val="left"/>
        <w:rPr>
          <w:b/>
          <w:sz w:val="24"/>
        </w:rPr>
      </w:pPr>
      <w:r>
        <w:rPr>
          <w:b/>
          <w:sz w:val="24"/>
        </w:rPr>
        <w:t>Conclusions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 w:before="1"/>
        <w:ind w:left="820" w:right="1439"/>
        <w:jc w:val="both"/>
      </w:pPr>
      <w:r>
        <w:rPr/>
        <w:t>Sickle</w:t>
      </w:r>
      <w:r>
        <w:rPr>
          <w:spacing w:val="1"/>
        </w:rPr>
        <w:t> </w:t>
      </w:r>
      <w:r>
        <w:rPr/>
        <w:t>cell disease (SCD)</w:t>
      </w:r>
      <w:r>
        <w:rPr>
          <w:spacing w:val="1"/>
        </w:rPr>
        <w:t> </w:t>
      </w:r>
      <w:r>
        <w:rPr/>
        <w:t>is a common genetic disorder which represents 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problem in certain parts of the world. It is characterized by chronic haemolytic anaemia and</w:t>
      </w:r>
      <w:r>
        <w:rPr>
          <w:spacing w:val="1"/>
        </w:rPr>
        <w:t> </w:t>
      </w:r>
      <w:r>
        <w:rPr/>
        <w:t>vaso-occlusive crises, which can lead to widespread vascular occlusion by sickled red blood cells</w:t>
      </w:r>
      <w:r>
        <w:rPr>
          <w:spacing w:val="-57"/>
        </w:rPr>
        <w:t> </w:t>
      </w:r>
      <w:r>
        <w:rPr/>
        <w:t>leading to multiple organ infarctions and damage. In this respect, SCD can be considered as a</w:t>
      </w:r>
      <w:r>
        <w:rPr>
          <w:spacing w:val="1"/>
        </w:rPr>
        <w:t> </w:t>
      </w:r>
      <w:r>
        <w:rPr/>
        <w:t>multisystem disease. Pain is a common mode of presentation in patients with SCD but there is</w:t>
      </w:r>
      <w:r>
        <w:rPr>
          <w:spacing w:val="1"/>
        </w:rPr>
        <w:t> </w:t>
      </w:r>
      <w:r>
        <w:rPr/>
        <w:t>considerable variability in the way SCD pain is managed. The standard treatment protocol for</w:t>
      </w:r>
      <w:r>
        <w:rPr>
          <w:spacing w:val="1"/>
        </w:rPr>
        <w:t> </w:t>
      </w:r>
      <w:r>
        <w:rPr/>
        <w:t>painful episodes has remained bed-rest, hydration and analgesia in spite of undesirable effects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analgesics,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add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SCD</w:t>
      </w:r>
      <w:r>
        <w:rPr>
          <w:spacing w:val="1"/>
        </w:rPr>
        <w:t> </w:t>
      </w:r>
      <w:r>
        <w:rPr/>
        <w:t>e.g.</w:t>
      </w:r>
      <w:r>
        <w:rPr>
          <w:spacing w:val="1"/>
        </w:rPr>
        <w:t> </w:t>
      </w:r>
      <w:r>
        <w:rPr/>
        <w:t>proteinuria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gastrointestinal</w:t>
      </w:r>
      <w:r>
        <w:rPr>
          <w:spacing w:val="-8"/>
        </w:rPr>
        <w:t> </w:t>
      </w:r>
      <w:r>
        <w:rPr/>
        <w:t>ulceration.</w:t>
      </w:r>
    </w:p>
    <w:p>
      <w:pPr>
        <w:pStyle w:val="BodyText"/>
        <w:spacing w:line="360" w:lineRule="auto" w:before="200"/>
        <w:ind w:left="820" w:right="1438"/>
        <w:jc w:val="both"/>
      </w:pPr>
      <w:r>
        <w:rPr/>
        <w:t>Drug management of SCD in ABUTH complies with the standard treatment guidelines (2008).</w:t>
      </w:r>
      <w:r>
        <w:rPr>
          <w:spacing w:val="1"/>
        </w:rPr>
        <w:t> </w:t>
      </w:r>
      <w:r>
        <w:rPr/>
        <w:t>Magnesium and zinc was found to be deficient in SCD patients in this study. These levels were</w:t>
      </w:r>
      <w:r>
        <w:rPr>
          <w:spacing w:val="1"/>
        </w:rPr>
        <w:t> </w:t>
      </w:r>
      <w:r>
        <w:rPr/>
        <w:t>found to be lower than the plasma levels in apparently healthy HbAA volunteers who were 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sex matched. Plasma</w:t>
      </w:r>
      <w:r>
        <w:rPr>
          <w:spacing w:val="1"/>
        </w:rPr>
        <w:t> </w:t>
      </w:r>
      <w:r>
        <w:rPr/>
        <w:t>copper levels were reciprocal to the zinc</w:t>
      </w:r>
      <w:r>
        <w:rPr>
          <w:spacing w:val="1"/>
        </w:rPr>
        <w:t> </w:t>
      </w:r>
      <w:r>
        <w:rPr/>
        <w:t>levels. Plasma</w:t>
      </w:r>
      <w:r>
        <w:rPr>
          <w:spacing w:val="60"/>
        </w:rPr>
        <w:t> </w:t>
      </w:r>
      <w:r>
        <w:rPr/>
        <w:t>iron levels</w:t>
      </w:r>
      <w:r>
        <w:rPr>
          <w:spacing w:val="1"/>
        </w:rPr>
        <w:t> </w:t>
      </w:r>
      <w:r>
        <w:rPr/>
        <w:t>were however found to be higher in most of the SCD patients than in the apparently healthy</w:t>
      </w:r>
      <w:r>
        <w:rPr>
          <w:spacing w:val="1"/>
        </w:rPr>
        <w:t> </w:t>
      </w:r>
      <w:r>
        <w:rPr/>
        <w:t>HbAA volunteers. This emphasizes the fact that although iron deficiencies do occur in SCD</w:t>
      </w:r>
      <w:r>
        <w:rPr>
          <w:spacing w:val="1"/>
        </w:rPr>
        <w:t> </w:t>
      </w:r>
      <w:r>
        <w:rPr/>
        <w:t>patients, it must be confirmed by laboratory analysis before giving iron supplements - which was</w:t>
      </w:r>
      <w:r>
        <w:rPr>
          <w:spacing w:val="-57"/>
        </w:rPr>
        <w:t> </w:t>
      </w:r>
      <w:r>
        <w:rPr/>
        <w:t>the practise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by</w:t>
      </w:r>
      <w:r>
        <w:rPr>
          <w:spacing w:val="-3"/>
        </w:rPr>
        <w:t> </w:t>
      </w:r>
      <w:r>
        <w:rPr/>
        <w:t>the clinicians</w:t>
      </w:r>
      <w:r>
        <w:rPr>
          <w:spacing w:val="5"/>
        </w:rPr>
        <w:t> </w:t>
      </w:r>
      <w:r>
        <w:rPr/>
        <w:t>in</w:t>
      </w:r>
      <w:r>
        <w:rPr>
          <w:spacing w:val="2"/>
        </w:rPr>
        <w:t> </w:t>
      </w:r>
      <w:r>
        <w:rPr/>
        <w:t>ABUTH.</w:t>
      </w:r>
    </w:p>
    <w:p>
      <w:pPr>
        <w:pStyle w:val="BodyText"/>
        <w:spacing w:line="360" w:lineRule="auto" w:before="197"/>
        <w:ind w:left="820" w:right="1435"/>
        <w:jc w:val="both"/>
      </w:pPr>
      <w:r>
        <w:rPr/>
        <w:t>The low plasma magnesium levels suggest that magnesium deficiency exists in the SCD patients.</w:t>
      </w:r>
      <w:r>
        <w:rPr>
          <w:spacing w:val="-57"/>
        </w:rPr>
        <w:t> </w:t>
      </w:r>
      <w:r>
        <w:rPr/>
        <w:t>The SCD crises group had lower plasma magnesium levels than the SCD steady state group</w:t>
      </w:r>
      <w:r>
        <w:rPr>
          <w:spacing w:val="1"/>
        </w:rPr>
        <w:t> </w:t>
      </w:r>
      <w:r>
        <w:rPr/>
        <w:t>suggesting that sickle cell crises may be associated with magnesium deficiency. This shows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SCD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probably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magnesium</w:t>
      </w:r>
      <w:r>
        <w:rPr>
          <w:spacing w:val="1"/>
        </w:rPr>
        <w:t> </w:t>
      </w:r>
      <w:r>
        <w:rPr/>
        <w:t>rich</w:t>
      </w:r>
      <w:r>
        <w:rPr>
          <w:spacing w:val="1"/>
        </w:rPr>
        <w:t> </w:t>
      </w:r>
      <w:r>
        <w:rPr/>
        <w:t>diets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magnesium</w:t>
      </w:r>
      <w:r>
        <w:rPr>
          <w:spacing w:val="-57"/>
        </w:rPr>
        <w:t> </w:t>
      </w:r>
      <w:r>
        <w:rPr/>
        <w:t>supplementation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preventing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frequency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occurrence of sickle cell crises. Zinc supplementation can also be considered because of its</w:t>
      </w:r>
      <w:r>
        <w:rPr>
          <w:spacing w:val="1"/>
        </w:rPr>
        <w:t> </w:t>
      </w:r>
      <w:r>
        <w:rPr/>
        <w:t>numerous benefits to the SCD patient</w:t>
      </w:r>
      <w:r>
        <w:rPr>
          <w:spacing w:val="1"/>
        </w:rPr>
        <w:t> </w:t>
      </w:r>
      <w:r>
        <w:rPr/>
        <w:t>including antioxidant activity and boosting immunity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infections.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minerals,</w:t>
      </w:r>
      <w:r>
        <w:rPr>
          <w:spacing w:val="1"/>
        </w:rPr>
        <w:t> </w:t>
      </w:r>
      <w:r>
        <w:rPr/>
        <w:t>copper,</w:t>
      </w:r>
      <w:r>
        <w:rPr>
          <w:spacing w:val="1"/>
        </w:rPr>
        <w:t> </w:t>
      </w:r>
      <w:r>
        <w:rPr/>
        <w:t>iron,</w:t>
      </w:r>
      <w:r>
        <w:rPr>
          <w:spacing w:val="1"/>
        </w:rPr>
        <w:t> </w:t>
      </w:r>
      <w:r>
        <w:rPr/>
        <w:t>magnesium,</w:t>
      </w:r>
      <w:r>
        <w:rPr>
          <w:spacing w:val="1"/>
        </w:rPr>
        <w:t> </w:t>
      </w:r>
      <w:r>
        <w:rPr/>
        <w:t>selenium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antioxidants</w:t>
      </w:r>
      <w:r>
        <w:rPr>
          <w:spacing w:val="5"/>
        </w:rPr>
        <w:t> </w:t>
      </w:r>
      <w:r>
        <w:rPr/>
        <w:t>and</w:t>
      </w:r>
      <w:r>
        <w:rPr>
          <w:spacing w:val="11"/>
        </w:rPr>
        <w:t> </w:t>
      </w:r>
      <w:r>
        <w:rPr/>
        <w:t>vitamins</w:t>
      </w:r>
      <w:r>
        <w:rPr>
          <w:spacing w:val="5"/>
        </w:rPr>
        <w:t> </w:t>
      </w:r>
      <w:r>
        <w:rPr/>
        <w:t>C,</w:t>
      </w:r>
      <w:r>
        <w:rPr>
          <w:spacing w:val="10"/>
        </w:rPr>
        <w:t> </w:t>
      </w:r>
      <w:r>
        <w:rPr/>
        <w:t>E,</w:t>
      </w:r>
      <w:r>
        <w:rPr>
          <w:spacing w:val="10"/>
        </w:rPr>
        <w:t> </w:t>
      </w:r>
      <w:r>
        <w:rPr/>
        <w:t>B12,</w:t>
      </w:r>
      <w:r>
        <w:rPr>
          <w:spacing w:val="10"/>
        </w:rPr>
        <w:t> </w:t>
      </w:r>
      <w:r>
        <w:rPr/>
        <w:t>B6,</w:t>
      </w:r>
      <w:r>
        <w:rPr>
          <w:spacing w:val="10"/>
        </w:rPr>
        <w:t> </w:t>
      </w:r>
      <w:r>
        <w:rPr/>
        <w:t>and</w:t>
      </w:r>
      <w:r>
        <w:rPr>
          <w:spacing w:val="7"/>
        </w:rPr>
        <w:t> </w:t>
      </w:r>
      <w:r>
        <w:rPr/>
        <w:t>folate</w:t>
      </w:r>
      <w:r>
        <w:rPr>
          <w:spacing w:val="2"/>
        </w:rPr>
        <w:t> </w:t>
      </w:r>
      <w:r>
        <w:rPr/>
        <w:t>(B9),</w:t>
      </w:r>
      <w:r>
        <w:rPr>
          <w:spacing w:val="10"/>
        </w:rPr>
        <w:t> </w:t>
      </w:r>
      <w:r>
        <w:rPr/>
        <w:t>have</w:t>
      </w:r>
      <w:r>
        <w:rPr>
          <w:spacing w:val="11"/>
        </w:rPr>
        <w:t> </w:t>
      </w:r>
      <w:r>
        <w:rPr/>
        <w:t>been</w:t>
      </w:r>
      <w:r>
        <w:rPr>
          <w:spacing w:val="8"/>
        </w:rPr>
        <w:t> </w:t>
      </w:r>
      <w:r>
        <w:rPr/>
        <w:t>found</w:t>
      </w:r>
      <w:r>
        <w:rPr>
          <w:spacing w:val="7"/>
        </w:rPr>
        <w:t> </w:t>
      </w:r>
      <w:r>
        <w:rPr/>
        <w:t>to</w:t>
      </w:r>
      <w:r>
        <w:rPr>
          <w:spacing w:val="11"/>
        </w:rPr>
        <w:t> </w:t>
      </w:r>
      <w:r>
        <w:rPr/>
        <w:t>effectively</w:t>
      </w:r>
      <w:r>
        <w:rPr>
          <w:spacing w:val="-1"/>
        </w:rPr>
        <w:t> </w:t>
      </w:r>
      <w:r>
        <w:rPr/>
        <w:t>relieve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57" w:lineRule="auto" w:before="72"/>
        <w:ind w:left="820" w:right="1445"/>
        <w:jc w:val="both"/>
      </w:pPr>
      <w:r>
        <w:rPr/>
        <w:t>the oxidative stress that prevails in SCD. It has been proposed that a cocktail of antioxidants</w:t>
      </w:r>
      <w:r>
        <w:rPr>
          <w:spacing w:val="1"/>
        </w:rPr>
        <w:t> </w:t>
      </w:r>
      <w:r>
        <w:rPr/>
        <w:t>would be effective in alleviating the incidence and severity of crisis in sickle cell patients; we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have evidence</w:t>
      </w:r>
      <w:r>
        <w:rPr>
          <w:spacing w:val="5"/>
        </w:rPr>
        <w:t> </w:t>
      </w:r>
      <w:r>
        <w:rPr/>
        <w:t>for</w:t>
      </w:r>
      <w:r>
        <w:rPr>
          <w:spacing w:val="-2"/>
        </w:rPr>
        <w:t> </w:t>
      </w:r>
      <w:r>
        <w:rPr/>
        <w:t>the use of</w:t>
      </w:r>
      <w:r>
        <w:rPr>
          <w:spacing w:val="-7"/>
        </w:rPr>
        <w:t> </w:t>
      </w:r>
      <w:r>
        <w:rPr/>
        <w:t>at</w:t>
      </w:r>
      <w:r>
        <w:rPr>
          <w:spacing w:val="6"/>
        </w:rPr>
        <w:t> </w:t>
      </w:r>
      <w:r>
        <w:rPr/>
        <w:t>least</w:t>
      </w:r>
      <w:r>
        <w:rPr>
          <w:spacing w:val="2"/>
        </w:rPr>
        <w:t> </w:t>
      </w:r>
      <w:r>
        <w:rPr/>
        <w:t>two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these (magnesium</w:t>
      </w:r>
      <w:r>
        <w:rPr>
          <w:spacing w:val="-8"/>
        </w:rPr>
        <w:t> </w:t>
      </w:r>
      <w:r>
        <w:rPr/>
        <w:t>and</w:t>
      </w:r>
      <w:r>
        <w:rPr>
          <w:spacing w:val="1"/>
        </w:rPr>
        <w:t> </w:t>
      </w:r>
      <w:r>
        <w:rPr/>
        <w:t>zinc).</w:t>
      </w:r>
    </w:p>
    <w:p>
      <w:pPr>
        <w:pStyle w:val="BodyText"/>
        <w:spacing w:line="360" w:lineRule="auto" w:before="206"/>
        <w:ind w:left="820" w:right="1445"/>
        <w:jc w:val="both"/>
      </w:pPr>
      <w:r>
        <w:rPr/>
        <w:t>Deficiencies in some groups of people at special risk require supplementation, but the most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safely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involving food fortification. These complementary methods, along with food security, education,</w:t>
      </w:r>
      <w:r>
        <w:rPr>
          <w:spacing w:val="-57"/>
        </w:rPr>
        <w:t> </w:t>
      </w:r>
      <w:r>
        <w:rPr/>
        <w:t>and</w:t>
      </w:r>
      <w:r>
        <w:rPr>
          <w:spacing w:val="5"/>
        </w:rPr>
        <w:t> </w:t>
      </w:r>
      <w:r>
        <w:rPr/>
        <w:t>monitoring,</w:t>
      </w:r>
      <w:r>
        <w:rPr>
          <w:spacing w:val="2"/>
        </w:rPr>
        <w:t> </w:t>
      </w:r>
      <w:r>
        <w:rPr/>
        <w:t>are challenges</w:t>
      </w:r>
      <w:r>
        <w:rPr>
          <w:spacing w:val="3"/>
        </w:rPr>
        <w:t> </w:t>
      </w:r>
      <w:r>
        <w:rPr/>
        <w:t>for</w:t>
      </w:r>
      <w:r>
        <w:rPr>
          <w:spacing w:val="2"/>
        </w:rPr>
        <w:t> </w:t>
      </w:r>
      <w:r>
        <w:rPr/>
        <w:t>public</w:t>
      </w:r>
      <w:r>
        <w:rPr>
          <w:spacing w:val="4"/>
        </w:rPr>
        <w:t> </w:t>
      </w:r>
      <w:r>
        <w:rPr/>
        <w:t>health</w:t>
      </w:r>
      <w:r>
        <w:rPr>
          <w:spacing w:val="-4"/>
        </w:rPr>
        <w:t> </w:t>
      </w:r>
      <w:r>
        <w:rPr/>
        <w:t>and for</w:t>
      </w:r>
      <w:r>
        <w:rPr>
          <w:spacing w:val="2"/>
        </w:rPr>
        <w:t> </w:t>
      </w:r>
      <w:r>
        <w:rPr/>
        <w:t>clinical</w:t>
      </w:r>
      <w:r>
        <w:rPr>
          <w:spacing w:val="-4"/>
        </w:rPr>
        <w:t> </w:t>
      </w:r>
      <w:r>
        <w:rPr/>
        <w:t>medicine.</w:t>
      </w:r>
    </w:p>
    <w:p>
      <w:pPr>
        <w:pStyle w:val="Heading1"/>
        <w:numPr>
          <w:ilvl w:val="1"/>
          <w:numId w:val="34"/>
        </w:numPr>
        <w:tabs>
          <w:tab w:pos="1185" w:val="left" w:leader="none"/>
        </w:tabs>
        <w:spacing w:line="240" w:lineRule="auto" w:before="202" w:after="0"/>
        <w:ind w:left="1184" w:right="0" w:hanging="365"/>
        <w:jc w:val="both"/>
      </w:pPr>
      <w:r>
        <w:rPr/>
        <w:t>Recommendations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55" w:lineRule="auto"/>
        <w:ind w:left="820" w:right="1452"/>
        <w:jc w:val="both"/>
      </w:pPr>
      <w:r>
        <w:rPr/>
        <w:t>Barriers to</w:t>
      </w:r>
      <w:r>
        <w:rPr>
          <w:spacing w:val="1"/>
        </w:rPr>
        <w:t> </w:t>
      </w:r>
      <w:r>
        <w:rPr/>
        <w:t>care and to</w:t>
      </w:r>
      <w:r>
        <w:rPr>
          <w:spacing w:val="1"/>
        </w:rPr>
        <w:t> </w:t>
      </w:r>
      <w:r>
        <w:rPr/>
        <w:t>compliance with treatment</w:t>
      </w:r>
      <w:r>
        <w:rPr>
          <w:spacing w:val="1"/>
        </w:rPr>
        <w:t> </w:t>
      </w:r>
      <w:r>
        <w:rPr/>
        <w:t>of sickle cell disease should</w:t>
      </w:r>
      <w:r>
        <w:rPr>
          <w:spacing w:val="1"/>
        </w:rPr>
        <w:t> </w:t>
      </w:r>
      <w:r>
        <w:rPr/>
        <w:t>be studied,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economic</w:t>
      </w:r>
      <w:r>
        <w:rPr>
          <w:spacing w:val="5"/>
        </w:rPr>
        <w:t> </w:t>
      </w:r>
      <w:r>
        <w:rPr/>
        <w:t>factors</w:t>
      </w:r>
      <w:r>
        <w:rPr>
          <w:spacing w:val="-1"/>
        </w:rPr>
        <w:t> </w:t>
      </w:r>
      <w:r>
        <w:rPr/>
        <w:t>such</w:t>
      </w:r>
      <w:r>
        <w:rPr>
          <w:spacing w:val="-4"/>
        </w:rPr>
        <w:t> </w:t>
      </w:r>
      <w:r>
        <w:rPr/>
        <w:t>as cost</w:t>
      </w:r>
      <w:r>
        <w:rPr>
          <w:spacing w:val="2"/>
        </w:rPr>
        <w:t> </w:t>
      </w:r>
      <w:r>
        <w:rPr/>
        <w:t>of</w:t>
      </w:r>
      <w:r>
        <w:rPr>
          <w:spacing w:val="-7"/>
        </w:rPr>
        <w:t> </w:t>
      </w:r>
      <w:r>
        <w:rPr/>
        <w:t>care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insurance coverage.</w:t>
      </w:r>
    </w:p>
    <w:p>
      <w:pPr>
        <w:pStyle w:val="BodyText"/>
        <w:spacing w:line="355" w:lineRule="auto" w:before="210"/>
        <w:ind w:left="820" w:right="1452"/>
        <w:jc w:val="both"/>
      </w:pPr>
      <w:r>
        <w:rPr/>
        <w:t>Patient education on importance of compliance with drug management strategies, availability,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accessibility</w:t>
      </w:r>
      <w:r>
        <w:rPr>
          <w:spacing w:val="-8"/>
        </w:rPr>
        <w:t> </w:t>
      </w:r>
      <w:r>
        <w:rPr/>
        <w:t>to</w:t>
      </w:r>
      <w:r>
        <w:rPr>
          <w:spacing w:val="6"/>
        </w:rPr>
        <w:t> </w:t>
      </w:r>
      <w:r>
        <w:rPr/>
        <w:t>medication</w:t>
      </w:r>
      <w:r>
        <w:rPr>
          <w:spacing w:val="-3"/>
        </w:rPr>
        <w:t> </w:t>
      </w:r>
      <w:r>
        <w:rPr/>
        <w:t>should</w:t>
      </w:r>
      <w:r>
        <w:rPr>
          <w:spacing w:val="2"/>
        </w:rPr>
        <w:t> </w:t>
      </w:r>
      <w:r>
        <w:rPr/>
        <w:t>be</w:t>
      </w:r>
      <w:r>
        <w:rPr>
          <w:spacing w:val="5"/>
        </w:rPr>
        <w:t> </w:t>
      </w:r>
      <w:r>
        <w:rPr/>
        <w:t>improved.</w:t>
      </w:r>
    </w:p>
    <w:p>
      <w:pPr>
        <w:pStyle w:val="BodyText"/>
        <w:spacing w:line="360" w:lineRule="auto" w:before="210"/>
        <w:ind w:left="820" w:right="1439"/>
        <w:jc w:val="both"/>
      </w:pPr>
      <w:r>
        <w:rPr/>
        <w:t>The positive impact of alleviating micronutrient malnutrition on physical activity, education and</w:t>
      </w:r>
      <w:r>
        <w:rPr>
          <w:spacing w:val="1"/>
        </w:rPr>
        <w:t> </w:t>
      </w:r>
      <w:r>
        <w:rPr/>
        <w:t>productivity, and hence on national economies suggests that there is also an urgent need for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demonstrate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deficiencies,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benefits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addressing them,</w:t>
      </w:r>
      <w:r>
        <w:rPr>
          <w:spacing w:val="3"/>
        </w:rPr>
        <w:t> </w:t>
      </w:r>
      <w:r>
        <w:rPr/>
        <w:t>especially</w:t>
      </w:r>
      <w:r>
        <w:rPr>
          <w:spacing w:val="-4"/>
        </w:rPr>
        <w:t> </w:t>
      </w:r>
      <w:r>
        <w:rPr/>
        <w:t>compared with</w:t>
      </w:r>
      <w:r>
        <w:rPr>
          <w:spacing w:val="-4"/>
        </w:rPr>
        <w:t> </w:t>
      </w:r>
      <w:r>
        <w:rPr/>
        <w:t>other</w:t>
      </w:r>
      <w:r>
        <w:rPr>
          <w:spacing w:val="2"/>
        </w:rPr>
        <w:t> </w:t>
      </w:r>
      <w:r>
        <w:rPr/>
        <w:t>health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nutrition</w:t>
      </w:r>
      <w:r>
        <w:rPr>
          <w:spacing w:val="1"/>
        </w:rPr>
        <w:t> </w:t>
      </w:r>
      <w:r>
        <w:rPr/>
        <w:t>interventions.</w:t>
      </w:r>
    </w:p>
    <w:p>
      <w:pPr>
        <w:pStyle w:val="BodyText"/>
        <w:spacing w:line="357" w:lineRule="auto" w:before="202"/>
        <w:ind w:left="820" w:right="1449"/>
        <w:jc w:val="both"/>
      </w:pPr>
      <w:r>
        <w:rPr/>
        <w:t>Assessment of quality of life (QOL) is necessary to fully understand the needs of adults and</w:t>
      </w:r>
      <w:r>
        <w:rPr>
          <w:spacing w:val="1"/>
        </w:rPr>
        <w:t> </w:t>
      </w:r>
      <w:r>
        <w:rPr/>
        <w:t>children with sickle cell disease; and health care professionals should be able to use effective</w:t>
      </w:r>
      <w:r>
        <w:rPr>
          <w:spacing w:val="1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to</w:t>
      </w:r>
      <w:r>
        <w:rPr>
          <w:spacing w:val="6"/>
        </w:rPr>
        <w:t> </w:t>
      </w:r>
      <w:r>
        <w:rPr/>
        <w:t>evaluate QOL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5"/>
        </w:rPr>
        <w:t> </w:t>
      </w:r>
      <w:r>
        <w:rPr/>
        <w:t>management</w:t>
      </w:r>
      <w:r>
        <w:rPr>
          <w:spacing w:val="3"/>
        </w:rPr>
        <w:t> </w:t>
      </w:r>
      <w:r>
        <w:rPr/>
        <w:t>of</w:t>
      </w:r>
      <w:r>
        <w:rPr>
          <w:spacing w:val="-7"/>
        </w:rPr>
        <w:t> </w:t>
      </w:r>
      <w:r>
        <w:rPr/>
        <w:t>sickle</w:t>
      </w:r>
      <w:r>
        <w:rPr>
          <w:spacing w:val="1"/>
        </w:rPr>
        <w:t> </w:t>
      </w:r>
      <w:r>
        <w:rPr/>
        <w:t>cell</w:t>
      </w:r>
      <w:r>
        <w:rPr>
          <w:spacing w:val="-8"/>
        </w:rPr>
        <w:t> </w:t>
      </w:r>
      <w:r>
        <w:rPr/>
        <w:t>disease.</w:t>
      </w:r>
    </w:p>
    <w:p>
      <w:pPr>
        <w:pStyle w:val="BodyText"/>
        <w:spacing w:line="360" w:lineRule="auto" w:before="206"/>
        <w:ind w:left="820" w:right="1436"/>
        <w:jc w:val="both"/>
      </w:pPr>
      <w:r>
        <w:rPr/>
        <w:t>Stem cell transplant is another area that should be looked into. It was successfully performed on</w:t>
      </w:r>
      <w:r>
        <w:rPr>
          <w:spacing w:val="1"/>
        </w:rPr>
        <w:t> </w:t>
      </w:r>
      <w:r>
        <w:rPr/>
        <w:t>the first Nigerian and was the fourth to be successfully performed in Africa on 14</w:t>
      </w:r>
      <w:r>
        <w:rPr>
          <w:vertAlign w:val="superscript"/>
        </w:rPr>
        <w:t>th</w:t>
      </w:r>
      <w:r>
        <w:rPr>
          <w:vertAlign w:val="baseline"/>
        </w:rPr>
        <w:t> October,</w:t>
      </w:r>
      <w:r>
        <w:rPr>
          <w:spacing w:val="1"/>
          <w:vertAlign w:val="baseline"/>
        </w:rPr>
        <w:t> </w:t>
      </w:r>
      <w:r>
        <w:rPr>
          <w:vertAlign w:val="baseline"/>
        </w:rPr>
        <w:t>2011. He was presented as being of HbAA in January 2012; this feat rekindled the hope of sickle</w:t>
      </w:r>
      <w:r>
        <w:rPr>
          <w:spacing w:val="-57"/>
          <w:vertAlign w:val="baseline"/>
        </w:rPr>
        <w:t> </w:t>
      </w:r>
      <w:r>
        <w:rPr>
          <w:vertAlign w:val="baseline"/>
        </w:rPr>
        <w:t>cell patients and others that require regenerative medicine for a cure. However, the cost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transplant is put at between N2.5 million and N5million for a patient locally and N25 million</w:t>
      </w:r>
      <w:r>
        <w:rPr>
          <w:spacing w:val="1"/>
          <w:vertAlign w:val="baseline"/>
        </w:rPr>
        <w:t> </w:t>
      </w:r>
      <w:r>
        <w:rPr>
          <w:vertAlign w:val="baseline"/>
        </w:rPr>
        <w:t>overseas while the cost of the drugs as reported by University of Benin Teaching Hospital for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first beneficiary was put at a whooping N2.1 million. It is sad that a procedure that has been in</w:t>
      </w:r>
      <w:r>
        <w:rPr>
          <w:spacing w:val="1"/>
          <w:vertAlign w:val="baseline"/>
        </w:rPr>
        <w:t> </w:t>
      </w:r>
      <w:r>
        <w:rPr>
          <w:vertAlign w:val="baseline"/>
        </w:rPr>
        <w:t>existence for some years has only just been performed for the first time in Nigeria in 2011; in</w:t>
      </w:r>
      <w:r>
        <w:rPr>
          <w:spacing w:val="1"/>
          <w:vertAlign w:val="baseline"/>
        </w:rPr>
        <w:t> </w:t>
      </w:r>
      <w:r>
        <w:rPr>
          <w:vertAlign w:val="baseline"/>
        </w:rPr>
        <w:t>addition,</w:t>
      </w:r>
      <w:r>
        <w:rPr>
          <w:spacing w:val="2"/>
          <w:vertAlign w:val="baseline"/>
        </w:rPr>
        <w:t> </w:t>
      </w:r>
      <w:r>
        <w:rPr>
          <w:vertAlign w:val="baseline"/>
        </w:rPr>
        <w:t>the cost relative to</w:t>
      </w:r>
      <w:r>
        <w:rPr>
          <w:spacing w:val="-4"/>
          <w:vertAlign w:val="baseline"/>
        </w:rPr>
        <w:t> </w:t>
      </w:r>
      <w:r>
        <w:rPr>
          <w:vertAlign w:val="baseline"/>
        </w:rPr>
        <w:t>the average</w:t>
      </w:r>
      <w:r>
        <w:rPr>
          <w:spacing w:val="4"/>
          <w:vertAlign w:val="baseline"/>
        </w:rPr>
        <w:t> </w:t>
      </w:r>
      <w:r>
        <w:rPr>
          <w:vertAlign w:val="baseline"/>
        </w:rPr>
        <w:t>income of</w:t>
      </w:r>
      <w:r>
        <w:rPr>
          <w:spacing w:val="-2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Nigerian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phenomenal.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ind w:left="982" w:right="1604"/>
        <w:jc w:val="center"/>
      </w:pPr>
      <w:r>
        <w:rPr/>
        <w:t>REFERENCES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55" w:lineRule="auto" w:before="1"/>
        <w:ind w:left="1540" w:right="1451" w:hanging="720"/>
        <w:jc w:val="both"/>
      </w:pPr>
      <w:r>
        <w:rPr/>
        <w:t>Abdu, A., Emokpae, M.A., Uadia, P.O., and Kuliya-Gwarzo A. (2011). Proteinuria among adult</w:t>
      </w:r>
      <w:r>
        <w:rPr>
          <w:spacing w:val="1"/>
        </w:rPr>
        <w:t> </w:t>
      </w:r>
      <w:r>
        <w:rPr/>
        <w:t>Sickle</w:t>
      </w:r>
      <w:r>
        <w:rPr>
          <w:spacing w:val="-1"/>
        </w:rPr>
        <w:t> </w:t>
      </w:r>
      <w:r>
        <w:rPr/>
        <w:t>Cell</w:t>
      </w:r>
      <w:r>
        <w:rPr>
          <w:spacing w:val="-3"/>
        </w:rPr>
        <w:t> </w:t>
      </w:r>
      <w:r>
        <w:rPr/>
        <w:t>Anaemia</w:t>
      </w:r>
      <w:r>
        <w:rPr>
          <w:spacing w:val="-1"/>
        </w:rPr>
        <w:t> </w:t>
      </w:r>
      <w:r>
        <w:rPr/>
        <w:t>Patients</w:t>
      </w:r>
      <w:r>
        <w:rPr>
          <w:spacing w:val="4"/>
        </w:rPr>
        <w:t> </w:t>
      </w:r>
      <w:r>
        <w:rPr/>
        <w:t>in</w:t>
      </w:r>
      <w:r>
        <w:rPr>
          <w:spacing w:val="-5"/>
        </w:rPr>
        <w:t> </w:t>
      </w:r>
      <w:r>
        <w:rPr/>
        <w:t>Nigeria.</w:t>
      </w:r>
      <w:r>
        <w:rPr>
          <w:spacing w:val="5"/>
        </w:rPr>
        <w:t> </w:t>
      </w:r>
      <w:r>
        <w:rPr>
          <w:i/>
        </w:rPr>
        <w:t>Annals</w:t>
      </w:r>
      <w:r>
        <w:rPr>
          <w:i/>
          <w:spacing w:val="-2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African Medicine</w:t>
      </w:r>
      <w:r>
        <w:rPr/>
        <w:t>.</w:t>
      </w:r>
      <w:r>
        <w:rPr>
          <w:spacing w:val="3"/>
        </w:rPr>
        <w:t> </w:t>
      </w:r>
      <w:r>
        <w:rPr/>
        <w:t>10:34-7.</w:t>
      </w:r>
    </w:p>
    <w:p>
      <w:pPr>
        <w:pStyle w:val="BodyText"/>
        <w:spacing w:line="360" w:lineRule="auto" w:before="210"/>
        <w:ind w:left="1540" w:right="1438" w:hanging="720"/>
        <w:jc w:val="both"/>
      </w:pPr>
      <w:r>
        <w:rPr/>
        <w:t>Adams, R.J., McKie, V.C., Hsu, L., Files, B., Vichinsky, E., and Pegelow, C. (2000). Prevention</w:t>
      </w:r>
      <w:r>
        <w:rPr>
          <w:spacing w:val="1"/>
        </w:rPr>
        <w:t> </w:t>
      </w:r>
      <w:r>
        <w:rPr/>
        <w:t>of First Stroke by Transfusions in Children with Sickle Cell Anaemia and abnormal</w:t>
      </w:r>
      <w:r>
        <w:rPr>
          <w:spacing w:val="1"/>
        </w:rPr>
        <w:t> </w:t>
      </w:r>
      <w:r>
        <w:rPr/>
        <w:t>results on Transcranial Doppler Ultrasonography. </w:t>
      </w:r>
      <w:r>
        <w:rPr>
          <w:i/>
        </w:rPr>
        <w:t>New England Journal of Medicine.</w:t>
      </w:r>
      <w:r>
        <w:rPr>
          <w:i/>
          <w:spacing w:val="1"/>
        </w:rPr>
        <w:t> </w:t>
      </w:r>
      <w:r>
        <w:rPr/>
        <w:t>339:5-11.</w:t>
      </w:r>
    </w:p>
    <w:p>
      <w:pPr>
        <w:spacing w:line="357" w:lineRule="auto" w:before="202"/>
        <w:ind w:left="1540" w:right="1445" w:hanging="720"/>
        <w:jc w:val="both"/>
        <w:rPr>
          <w:sz w:val="24"/>
        </w:rPr>
      </w:pPr>
      <w:r>
        <w:rPr>
          <w:sz w:val="24"/>
        </w:rPr>
        <w:t>Adedoyin, O.T, Adesiyun, O.O, Adeboye, M.A., and Mark, F. (2010). Hypothetical Views on</w:t>
      </w:r>
      <w:r>
        <w:rPr>
          <w:spacing w:val="1"/>
          <w:sz w:val="24"/>
        </w:rPr>
        <w:t> </w:t>
      </w:r>
      <w:r>
        <w:rPr>
          <w:sz w:val="24"/>
        </w:rPr>
        <w:t>some unusual Disease Associations with Sickle Cell Anaemia. </w:t>
      </w:r>
      <w:r>
        <w:rPr>
          <w:i/>
          <w:sz w:val="24"/>
        </w:rPr>
        <w:t>The Tropical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Sciences.</w:t>
      </w:r>
      <w:r>
        <w:rPr>
          <w:i/>
          <w:spacing w:val="6"/>
          <w:sz w:val="24"/>
        </w:rPr>
        <w:t> </w:t>
      </w:r>
      <w:r>
        <w:rPr>
          <w:sz w:val="24"/>
        </w:rPr>
        <w:t>17(1):8-11.</w:t>
      </w:r>
    </w:p>
    <w:p>
      <w:pPr>
        <w:pStyle w:val="BodyText"/>
        <w:spacing w:line="360" w:lineRule="auto" w:before="206"/>
        <w:ind w:left="1540" w:right="1438" w:hanging="720"/>
        <w:jc w:val="both"/>
      </w:pPr>
      <w:r>
        <w:rPr/>
        <w:t>Adekile,</w:t>
      </w:r>
      <w:r>
        <w:rPr>
          <w:spacing w:val="1"/>
        </w:rPr>
        <w:t> </w:t>
      </w:r>
      <w:r>
        <w:rPr/>
        <w:t>A.D.,</w:t>
      </w:r>
      <w:r>
        <w:rPr>
          <w:spacing w:val="1"/>
        </w:rPr>
        <w:t> </w:t>
      </w:r>
      <w:r>
        <w:rPr/>
        <w:t>Gupta,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Yacoub,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Sinan,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Al-Bloushi,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Haider,</w:t>
      </w:r>
      <w:r>
        <w:rPr>
          <w:spacing w:val="1"/>
        </w:rPr>
        <w:t> </w:t>
      </w:r>
      <w:r>
        <w:rPr/>
        <w:t>M.Z.</w:t>
      </w:r>
      <w:r>
        <w:rPr>
          <w:spacing w:val="-57"/>
        </w:rPr>
        <w:t> </w:t>
      </w:r>
      <w:r>
        <w:rPr/>
        <w:t>(2001).Avascular Necrosis of the Hip in Children with Sickle Cell Disease and High Hb</w:t>
      </w:r>
      <w:r>
        <w:rPr>
          <w:spacing w:val="1"/>
        </w:rPr>
        <w:t> </w:t>
      </w:r>
      <w:r>
        <w:rPr/>
        <w:t>F: Magnetic Resonance Imaging Findings and Influence of α-Thalassemia Trait. </w:t>
      </w:r>
      <w:r>
        <w:rPr>
          <w:i/>
        </w:rPr>
        <w:t>Acta</w:t>
      </w:r>
      <w:r>
        <w:rPr>
          <w:i/>
          <w:spacing w:val="1"/>
        </w:rPr>
        <w:t> </w:t>
      </w:r>
      <w:r>
        <w:rPr>
          <w:i/>
        </w:rPr>
        <w:t>Haematologica</w:t>
      </w:r>
      <w:r>
        <w:rPr/>
        <w:t>.105:27-31.</w:t>
      </w:r>
    </w:p>
    <w:p>
      <w:pPr>
        <w:pStyle w:val="BodyText"/>
        <w:spacing w:line="357" w:lineRule="auto" w:before="202"/>
        <w:ind w:left="1540" w:right="1442" w:hanging="720"/>
        <w:jc w:val="both"/>
      </w:pPr>
      <w:r>
        <w:rPr/>
        <w:t>Adelekan, D.A., Thurnham, D.I., and Adekile, A.D. (1989). Reduced antioxidant capacity in</w:t>
      </w:r>
      <w:r>
        <w:rPr>
          <w:spacing w:val="1"/>
        </w:rPr>
        <w:t> </w:t>
      </w:r>
      <w:r>
        <w:rPr/>
        <w:t>Paediatric patients with homozygous Sickle Cell Disease. </w:t>
      </w:r>
      <w:r>
        <w:rPr>
          <w:i/>
        </w:rPr>
        <w:t>European Journal of Clinical</w:t>
      </w:r>
      <w:r>
        <w:rPr>
          <w:i/>
          <w:spacing w:val="1"/>
        </w:rPr>
        <w:t> </w:t>
      </w:r>
      <w:r>
        <w:rPr>
          <w:i/>
        </w:rPr>
        <w:t>Nutrition</w:t>
      </w:r>
      <w:r>
        <w:rPr/>
        <w:t>.</w:t>
      </w:r>
      <w:r>
        <w:rPr>
          <w:spacing w:val="3"/>
        </w:rPr>
        <w:t> </w:t>
      </w:r>
      <w:r>
        <w:rPr/>
        <w:t>43(9):609-614.</w:t>
      </w:r>
    </w:p>
    <w:p>
      <w:pPr>
        <w:pStyle w:val="BodyText"/>
        <w:spacing w:line="360" w:lineRule="auto" w:before="206"/>
        <w:ind w:left="1540" w:right="1443" w:hanging="720"/>
        <w:jc w:val="both"/>
      </w:pPr>
      <w:r>
        <w:rPr/>
        <w:t>Adeyoju, A.B., Olujohungbe, A.B.K., Morris, J., Yardumian, A., Bareford, D., Akenova, A.,</w:t>
      </w:r>
      <w:r>
        <w:rPr>
          <w:spacing w:val="1"/>
        </w:rPr>
        <w:t> </w:t>
      </w:r>
      <w:r>
        <w:rPr/>
        <w:t>Akinyanju, O., Cinkotai, K., O’Reilly, P.H. (2002). Priapism in Sickle Cell Disease;</w:t>
      </w:r>
      <w:r>
        <w:rPr>
          <w:spacing w:val="1"/>
        </w:rPr>
        <w:t> </w:t>
      </w:r>
      <w:r>
        <w:rPr/>
        <w:t>Incidence, risk factors and complications – an International Multicentre Study. </w:t>
      </w:r>
      <w:r>
        <w:rPr>
          <w:i/>
        </w:rPr>
        <w:t>British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Urology</w:t>
      </w:r>
      <w:r>
        <w:rPr>
          <w:i/>
          <w:spacing w:val="1"/>
        </w:rPr>
        <w:t> </w:t>
      </w:r>
      <w:r>
        <w:rPr>
          <w:i/>
        </w:rPr>
        <w:t>International</w:t>
      </w:r>
      <w:r>
        <w:rPr/>
        <w:t>. 90(9):898-902.</w:t>
      </w:r>
    </w:p>
    <w:p>
      <w:pPr>
        <w:pStyle w:val="BodyText"/>
        <w:spacing w:line="357" w:lineRule="auto" w:before="202"/>
        <w:ind w:left="1540" w:right="1447" w:hanging="720"/>
        <w:jc w:val="both"/>
      </w:pPr>
      <w:r>
        <w:rPr/>
        <w:t>Afolayan, J.A. and Jolayemi, F.T. (2011). Parental Attitude to Children with Sickle Cell Disease</w:t>
      </w:r>
      <w:r>
        <w:rPr>
          <w:spacing w:val="1"/>
        </w:rPr>
        <w:t> </w:t>
      </w:r>
      <w:r>
        <w:rPr/>
        <w:t>in Selected Health facilities in Irepodun Local Government, Kwara State, Nigeria. Ethno</w:t>
      </w:r>
      <w:r>
        <w:rPr>
          <w:spacing w:val="1"/>
        </w:rPr>
        <w:t> </w:t>
      </w:r>
      <w:r>
        <w:rPr/>
        <w:t>Med.</w:t>
      </w:r>
      <w:r>
        <w:rPr>
          <w:spacing w:val="3"/>
        </w:rPr>
        <w:t> </w:t>
      </w:r>
      <w:r>
        <w:rPr/>
        <w:t>5(1):33-40.</w:t>
      </w:r>
    </w:p>
    <w:p>
      <w:pPr>
        <w:spacing w:line="360" w:lineRule="auto" w:before="206"/>
        <w:ind w:left="1540" w:right="1441" w:hanging="720"/>
        <w:jc w:val="both"/>
        <w:rPr>
          <w:sz w:val="24"/>
        </w:rPr>
      </w:pPr>
      <w:r>
        <w:rPr>
          <w:sz w:val="24"/>
        </w:rPr>
        <w:t>Akenami, F.O., Aken'Ova, Y.A., and Osifo, B.O. (1999). Serum Zinc, Copper and Magnesium in</w:t>
      </w:r>
      <w:r>
        <w:rPr>
          <w:spacing w:val="-57"/>
          <w:sz w:val="24"/>
        </w:rPr>
        <w:t> </w:t>
      </w:r>
      <w:r>
        <w:rPr>
          <w:sz w:val="24"/>
        </w:rPr>
        <w:t>Sickle Cell Disease at Ibadan, South Western Nigeria. </w:t>
      </w:r>
      <w:r>
        <w:rPr>
          <w:i/>
          <w:sz w:val="24"/>
        </w:rPr>
        <w:t>African Journal of Medicine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Sciences.</w:t>
      </w:r>
      <w:r>
        <w:rPr>
          <w:i/>
          <w:spacing w:val="6"/>
          <w:sz w:val="24"/>
        </w:rPr>
        <w:t> </w:t>
      </w:r>
      <w:r>
        <w:rPr>
          <w:sz w:val="24"/>
        </w:rPr>
        <w:t>28(3-4):137-9.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017" w:top="1360" w:bottom="1200" w:left="620" w:right="0"/>
        </w:sectPr>
      </w:pPr>
    </w:p>
    <w:p>
      <w:pPr>
        <w:spacing w:line="355" w:lineRule="auto" w:before="72"/>
        <w:ind w:left="1540" w:right="1447" w:hanging="720"/>
        <w:jc w:val="both"/>
        <w:rPr>
          <w:sz w:val="24"/>
        </w:rPr>
      </w:pPr>
      <w:r>
        <w:rPr>
          <w:sz w:val="24"/>
        </w:rPr>
        <w:t>Aken'ova, Y.A., Bakare, R.A., and Okunade, M.A. (1998). Septicaemia in Sickle Cell Anaemia</w:t>
      </w:r>
      <w:r>
        <w:rPr>
          <w:spacing w:val="1"/>
          <w:sz w:val="24"/>
        </w:rPr>
        <w:t> </w:t>
      </w:r>
      <w:r>
        <w:rPr>
          <w:sz w:val="24"/>
        </w:rPr>
        <w:t>Patients: the Ibadan</w:t>
      </w:r>
      <w:r>
        <w:rPr>
          <w:spacing w:val="-4"/>
          <w:sz w:val="24"/>
        </w:rPr>
        <w:t> </w:t>
      </w:r>
      <w:r>
        <w:rPr>
          <w:sz w:val="24"/>
        </w:rPr>
        <w:t>experience.</w:t>
      </w:r>
      <w:r>
        <w:rPr>
          <w:spacing w:val="4"/>
          <w:sz w:val="24"/>
        </w:rPr>
        <w:t> </w:t>
      </w:r>
      <w:r>
        <w:rPr>
          <w:i/>
          <w:sz w:val="24"/>
        </w:rPr>
        <w:t>Central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44:102.</w:t>
      </w:r>
    </w:p>
    <w:p>
      <w:pPr>
        <w:spacing w:line="355" w:lineRule="auto" w:before="210"/>
        <w:ind w:left="1540" w:right="1444" w:hanging="720"/>
        <w:jc w:val="both"/>
        <w:rPr>
          <w:sz w:val="24"/>
        </w:rPr>
      </w:pPr>
      <w:r>
        <w:rPr>
          <w:sz w:val="24"/>
        </w:rPr>
        <w:t>Akinsola, F.B. and Kehinde, M.O. (2004). Ocular findings in Sickle Cell Disease Patients in</w:t>
      </w:r>
      <w:r>
        <w:rPr>
          <w:spacing w:val="1"/>
          <w:sz w:val="24"/>
        </w:rPr>
        <w:t> </w:t>
      </w:r>
      <w:r>
        <w:rPr>
          <w:sz w:val="24"/>
        </w:rPr>
        <w:t>Lagos.</w:t>
      </w:r>
      <w:r>
        <w:rPr>
          <w:spacing w:val="4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Postgraduate Medical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11(3):203-206.</w:t>
      </w:r>
    </w:p>
    <w:p>
      <w:pPr>
        <w:spacing w:line="360" w:lineRule="auto" w:before="210"/>
        <w:ind w:left="1540" w:right="1442" w:hanging="720"/>
        <w:jc w:val="both"/>
        <w:rPr>
          <w:sz w:val="24"/>
        </w:rPr>
      </w:pPr>
      <w:r>
        <w:rPr>
          <w:sz w:val="24"/>
        </w:rPr>
        <w:t>Akinyanju, O. O. (1989). A Profile of Sickle Cell Disease in Nigeria. </w:t>
      </w:r>
      <w:r>
        <w:rPr>
          <w:i/>
          <w:sz w:val="24"/>
        </w:rPr>
        <w:t>Annals of the New York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Academy 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.</w:t>
      </w:r>
      <w:r>
        <w:rPr>
          <w:spacing w:val="4"/>
          <w:sz w:val="24"/>
        </w:rPr>
        <w:t> </w:t>
      </w:r>
      <w:r>
        <w:rPr>
          <w:sz w:val="24"/>
        </w:rPr>
        <w:t>565:</w:t>
      </w:r>
      <w:r>
        <w:rPr>
          <w:spacing w:val="3"/>
          <w:sz w:val="24"/>
        </w:rPr>
        <w:t> </w:t>
      </w:r>
      <w:r>
        <w:rPr>
          <w:sz w:val="24"/>
        </w:rPr>
        <w:t>126–136.</w:t>
      </w:r>
    </w:p>
    <w:p>
      <w:pPr>
        <w:pStyle w:val="BodyText"/>
        <w:spacing w:line="360" w:lineRule="auto" w:before="200"/>
        <w:ind w:left="1540" w:right="1435" w:hanging="720"/>
        <w:jc w:val="both"/>
      </w:pPr>
      <w:r>
        <w:rPr/>
        <w:t>Akinyoola, A.L., Adediran, I.A., and Asaleye, C.M. (2007). Avascular necrosis of the femoral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sickle</w:t>
      </w:r>
      <w:r>
        <w:rPr>
          <w:spacing w:val="1"/>
        </w:rPr>
        <w:t> </w:t>
      </w:r>
      <w:r>
        <w:rPr/>
        <w:t>cell disease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retrospective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>
          <w:i/>
        </w:rPr>
        <w:t>Nigerian</w:t>
      </w:r>
      <w:r>
        <w:rPr>
          <w:i/>
          <w:spacing w:val="1"/>
        </w:rPr>
        <w:t> </w:t>
      </w:r>
      <w:r>
        <w:rPr>
          <w:i/>
        </w:rPr>
        <w:t>Postgraduate</w:t>
      </w:r>
      <w:r>
        <w:rPr>
          <w:i/>
          <w:spacing w:val="1"/>
        </w:rPr>
        <w:t> </w:t>
      </w:r>
      <w:r>
        <w:rPr>
          <w:i/>
        </w:rPr>
        <w:t>Medical</w:t>
      </w:r>
      <w:r>
        <w:rPr>
          <w:i/>
          <w:spacing w:val="1"/>
        </w:rPr>
        <w:t> </w:t>
      </w:r>
      <w:r>
        <w:rPr>
          <w:i/>
        </w:rPr>
        <w:t>Journal</w:t>
      </w:r>
      <w:r>
        <w:rPr/>
        <w:t>.</w:t>
      </w:r>
      <w:r>
        <w:rPr>
          <w:spacing w:val="4"/>
        </w:rPr>
        <w:t> </w:t>
      </w:r>
      <w:r>
        <w:rPr/>
        <w:t>14(3):217-20.</w:t>
      </w:r>
    </w:p>
    <w:p>
      <w:pPr>
        <w:pStyle w:val="BodyText"/>
        <w:spacing w:line="360" w:lineRule="auto" w:before="202"/>
        <w:ind w:left="1540" w:right="1442" w:hanging="720"/>
        <w:jc w:val="both"/>
      </w:pPr>
      <w:r>
        <w:rPr/>
        <w:t>Akpotuzor, J.O., Eke, O., Okpokam, D.C., and Etukudo, M.H. (2007). Comparative Study of</w:t>
      </w:r>
      <w:r>
        <w:rPr>
          <w:spacing w:val="1"/>
        </w:rPr>
        <w:t> </w:t>
      </w:r>
      <w:r>
        <w:rPr/>
        <w:t>Serum Iron, Total Iron Binding Capacity and Transferrin Saturation Fraction Levels in</w:t>
      </w:r>
      <w:r>
        <w:rPr>
          <w:spacing w:val="1"/>
        </w:rPr>
        <w:t> </w:t>
      </w:r>
      <w:r>
        <w:rPr/>
        <w:t>Two Groups of Nigerians in Different</w:t>
      </w:r>
      <w:r>
        <w:rPr>
          <w:spacing w:val="1"/>
        </w:rPr>
        <w:t> </w:t>
      </w:r>
      <w:r>
        <w:rPr/>
        <w:t>Socio-Economic Classes. </w:t>
      </w:r>
      <w:r>
        <w:rPr>
          <w:i/>
        </w:rPr>
        <w:t>Pakistan Journal of</w:t>
      </w:r>
      <w:r>
        <w:rPr>
          <w:i/>
          <w:spacing w:val="1"/>
        </w:rPr>
        <w:t> </w:t>
      </w:r>
      <w:r>
        <w:rPr>
          <w:i/>
        </w:rPr>
        <w:t>Nutrition</w:t>
      </w:r>
      <w:r>
        <w:rPr/>
        <w:t>.</w:t>
      </w:r>
      <w:r>
        <w:rPr>
          <w:spacing w:val="3"/>
        </w:rPr>
        <w:t> </w:t>
      </w:r>
      <w:r>
        <w:rPr/>
        <w:t>6</w:t>
      </w:r>
      <w:r>
        <w:rPr>
          <w:spacing w:val="-3"/>
        </w:rPr>
        <w:t> </w:t>
      </w:r>
      <w:r>
        <w:rPr/>
        <w:t>(6):</w:t>
      </w:r>
      <w:r>
        <w:rPr>
          <w:spacing w:val="2"/>
        </w:rPr>
        <w:t> </w:t>
      </w:r>
      <w:r>
        <w:rPr/>
        <w:t>669-671.</w:t>
      </w:r>
    </w:p>
    <w:p>
      <w:pPr>
        <w:pStyle w:val="BodyText"/>
        <w:spacing w:line="360" w:lineRule="auto" w:before="197"/>
        <w:ind w:left="1540" w:right="1439" w:hanging="720"/>
        <w:jc w:val="both"/>
      </w:pPr>
      <w:r>
        <w:rPr/>
        <w:t>Akuse, R.M. (1996). Variation in the pattern of Bacterial Infection in Patients with Sickle Cell</w:t>
      </w:r>
      <w:r>
        <w:rPr>
          <w:spacing w:val="1"/>
        </w:rPr>
        <w:t> </w:t>
      </w:r>
      <w:r>
        <w:rPr/>
        <w:t>Disease</w:t>
      </w:r>
      <w:r>
        <w:rPr>
          <w:spacing w:val="-1"/>
        </w:rPr>
        <w:t> </w:t>
      </w:r>
      <w:r>
        <w:rPr/>
        <w:t>requiring admission.</w:t>
      </w:r>
      <w:r>
        <w:rPr>
          <w:spacing w:val="5"/>
        </w:rPr>
        <w:t> </w:t>
      </w:r>
      <w:r>
        <w:rPr/>
        <w:t>J</w:t>
      </w:r>
      <w:r>
        <w:rPr>
          <w:i/>
        </w:rPr>
        <w:t>ournal of</w:t>
      </w:r>
      <w:r>
        <w:rPr>
          <w:i/>
          <w:spacing w:val="5"/>
        </w:rPr>
        <w:t> </w:t>
      </w:r>
      <w:r>
        <w:rPr>
          <w:i/>
        </w:rPr>
        <w:t>Tropical</w:t>
      </w:r>
      <w:r>
        <w:rPr>
          <w:i/>
          <w:spacing w:val="3"/>
        </w:rPr>
        <w:t> </w:t>
      </w:r>
      <w:r>
        <w:rPr>
          <w:i/>
        </w:rPr>
        <w:t>Paediatrics</w:t>
      </w:r>
      <w:r>
        <w:rPr/>
        <w:t>.</w:t>
      </w:r>
      <w:r>
        <w:rPr>
          <w:spacing w:val="3"/>
        </w:rPr>
        <w:t> </w:t>
      </w:r>
      <w:r>
        <w:rPr/>
        <w:t>42: 318-23.</w:t>
      </w:r>
    </w:p>
    <w:p>
      <w:pPr>
        <w:pStyle w:val="BodyText"/>
        <w:spacing w:line="355" w:lineRule="auto" w:before="204"/>
        <w:ind w:left="1540" w:right="1447" w:hanging="720"/>
        <w:jc w:val="both"/>
      </w:pPr>
      <w:r>
        <w:rPr/>
        <w:t>Alayash, A.L, Dafallah, A., Al-Quorain, A., Omer, A.H., and Wilson, M.T. (1987). Zinc and</w:t>
      </w:r>
      <w:r>
        <w:rPr>
          <w:spacing w:val="1"/>
        </w:rPr>
        <w:t> </w:t>
      </w:r>
      <w:r>
        <w:rPr/>
        <w:t>Copper status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Patients</w:t>
      </w:r>
      <w:r>
        <w:rPr>
          <w:spacing w:val="-2"/>
        </w:rPr>
        <w:t> </w:t>
      </w:r>
      <w:r>
        <w:rPr/>
        <w:t>with</w:t>
      </w:r>
      <w:r>
        <w:rPr>
          <w:spacing w:val="-5"/>
        </w:rPr>
        <w:t> </w:t>
      </w:r>
      <w:r>
        <w:rPr/>
        <w:t>Sickle</w:t>
      </w:r>
      <w:r>
        <w:rPr>
          <w:spacing w:val="-2"/>
        </w:rPr>
        <w:t> </w:t>
      </w:r>
      <w:r>
        <w:rPr/>
        <w:t>Cell</w:t>
      </w:r>
      <w:r>
        <w:rPr>
          <w:spacing w:val="1"/>
        </w:rPr>
        <w:t> </w:t>
      </w:r>
      <w:r>
        <w:rPr/>
        <w:t>Anaemia.</w:t>
      </w:r>
      <w:r>
        <w:rPr>
          <w:spacing w:val="5"/>
        </w:rPr>
        <w:t> </w:t>
      </w:r>
      <w:r>
        <w:rPr>
          <w:i/>
        </w:rPr>
        <w:t>Acta</w:t>
      </w:r>
      <w:r>
        <w:rPr>
          <w:i/>
          <w:spacing w:val="-5"/>
        </w:rPr>
        <w:t> </w:t>
      </w:r>
      <w:r>
        <w:rPr>
          <w:i/>
        </w:rPr>
        <w:t>Haematologica</w:t>
      </w:r>
      <w:r>
        <w:rPr/>
        <w:t>.</w:t>
      </w:r>
      <w:r>
        <w:rPr>
          <w:spacing w:val="-3"/>
        </w:rPr>
        <w:t> </w:t>
      </w:r>
      <w:r>
        <w:rPr/>
        <w:t>77(2):87-9.</w:t>
      </w:r>
    </w:p>
    <w:p>
      <w:pPr>
        <w:spacing w:line="355" w:lineRule="auto" w:before="211"/>
        <w:ind w:left="1540" w:right="1436" w:hanging="720"/>
        <w:jc w:val="both"/>
        <w:rPr>
          <w:sz w:val="24"/>
        </w:rPr>
      </w:pPr>
      <w:r>
        <w:rPr>
          <w:sz w:val="24"/>
        </w:rPr>
        <w:t>Aleem, A. (2008). Renal abnormalities in Patients with Sickle Cell Disease. A single report from</w:t>
      </w:r>
      <w:r>
        <w:rPr>
          <w:spacing w:val="-57"/>
          <w:sz w:val="24"/>
        </w:rPr>
        <w:t> </w:t>
      </w:r>
      <w:r>
        <w:rPr>
          <w:sz w:val="24"/>
        </w:rPr>
        <w:t>Saudi</w:t>
      </w:r>
      <w:r>
        <w:rPr>
          <w:spacing w:val="-8"/>
          <w:sz w:val="24"/>
        </w:rPr>
        <w:t> </w:t>
      </w:r>
      <w:r>
        <w:rPr>
          <w:sz w:val="24"/>
        </w:rPr>
        <w:t>Arabia.</w:t>
      </w:r>
      <w:r>
        <w:rPr>
          <w:spacing w:val="3"/>
          <w:sz w:val="24"/>
        </w:rPr>
        <w:t> </w:t>
      </w:r>
      <w:r>
        <w:rPr>
          <w:i/>
          <w:sz w:val="24"/>
        </w:rPr>
        <w:t>Saudi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Kidney Diseases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Transplantation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19:194-9</w:t>
      </w:r>
    </w:p>
    <w:p>
      <w:pPr>
        <w:pStyle w:val="BodyText"/>
        <w:spacing w:line="360" w:lineRule="auto" w:before="210"/>
        <w:ind w:left="1540" w:right="1435" w:hanging="720"/>
        <w:jc w:val="both"/>
      </w:pPr>
      <w:r>
        <w:rPr/>
        <w:t>Aliyu, Z.Y., Gordeuk, V., Sachdev, V., Babadoko, A., Mamman, A.I., Akpanpe, P., Attah, E.,</w:t>
      </w:r>
      <w:r>
        <w:rPr>
          <w:spacing w:val="1"/>
        </w:rPr>
        <w:t> </w:t>
      </w:r>
      <w:r>
        <w:rPr/>
        <w:t>Suleiman,</w:t>
      </w:r>
      <w:r>
        <w:rPr>
          <w:spacing w:val="1"/>
        </w:rPr>
        <w:t> </w:t>
      </w:r>
      <w:r>
        <w:rPr/>
        <w:t>Y.,</w:t>
      </w:r>
      <w:r>
        <w:rPr>
          <w:spacing w:val="1"/>
        </w:rPr>
        <w:t> </w:t>
      </w:r>
      <w:r>
        <w:rPr/>
        <w:t>Aliyu,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Yusuf,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Mendelsohn,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Kato,</w:t>
      </w:r>
      <w:r>
        <w:rPr>
          <w:spacing w:val="1"/>
        </w:rPr>
        <w:t> </w:t>
      </w:r>
      <w:r>
        <w:rPr/>
        <w:t>G.J., and Gladwin,</w:t>
      </w:r>
      <w:r>
        <w:rPr>
          <w:spacing w:val="60"/>
        </w:rPr>
        <w:t> </w:t>
      </w:r>
      <w:r>
        <w:rPr/>
        <w:t>M.T.</w:t>
      </w:r>
      <w:r>
        <w:rPr>
          <w:spacing w:val="1"/>
        </w:rPr>
        <w:t> </w:t>
      </w:r>
      <w:r>
        <w:rPr/>
        <w:t>(2008). Prevalence and risk factors for Pulmonary Artery Systolic Hypertension among</w:t>
      </w:r>
      <w:r>
        <w:rPr>
          <w:spacing w:val="1"/>
        </w:rPr>
        <w:t> </w:t>
      </w:r>
      <w:r>
        <w:rPr/>
        <w:t>Sickle</w:t>
      </w:r>
      <w:r>
        <w:rPr>
          <w:spacing w:val="-3"/>
        </w:rPr>
        <w:t> </w:t>
      </w:r>
      <w:r>
        <w:rPr/>
        <w:t>Cell</w:t>
      </w:r>
      <w:r>
        <w:rPr>
          <w:spacing w:val="-10"/>
        </w:rPr>
        <w:t> </w:t>
      </w:r>
      <w:r>
        <w:rPr/>
        <w:t>Disease</w:t>
      </w:r>
      <w:r>
        <w:rPr>
          <w:spacing w:val="-2"/>
        </w:rPr>
        <w:t> </w:t>
      </w:r>
      <w:r>
        <w:rPr/>
        <w:t>Patients</w:t>
      </w:r>
      <w:r>
        <w:rPr>
          <w:spacing w:val="1"/>
        </w:rPr>
        <w:t> </w:t>
      </w:r>
      <w:r>
        <w:rPr/>
        <w:t>in</w:t>
      </w:r>
      <w:r>
        <w:rPr>
          <w:spacing w:val="-6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American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-2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Haematology.</w:t>
      </w:r>
      <w:r>
        <w:rPr>
          <w:i/>
          <w:spacing w:val="4"/>
        </w:rPr>
        <w:t> </w:t>
      </w:r>
      <w:r>
        <w:rPr/>
        <w:t>83:485-490.</w:t>
      </w:r>
    </w:p>
    <w:p>
      <w:pPr>
        <w:spacing w:line="355" w:lineRule="auto" w:before="202"/>
        <w:ind w:left="1540" w:right="1445" w:hanging="720"/>
        <w:jc w:val="both"/>
        <w:rPr>
          <w:sz w:val="24"/>
        </w:rPr>
      </w:pPr>
      <w:r>
        <w:rPr>
          <w:sz w:val="24"/>
        </w:rPr>
        <w:t>Almeida, A. and Robert, I. (2005). Bone Involvement in Sickle Cell Disease. </w:t>
      </w:r>
      <w:r>
        <w:rPr>
          <w:i/>
          <w:sz w:val="24"/>
        </w:rPr>
        <w:t>British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Haematology.</w:t>
      </w:r>
      <w:r>
        <w:rPr>
          <w:i/>
          <w:spacing w:val="5"/>
          <w:sz w:val="24"/>
        </w:rPr>
        <w:t> </w:t>
      </w:r>
      <w:r>
        <w:rPr>
          <w:sz w:val="24"/>
        </w:rPr>
        <w:t>129:482–490.</w:t>
      </w:r>
    </w:p>
    <w:p>
      <w:pPr>
        <w:spacing w:after="0" w:line="355" w:lineRule="auto"/>
        <w:jc w:val="both"/>
        <w:rPr>
          <w:sz w:val="24"/>
        </w:rPr>
        <w:sectPr>
          <w:pgSz w:w="12240" w:h="15840"/>
          <w:pgMar w:header="0" w:footer="1017" w:top="1360" w:bottom="1200" w:left="620" w:right="0"/>
        </w:sectPr>
      </w:pPr>
    </w:p>
    <w:p>
      <w:pPr>
        <w:spacing w:line="355" w:lineRule="auto" w:before="72"/>
        <w:ind w:left="1540" w:right="1444" w:hanging="812"/>
        <w:jc w:val="both"/>
        <w:rPr>
          <w:sz w:val="24"/>
        </w:rPr>
      </w:pPr>
      <w:r>
        <w:rPr>
          <w:sz w:val="24"/>
        </w:rPr>
        <w:t>Al-Momen, A.K. (1995). Diminished Vitamin B12 levels in Patients with severe Sickle Cell</w:t>
      </w:r>
      <w:r>
        <w:rPr>
          <w:spacing w:val="1"/>
          <w:sz w:val="24"/>
        </w:rPr>
        <w:t> </w:t>
      </w:r>
      <w:r>
        <w:rPr>
          <w:sz w:val="24"/>
        </w:rPr>
        <w:t>Disease.</w:t>
      </w:r>
      <w:r>
        <w:rPr>
          <w:spacing w:val="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Internal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23:551-5.</w:t>
      </w:r>
    </w:p>
    <w:p>
      <w:pPr>
        <w:pStyle w:val="BodyText"/>
        <w:spacing w:line="360" w:lineRule="auto" w:before="210"/>
        <w:ind w:left="1540" w:right="1444" w:hanging="812"/>
        <w:jc w:val="both"/>
      </w:pPr>
      <w:r>
        <w:rPr/>
        <w:t>Ambrus, J.L. Sr. and Ambrus, J.L. Jr. (2004). Nutrition and Infectious Diseases in Developing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Immunodeficiency</w:t>
      </w:r>
      <w:r>
        <w:rPr>
          <w:spacing w:val="1"/>
        </w:rPr>
        <w:t> </w:t>
      </w:r>
      <w:r>
        <w:rPr/>
        <w:t>Syndrome.</w:t>
      </w:r>
      <w:r>
        <w:rPr>
          <w:spacing w:val="60"/>
        </w:rPr>
        <w:t> </w:t>
      </w:r>
      <w:r>
        <w:rPr>
          <w:i/>
        </w:rPr>
        <w:t>Experimental</w:t>
      </w:r>
      <w:r>
        <w:rPr>
          <w:i/>
          <w:spacing w:val="1"/>
        </w:rPr>
        <w:t> </w:t>
      </w:r>
      <w:r>
        <w:rPr>
          <w:i/>
        </w:rPr>
        <w:t>Biology and</w:t>
      </w:r>
      <w:r>
        <w:rPr>
          <w:i/>
          <w:spacing w:val="-3"/>
        </w:rPr>
        <w:t> </w:t>
      </w:r>
      <w:r>
        <w:rPr>
          <w:i/>
        </w:rPr>
        <w:t>Medicine.</w:t>
      </w:r>
      <w:r>
        <w:rPr>
          <w:i/>
          <w:spacing w:val="2"/>
        </w:rPr>
        <w:t> </w:t>
      </w:r>
      <w:r>
        <w:rPr/>
        <w:t>229</w:t>
      </w:r>
      <w:r>
        <w:rPr>
          <w:spacing w:val="2"/>
        </w:rPr>
        <w:t> </w:t>
      </w:r>
      <w:r>
        <w:rPr/>
        <w:t>(6):</w:t>
      </w:r>
      <w:r>
        <w:rPr>
          <w:spacing w:val="2"/>
        </w:rPr>
        <w:t> </w:t>
      </w:r>
      <w:r>
        <w:rPr/>
        <w:t>464-472.</w:t>
      </w:r>
    </w:p>
    <w:p>
      <w:pPr>
        <w:pStyle w:val="BodyText"/>
        <w:spacing w:line="355" w:lineRule="auto" w:before="203"/>
        <w:ind w:left="1540" w:right="1443" w:hanging="812"/>
        <w:jc w:val="both"/>
      </w:pPr>
      <w:r>
        <w:rPr/>
        <w:t>American Diabetes Association (1999). Nutrition recommendations and principles for people with</w:t>
      </w:r>
      <w:r>
        <w:rPr>
          <w:spacing w:val="-57"/>
        </w:rPr>
        <w:t> </w:t>
      </w:r>
      <w:r>
        <w:rPr/>
        <w:t>Diabetes</w:t>
      </w:r>
      <w:r>
        <w:rPr>
          <w:spacing w:val="-1"/>
        </w:rPr>
        <w:t> </w:t>
      </w:r>
      <w:r>
        <w:rPr/>
        <w:t>Mellitus.</w:t>
      </w:r>
      <w:r>
        <w:rPr>
          <w:spacing w:val="5"/>
        </w:rPr>
        <w:t> </w:t>
      </w:r>
      <w:r>
        <w:rPr>
          <w:i/>
        </w:rPr>
        <w:t>Diabetes Care.</w:t>
      </w:r>
      <w:r>
        <w:rPr>
          <w:i/>
          <w:spacing w:val="4"/>
        </w:rPr>
        <w:t> </w:t>
      </w:r>
      <w:r>
        <w:rPr/>
        <w:t>22:542-5.</w:t>
      </w:r>
    </w:p>
    <w:p>
      <w:pPr>
        <w:spacing w:before="205"/>
        <w:ind w:left="728" w:right="0" w:firstLine="0"/>
        <w:jc w:val="left"/>
        <w:rPr>
          <w:sz w:val="24"/>
        </w:rPr>
      </w:pPr>
      <w:r>
        <w:rPr>
          <w:sz w:val="24"/>
        </w:rPr>
        <w:t>Ankra-Badu, G.A. (1992).</w:t>
      </w:r>
      <w:r>
        <w:rPr>
          <w:spacing w:val="-4"/>
          <w:sz w:val="24"/>
        </w:rPr>
        <w:t> </w:t>
      </w:r>
      <w:r>
        <w:rPr>
          <w:sz w:val="24"/>
        </w:rPr>
        <w:t>Sickle</w:t>
      </w:r>
      <w:r>
        <w:rPr>
          <w:spacing w:val="-2"/>
          <w:sz w:val="24"/>
        </w:rPr>
        <w:t> </w:t>
      </w:r>
      <w:r>
        <w:rPr>
          <w:sz w:val="24"/>
        </w:rPr>
        <w:t>Cell</w:t>
      </w:r>
      <w:r>
        <w:rPr>
          <w:spacing w:val="-6"/>
          <w:sz w:val="24"/>
        </w:rPr>
        <w:t> </w:t>
      </w:r>
      <w:r>
        <w:rPr>
          <w:sz w:val="24"/>
        </w:rPr>
        <w:t>Leg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Ghana</w:t>
      </w:r>
      <w:r>
        <w:rPr>
          <w:spacing w:val="-3"/>
          <w:sz w:val="24"/>
        </w:rPr>
        <w:t> </w:t>
      </w:r>
      <w:r>
        <w:rPr>
          <w:sz w:val="24"/>
        </w:rPr>
        <w:t>East.</w:t>
      </w:r>
      <w:r>
        <w:rPr>
          <w:spacing w:val="-2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. 69:673-85.</w:t>
      </w:r>
    </w:p>
    <w:p>
      <w:pPr>
        <w:pStyle w:val="BodyText"/>
        <w:spacing w:before="10"/>
        <w:rPr>
          <w:sz w:val="29"/>
        </w:rPr>
      </w:pPr>
    </w:p>
    <w:p>
      <w:pPr>
        <w:spacing w:line="355" w:lineRule="auto" w:before="0"/>
        <w:ind w:left="1540" w:right="1436" w:hanging="812"/>
        <w:jc w:val="both"/>
        <w:rPr>
          <w:sz w:val="24"/>
        </w:rPr>
      </w:pPr>
      <w:r>
        <w:rPr>
          <w:sz w:val="24"/>
        </w:rPr>
        <w:t>Aslan,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Thornley-Brown,</w:t>
      </w:r>
      <w:r>
        <w:rPr>
          <w:spacing w:val="1"/>
          <w:sz w:val="24"/>
        </w:rPr>
        <w:t> </w:t>
      </w:r>
      <w:r>
        <w:rPr>
          <w:sz w:val="24"/>
        </w:rPr>
        <w:t>D.,</w:t>
      </w:r>
      <w:r>
        <w:rPr>
          <w:spacing w:val="1"/>
          <w:sz w:val="24"/>
        </w:rPr>
        <w:t> </w:t>
      </w:r>
      <w:r>
        <w:rPr>
          <w:sz w:val="24"/>
        </w:rPr>
        <w:t>Freeman,</w:t>
      </w:r>
      <w:r>
        <w:rPr>
          <w:spacing w:val="1"/>
          <w:sz w:val="24"/>
        </w:rPr>
        <w:t> </w:t>
      </w:r>
      <w:r>
        <w:rPr>
          <w:sz w:val="24"/>
        </w:rPr>
        <w:t>B.A.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60"/>
          <w:sz w:val="24"/>
        </w:rPr>
        <w:t> </w:t>
      </w:r>
      <w:r>
        <w:rPr>
          <w:sz w:val="24"/>
        </w:rPr>
        <w:t>Reactive</w:t>
      </w:r>
      <w:r>
        <w:rPr>
          <w:spacing w:val="60"/>
          <w:sz w:val="24"/>
        </w:rPr>
        <w:t> </w:t>
      </w:r>
      <w:r>
        <w:rPr>
          <w:sz w:val="24"/>
        </w:rPr>
        <w:t>species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60"/>
          <w:sz w:val="24"/>
        </w:rPr>
        <w:t> </w:t>
      </w:r>
      <w:r>
        <w:rPr>
          <w:sz w:val="24"/>
        </w:rPr>
        <w:t>Sickle</w:t>
      </w:r>
      <w:r>
        <w:rPr>
          <w:spacing w:val="60"/>
          <w:sz w:val="24"/>
        </w:rPr>
        <w:t> </w:t>
      </w:r>
      <w:r>
        <w:rPr>
          <w:sz w:val="24"/>
        </w:rPr>
        <w:t>Cell</w:t>
      </w:r>
      <w:r>
        <w:rPr>
          <w:spacing w:val="1"/>
          <w:sz w:val="24"/>
        </w:rPr>
        <w:t> </w:t>
      </w:r>
      <w:r>
        <w:rPr>
          <w:sz w:val="24"/>
        </w:rPr>
        <w:t>Disease.</w:t>
      </w:r>
      <w:r>
        <w:rPr>
          <w:spacing w:val="3"/>
          <w:sz w:val="24"/>
        </w:rPr>
        <w:t> </w:t>
      </w:r>
      <w:r>
        <w:rPr>
          <w:i/>
          <w:sz w:val="24"/>
        </w:rPr>
        <w:t>Annals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York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Academy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899:375-91.</w:t>
      </w:r>
    </w:p>
    <w:p>
      <w:pPr>
        <w:pStyle w:val="BodyText"/>
        <w:spacing w:line="357" w:lineRule="auto" w:before="210"/>
        <w:ind w:left="1540" w:right="1437" w:hanging="720"/>
        <w:jc w:val="both"/>
      </w:pPr>
      <w:r>
        <w:rPr/>
        <w:t>Ataga,</w:t>
      </w:r>
      <w:r>
        <w:rPr>
          <w:spacing w:val="1"/>
        </w:rPr>
        <w:t> </w:t>
      </w:r>
      <w:r>
        <w:rPr/>
        <w:t>K.I.,</w:t>
      </w:r>
      <w:r>
        <w:rPr>
          <w:spacing w:val="1"/>
        </w:rPr>
        <w:t> </w:t>
      </w:r>
      <w:r>
        <w:rPr/>
        <w:t>Smith,</w:t>
      </w:r>
      <w:r>
        <w:rPr>
          <w:spacing w:val="1"/>
        </w:rPr>
        <w:t> </w:t>
      </w:r>
      <w:r>
        <w:rPr/>
        <w:t>W.R.,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Castro,</w:t>
      </w:r>
      <w:r>
        <w:rPr>
          <w:spacing w:val="1"/>
        </w:rPr>
        <w:t> </w:t>
      </w:r>
      <w:r>
        <w:rPr/>
        <w:t>L.M.,</w:t>
      </w:r>
      <w:r>
        <w:rPr>
          <w:spacing w:val="1"/>
        </w:rPr>
        <w:t> </w:t>
      </w:r>
      <w:r>
        <w:rPr/>
        <w:t>Swerdlow,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Saunthararajah,</w:t>
      </w:r>
      <w:r>
        <w:rPr>
          <w:spacing w:val="1"/>
        </w:rPr>
        <w:t> </w:t>
      </w:r>
      <w:r>
        <w:rPr/>
        <w:t>Y.,</w:t>
      </w:r>
      <w:r>
        <w:rPr>
          <w:spacing w:val="1"/>
        </w:rPr>
        <w:t> </w:t>
      </w:r>
      <w:r>
        <w:rPr/>
        <w:t>Castro,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Vinchinsky,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Kutlar,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Orringer,</w:t>
      </w:r>
      <w:r>
        <w:rPr>
          <w:spacing w:val="1"/>
        </w:rPr>
        <w:t> </w:t>
      </w:r>
      <w:r>
        <w:rPr/>
        <w:t>E.P.,</w:t>
      </w:r>
      <w:r>
        <w:rPr>
          <w:spacing w:val="1"/>
        </w:rPr>
        <w:t> </w:t>
      </w:r>
      <w:r>
        <w:rPr/>
        <w:t>Rigdon,</w:t>
      </w:r>
      <w:r>
        <w:rPr>
          <w:spacing w:val="1"/>
        </w:rPr>
        <w:t> </w:t>
      </w:r>
      <w:r>
        <w:rPr/>
        <w:t>G.C.,</w:t>
      </w:r>
      <w:r>
        <w:rPr>
          <w:spacing w:val="1"/>
        </w:rPr>
        <w:t> </w:t>
      </w:r>
      <w:r>
        <w:rPr/>
        <w:t>and Stocker,</w:t>
      </w:r>
      <w:r>
        <w:rPr>
          <w:spacing w:val="1"/>
        </w:rPr>
        <w:t> </w:t>
      </w:r>
      <w:r>
        <w:rPr/>
        <w:t>J.W.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Efficacy and safety of the Gardos channel blocker, Senicapoc (ICA-17043), in Patients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Sickle</w:t>
      </w:r>
      <w:r>
        <w:rPr>
          <w:spacing w:val="1"/>
        </w:rPr>
        <w:t> </w:t>
      </w:r>
      <w:r>
        <w:rPr/>
        <w:t>Cell</w:t>
      </w:r>
      <w:r>
        <w:rPr>
          <w:spacing w:val="2"/>
        </w:rPr>
        <w:t> </w:t>
      </w:r>
      <w:r>
        <w:rPr/>
        <w:t>Anemia.</w:t>
      </w:r>
      <w:r>
        <w:rPr>
          <w:spacing w:val="5"/>
        </w:rPr>
        <w:t> </w:t>
      </w:r>
      <w:r>
        <w:rPr>
          <w:i/>
        </w:rPr>
        <w:t>Blood</w:t>
      </w:r>
      <w:r>
        <w:rPr/>
        <w:t>. 15;111(8):3991-7.</w:t>
      </w:r>
    </w:p>
    <w:p>
      <w:pPr>
        <w:pStyle w:val="BodyText"/>
        <w:spacing w:line="360" w:lineRule="auto" w:before="208"/>
        <w:ind w:left="1540" w:right="1439" w:hanging="720"/>
        <w:jc w:val="both"/>
      </w:pPr>
      <w:r>
        <w:rPr/>
        <w:t>Atweh, G.F., Dover, G.J., and Faller, D.V. (1999). Sustained</w:t>
      </w:r>
      <w:r>
        <w:rPr>
          <w:spacing w:val="60"/>
        </w:rPr>
        <w:t> </w:t>
      </w:r>
      <w:r>
        <w:rPr/>
        <w:t>induction of Foetal Haemoglobin</w:t>
      </w:r>
      <w:r>
        <w:rPr>
          <w:spacing w:val="1"/>
        </w:rPr>
        <w:t> </w:t>
      </w:r>
      <w:r>
        <w:rPr/>
        <w:t>by</w:t>
      </w:r>
      <w:r>
        <w:rPr>
          <w:spacing w:val="-9"/>
        </w:rPr>
        <w:t> </w:t>
      </w:r>
      <w:r>
        <w:rPr/>
        <w:t>pulse</w:t>
      </w:r>
      <w:r>
        <w:rPr>
          <w:spacing w:val="1"/>
        </w:rPr>
        <w:t> </w:t>
      </w:r>
      <w:r>
        <w:rPr/>
        <w:t>Butyrate</w:t>
      </w:r>
      <w:r>
        <w:rPr>
          <w:spacing w:val="-4"/>
        </w:rPr>
        <w:t> </w:t>
      </w:r>
      <w:r>
        <w:rPr/>
        <w:t>therapy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Sickle</w:t>
      </w:r>
      <w:r>
        <w:rPr>
          <w:spacing w:val="1"/>
        </w:rPr>
        <w:t> </w:t>
      </w:r>
      <w:r>
        <w:rPr/>
        <w:t>Cell</w:t>
      </w:r>
      <w:r>
        <w:rPr>
          <w:spacing w:val="-7"/>
        </w:rPr>
        <w:t> </w:t>
      </w:r>
      <w:r>
        <w:rPr/>
        <w:t>Disease.</w:t>
      </w:r>
      <w:r>
        <w:rPr>
          <w:spacing w:val="6"/>
        </w:rPr>
        <w:t> </w:t>
      </w:r>
      <w:r>
        <w:rPr>
          <w:i/>
        </w:rPr>
        <w:t>Blood</w:t>
      </w:r>
      <w:r>
        <w:rPr/>
        <w:t>.</w:t>
      </w:r>
      <w:r>
        <w:rPr>
          <w:spacing w:val="4"/>
        </w:rPr>
        <w:t> </w:t>
      </w:r>
      <w:r>
        <w:rPr/>
        <w:t>93:1790-1797.</w:t>
      </w:r>
    </w:p>
    <w:p>
      <w:pPr>
        <w:pStyle w:val="BodyText"/>
        <w:spacing w:line="355" w:lineRule="auto" w:before="204"/>
        <w:ind w:left="1540" w:right="1435" w:hanging="720"/>
        <w:jc w:val="both"/>
      </w:pPr>
      <w:r>
        <w:rPr/>
        <w:t>Awogu, A.U. (2000). Leucocyte Counts in Children with Sickle Cell Anaemia usefulness of</w:t>
      </w:r>
      <w:r>
        <w:rPr>
          <w:spacing w:val="1"/>
        </w:rPr>
        <w:t> </w:t>
      </w:r>
      <w:r>
        <w:rPr/>
        <w:t>stable</w:t>
      </w:r>
      <w:r>
        <w:rPr>
          <w:spacing w:val="-2"/>
        </w:rPr>
        <w:t> </w:t>
      </w:r>
      <w:r>
        <w:rPr/>
        <w:t>state</w:t>
      </w:r>
      <w:r>
        <w:rPr>
          <w:spacing w:val="-6"/>
        </w:rPr>
        <w:t> </w:t>
      </w:r>
      <w:r>
        <w:rPr/>
        <w:t>values</w:t>
      </w:r>
      <w:r>
        <w:rPr>
          <w:spacing w:val="-2"/>
        </w:rPr>
        <w:t> </w:t>
      </w:r>
      <w:r>
        <w:rPr/>
        <w:t>during Infections.</w:t>
      </w:r>
      <w:r>
        <w:rPr>
          <w:spacing w:val="5"/>
        </w:rPr>
        <w:t> </w:t>
      </w:r>
      <w:r>
        <w:rPr>
          <w:i/>
        </w:rPr>
        <w:t>West African</w:t>
      </w:r>
      <w:r>
        <w:rPr>
          <w:i/>
          <w:spacing w:val="-5"/>
        </w:rPr>
        <w:t> </w:t>
      </w:r>
      <w:r>
        <w:rPr>
          <w:i/>
        </w:rPr>
        <w:t>Journal of Medicine</w:t>
      </w:r>
      <w:r>
        <w:rPr/>
        <w:t>.</w:t>
      </w:r>
      <w:r>
        <w:rPr>
          <w:spacing w:val="-2"/>
        </w:rPr>
        <w:t> </w:t>
      </w:r>
      <w:r>
        <w:rPr/>
        <w:t>19</w:t>
      </w:r>
      <w:r>
        <w:rPr>
          <w:spacing w:val="-1"/>
        </w:rPr>
        <w:t> </w:t>
      </w:r>
      <w:r>
        <w:rPr/>
        <w:t>(1): 55-58.</w:t>
      </w:r>
    </w:p>
    <w:p>
      <w:pPr>
        <w:spacing w:before="211"/>
        <w:ind w:left="820" w:right="0" w:firstLine="0"/>
        <w:jc w:val="left"/>
        <w:rPr>
          <w:i/>
          <w:sz w:val="24"/>
        </w:rPr>
      </w:pPr>
      <w:r>
        <w:rPr>
          <w:sz w:val="24"/>
        </w:rPr>
        <w:t>Awolusi</w:t>
      </w:r>
      <w:r>
        <w:rPr>
          <w:spacing w:val="-1"/>
          <w:sz w:val="24"/>
        </w:rPr>
        <w:t> </w:t>
      </w:r>
      <w:r>
        <w:rPr>
          <w:sz w:val="24"/>
        </w:rPr>
        <w:t>B.</w:t>
      </w:r>
      <w:r>
        <w:rPr>
          <w:spacing w:val="10"/>
          <w:sz w:val="24"/>
        </w:rPr>
        <w:t> </w:t>
      </w:r>
      <w:r>
        <w:rPr>
          <w:sz w:val="24"/>
        </w:rPr>
        <w:t>(2010).</w:t>
      </w:r>
      <w:r>
        <w:rPr>
          <w:spacing w:val="10"/>
          <w:sz w:val="24"/>
        </w:rPr>
        <w:t> </w:t>
      </w:r>
      <w:r>
        <w:rPr>
          <w:sz w:val="24"/>
        </w:rPr>
        <w:t>Nigeria</w:t>
      </w:r>
      <w:r>
        <w:rPr>
          <w:spacing w:val="7"/>
          <w:sz w:val="24"/>
        </w:rPr>
        <w:t> </w:t>
      </w:r>
      <w:r>
        <w:rPr>
          <w:sz w:val="24"/>
        </w:rPr>
        <w:t>ranks</w:t>
      </w:r>
      <w:r>
        <w:rPr>
          <w:spacing w:val="5"/>
          <w:sz w:val="24"/>
        </w:rPr>
        <w:t> </w:t>
      </w:r>
      <w:r>
        <w:rPr>
          <w:sz w:val="24"/>
        </w:rPr>
        <w:t>highest</w:t>
      </w:r>
      <w:r>
        <w:rPr>
          <w:spacing w:val="13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Sickle</w:t>
      </w:r>
      <w:r>
        <w:rPr>
          <w:spacing w:val="7"/>
          <w:sz w:val="24"/>
        </w:rPr>
        <w:t> </w:t>
      </w:r>
      <w:r>
        <w:rPr>
          <w:sz w:val="24"/>
        </w:rPr>
        <w:t>Cell</w:t>
      </w:r>
      <w:r>
        <w:rPr>
          <w:spacing w:val="3"/>
          <w:sz w:val="24"/>
        </w:rPr>
        <w:t> </w:t>
      </w:r>
      <w:r>
        <w:rPr>
          <w:sz w:val="24"/>
        </w:rPr>
        <w:t>Disease.</w:t>
      </w:r>
      <w:r>
        <w:rPr>
          <w:spacing w:val="13"/>
          <w:sz w:val="24"/>
        </w:rPr>
        <w:t> </w:t>
      </w:r>
      <w:r>
        <w:rPr>
          <w:i/>
          <w:sz w:val="24"/>
        </w:rPr>
        <w:t>Daily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Independent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Newspaper.</w:t>
      </w:r>
    </w:p>
    <w:p>
      <w:pPr>
        <w:pStyle w:val="BodyText"/>
        <w:spacing w:before="132"/>
        <w:ind w:left="1540"/>
      </w:pPr>
      <w:r>
        <w:rPr/>
        <w:t>Retrieved February</w:t>
      </w:r>
      <w:r>
        <w:rPr>
          <w:spacing w:val="-12"/>
        </w:rPr>
        <w:t> </w:t>
      </w:r>
      <w:r>
        <w:rPr/>
        <w:t>13,</w:t>
      </w:r>
      <w:r>
        <w:rPr>
          <w:spacing w:val="-2"/>
        </w:rPr>
        <w:t> </w:t>
      </w:r>
      <w:r>
        <w:rPr/>
        <w:t>2011,</w:t>
      </w:r>
      <w:r>
        <w:rPr>
          <w:spacing w:val="-2"/>
        </w:rPr>
        <w:t> </w:t>
      </w:r>
      <w:r>
        <w:rPr/>
        <w:t>from</w:t>
      </w:r>
      <w:r>
        <w:rPr>
          <w:spacing w:val="-9"/>
        </w:rPr>
        <w:t> </w:t>
      </w:r>
      <w:hyperlink r:id="rId71">
        <w:r>
          <w:rPr/>
          <w:t>http://nigerianbulletin.com/</w:t>
        </w:r>
      </w:hyperlink>
    </w:p>
    <w:p>
      <w:pPr>
        <w:pStyle w:val="BodyText"/>
        <w:spacing w:before="9"/>
        <w:rPr>
          <w:sz w:val="29"/>
        </w:rPr>
      </w:pPr>
    </w:p>
    <w:p>
      <w:pPr>
        <w:spacing w:line="355" w:lineRule="auto" w:before="1"/>
        <w:ind w:left="1540" w:right="1446" w:hanging="720"/>
        <w:jc w:val="both"/>
        <w:rPr>
          <w:sz w:val="24"/>
        </w:rPr>
      </w:pPr>
      <w:r>
        <w:rPr>
          <w:sz w:val="24"/>
        </w:rPr>
        <w:t>Babalola, O.E. and Wambebe, C.O. (2005). Ocular Morbidity from Sickle Cell Disease in a</w:t>
      </w:r>
      <w:r>
        <w:rPr>
          <w:spacing w:val="1"/>
          <w:sz w:val="24"/>
        </w:rPr>
        <w:t> </w:t>
      </w:r>
      <w:r>
        <w:rPr>
          <w:sz w:val="24"/>
        </w:rPr>
        <w:t>Nigerian</w:t>
      </w:r>
      <w:r>
        <w:rPr>
          <w:spacing w:val="-4"/>
          <w:sz w:val="24"/>
        </w:rPr>
        <w:t> </w:t>
      </w:r>
      <w:r>
        <w:rPr>
          <w:sz w:val="24"/>
        </w:rPr>
        <w:t>Cohort.</w:t>
      </w:r>
      <w:r>
        <w:rPr>
          <w:spacing w:val="-1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Postgraduate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12(4):241-244.</w:t>
      </w:r>
    </w:p>
    <w:p>
      <w:pPr>
        <w:spacing w:line="355" w:lineRule="auto" w:before="210"/>
        <w:ind w:left="1540" w:right="1440" w:hanging="720"/>
        <w:jc w:val="both"/>
        <w:rPr>
          <w:sz w:val="24"/>
        </w:rPr>
      </w:pPr>
      <w:r>
        <w:rPr>
          <w:sz w:val="24"/>
        </w:rPr>
        <w:t>Ballas S.K. (2007). Current issues in Sickle Cell Pain and its Management. </w:t>
      </w:r>
      <w:r>
        <w:rPr>
          <w:i/>
          <w:sz w:val="24"/>
        </w:rPr>
        <w:t>American Society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Haematology Education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Book.</w:t>
      </w:r>
      <w:r>
        <w:rPr>
          <w:i/>
          <w:spacing w:val="8"/>
          <w:sz w:val="24"/>
        </w:rPr>
        <w:t> </w:t>
      </w:r>
      <w:r>
        <w:rPr>
          <w:sz w:val="24"/>
        </w:rPr>
        <w:t>1:97-105.</w:t>
      </w:r>
    </w:p>
    <w:p>
      <w:pPr>
        <w:pStyle w:val="BodyText"/>
        <w:spacing w:line="355" w:lineRule="auto" w:before="210"/>
        <w:ind w:left="1540" w:right="1447" w:hanging="720"/>
        <w:jc w:val="both"/>
      </w:pPr>
      <w:r>
        <w:rPr/>
        <w:t>Ballas S.K. (2001). Iron Overload is a determinant of Morbidity and Mortality in Adult Patients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Sickle Cell</w:t>
      </w:r>
      <w:r>
        <w:rPr>
          <w:spacing w:val="-3"/>
        </w:rPr>
        <w:t> </w:t>
      </w:r>
      <w:r>
        <w:rPr/>
        <w:t>Disease.</w:t>
      </w:r>
      <w:r>
        <w:rPr>
          <w:spacing w:val="5"/>
        </w:rPr>
        <w:t> </w:t>
      </w:r>
      <w:r>
        <w:rPr>
          <w:i/>
        </w:rPr>
        <w:t>Seminars</w:t>
      </w:r>
      <w:r>
        <w:rPr>
          <w:i/>
          <w:spacing w:val="-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Haematology</w:t>
      </w:r>
      <w:r>
        <w:rPr/>
        <w:t>.</w:t>
      </w:r>
      <w:r>
        <w:rPr>
          <w:spacing w:val="3"/>
        </w:rPr>
        <w:t> </w:t>
      </w:r>
      <w:r>
        <w:rPr/>
        <w:t>38(1):30-36.</w:t>
      </w:r>
    </w:p>
    <w:p>
      <w:pPr>
        <w:spacing w:after="0" w:line="355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60" w:lineRule="auto" w:before="72"/>
        <w:ind w:left="1540" w:right="1440" w:hanging="720"/>
        <w:jc w:val="both"/>
      </w:pPr>
      <w:r>
        <w:rPr/>
        <w:t>Bao, B., Prasad, A.S., Beck, F.W., Snell, D., Suneja, A., Sarkar, F.H., Doshi, N., Fitzgerald, J.T.,</w:t>
      </w:r>
      <w:r>
        <w:rPr>
          <w:spacing w:val="-57"/>
        </w:rPr>
        <w:t> </w:t>
      </w:r>
      <w:r>
        <w:rPr/>
        <w:t>and Swerdlow, P. (2008). Zinc supplementation decreases oxidative stress, incidence of</w:t>
      </w:r>
      <w:r>
        <w:rPr>
          <w:spacing w:val="1"/>
        </w:rPr>
        <w:t> </w:t>
      </w:r>
      <w:r>
        <w:rPr/>
        <w:t>infection,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generation of inflammatory cytokines</w:t>
      </w:r>
      <w:r>
        <w:rPr>
          <w:spacing w:val="1"/>
        </w:rPr>
        <w:t> </w:t>
      </w:r>
      <w:r>
        <w:rPr/>
        <w:t>in Sickle</w:t>
      </w:r>
      <w:r>
        <w:rPr>
          <w:spacing w:val="1"/>
        </w:rPr>
        <w:t> </w:t>
      </w:r>
      <w:r>
        <w:rPr/>
        <w:t>Cell Disease</w:t>
      </w:r>
      <w:r>
        <w:rPr>
          <w:spacing w:val="1"/>
        </w:rPr>
        <w:t> </w:t>
      </w:r>
      <w:r>
        <w:rPr/>
        <w:t>Patients.</w:t>
      </w:r>
      <w:r>
        <w:rPr>
          <w:spacing w:val="1"/>
        </w:rPr>
        <w:t> </w:t>
      </w:r>
      <w:r>
        <w:rPr>
          <w:i/>
        </w:rPr>
        <w:t>Translational</w:t>
      </w:r>
      <w:r>
        <w:rPr>
          <w:i/>
          <w:spacing w:val="1"/>
        </w:rPr>
        <w:t> </w:t>
      </w:r>
      <w:r>
        <w:rPr>
          <w:i/>
        </w:rPr>
        <w:t>Research</w:t>
      </w:r>
      <w:r>
        <w:rPr/>
        <w:t>.</w:t>
      </w:r>
      <w:r>
        <w:rPr>
          <w:spacing w:val="4"/>
        </w:rPr>
        <w:t> </w:t>
      </w:r>
      <w:r>
        <w:rPr/>
        <w:t>152(2):67-80.</w:t>
      </w:r>
    </w:p>
    <w:p>
      <w:pPr>
        <w:pStyle w:val="BodyText"/>
        <w:spacing w:line="357" w:lineRule="auto" w:before="201"/>
        <w:ind w:left="1540" w:right="1439" w:hanging="720"/>
        <w:jc w:val="both"/>
      </w:pPr>
      <w:r>
        <w:rPr/>
        <w:t>Bazuaye, G.N., Nwannadi, A.I., and Olayemi, E.E. (2010). Leg Ulcers in Adult Sickle Cell</w:t>
      </w:r>
      <w:r>
        <w:rPr>
          <w:spacing w:val="1"/>
        </w:rPr>
        <w:t> </w:t>
      </w:r>
      <w:r>
        <w:rPr/>
        <w:t>Disease Patients in Benin City Nigeria. </w:t>
      </w:r>
      <w:r>
        <w:rPr>
          <w:i/>
        </w:rPr>
        <w:t>Gomal Journal of Medical Sciences</w:t>
      </w:r>
      <w:r>
        <w:rPr/>
        <w:t>. 8 (2): 190-</w:t>
      </w:r>
      <w:r>
        <w:rPr>
          <w:spacing w:val="1"/>
        </w:rPr>
        <w:t> </w:t>
      </w:r>
      <w:r>
        <w:rPr/>
        <w:t>194.</w:t>
      </w:r>
    </w:p>
    <w:p>
      <w:pPr>
        <w:pStyle w:val="BodyText"/>
        <w:spacing w:line="355" w:lineRule="auto" w:before="207"/>
        <w:ind w:left="1540" w:right="1441" w:hanging="720"/>
        <w:jc w:val="both"/>
      </w:pPr>
      <w:r>
        <w:rPr/>
        <w:t>Beard,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(2001). Iron Biology in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Function,</w:t>
      </w:r>
      <w:r>
        <w:rPr>
          <w:spacing w:val="1"/>
        </w:rPr>
        <w:t> </w:t>
      </w:r>
      <w:r>
        <w:rPr/>
        <w:t>Muscle</w:t>
      </w:r>
      <w:r>
        <w:rPr>
          <w:spacing w:val="1"/>
        </w:rPr>
        <w:t> </w:t>
      </w:r>
      <w:r>
        <w:rPr/>
        <w:t>Metabolism,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Neuronal</w:t>
      </w:r>
      <w:r>
        <w:rPr>
          <w:spacing w:val="1"/>
        </w:rPr>
        <w:t> </w:t>
      </w:r>
      <w:r>
        <w:rPr/>
        <w:t>Functioning.</w:t>
      </w:r>
      <w:r>
        <w:rPr>
          <w:spacing w:val="4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Nutrition.</w:t>
      </w:r>
      <w:r>
        <w:rPr/>
        <w:t>131</w:t>
      </w:r>
      <w:r>
        <w:rPr>
          <w:spacing w:val="-3"/>
        </w:rPr>
        <w:t> </w:t>
      </w:r>
      <w:r>
        <w:rPr/>
        <w:t>(2</w:t>
      </w:r>
      <w:r>
        <w:rPr>
          <w:spacing w:val="-4"/>
        </w:rPr>
        <w:t> </w:t>
      </w:r>
      <w:r>
        <w:rPr/>
        <w:t>Suppl.</w:t>
      </w:r>
      <w:r>
        <w:rPr>
          <w:spacing w:val="4"/>
        </w:rPr>
        <w:t> </w:t>
      </w:r>
      <w:r>
        <w:rPr/>
        <w:t>2):</w:t>
      </w:r>
      <w:r>
        <w:rPr>
          <w:spacing w:val="2"/>
        </w:rPr>
        <w:t> </w:t>
      </w:r>
      <w:r>
        <w:rPr/>
        <w:t>S568–79.</w:t>
      </w:r>
    </w:p>
    <w:p>
      <w:pPr>
        <w:spacing w:line="360" w:lineRule="auto" w:before="210"/>
        <w:ind w:left="1540" w:right="1437" w:hanging="720"/>
        <w:jc w:val="both"/>
        <w:rPr>
          <w:sz w:val="24"/>
        </w:rPr>
      </w:pPr>
      <w:r>
        <w:rPr>
          <w:sz w:val="24"/>
        </w:rPr>
        <w:t>Belcher,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D.,</w:t>
      </w:r>
      <w:r>
        <w:rPr>
          <w:spacing w:val="1"/>
          <w:sz w:val="24"/>
        </w:rPr>
        <w:t> </w:t>
      </w:r>
      <w:r>
        <w:rPr>
          <w:sz w:val="24"/>
        </w:rPr>
        <w:t>Mahaseth,</w:t>
      </w:r>
      <w:r>
        <w:rPr>
          <w:spacing w:val="1"/>
          <w:sz w:val="24"/>
        </w:rPr>
        <w:t> </w:t>
      </w:r>
      <w:r>
        <w:rPr>
          <w:sz w:val="24"/>
        </w:rPr>
        <w:t>H.,</w:t>
      </w:r>
      <w:r>
        <w:rPr>
          <w:spacing w:val="1"/>
          <w:sz w:val="24"/>
        </w:rPr>
        <w:t> </w:t>
      </w:r>
      <w:r>
        <w:rPr>
          <w:sz w:val="24"/>
        </w:rPr>
        <w:t>Welch,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Vilback,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Critical</w:t>
      </w:r>
      <w:r>
        <w:rPr>
          <w:spacing w:val="1"/>
          <w:sz w:val="24"/>
        </w:rPr>
        <w:t> </w:t>
      </w:r>
      <w:r>
        <w:rPr>
          <w:sz w:val="24"/>
        </w:rPr>
        <w:t>Role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Endothelial</w:t>
      </w:r>
      <w:r>
        <w:rPr>
          <w:spacing w:val="1"/>
          <w:sz w:val="24"/>
        </w:rPr>
        <w:t> </w:t>
      </w:r>
      <w:r>
        <w:rPr>
          <w:sz w:val="24"/>
        </w:rPr>
        <w:t>Cell</w:t>
      </w:r>
      <w:r>
        <w:rPr>
          <w:spacing w:val="1"/>
          <w:sz w:val="24"/>
        </w:rPr>
        <w:t> </w:t>
      </w:r>
      <w:r>
        <w:rPr>
          <w:sz w:val="24"/>
        </w:rPr>
        <w:t>Activation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Hypoxia-induced</w:t>
      </w:r>
      <w:r>
        <w:rPr>
          <w:spacing w:val="1"/>
          <w:sz w:val="24"/>
        </w:rPr>
        <w:t> </w:t>
      </w:r>
      <w:r>
        <w:rPr>
          <w:sz w:val="24"/>
        </w:rPr>
        <w:t>Vaso-occlusion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transgenic</w:t>
      </w:r>
      <w:r>
        <w:rPr>
          <w:spacing w:val="1"/>
          <w:sz w:val="24"/>
        </w:rPr>
        <w:t> </w:t>
      </w:r>
      <w:r>
        <w:rPr>
          <w:sz w:val="24"/>
        </w:rPr>
        <w:t>Sickle</w:t>
      </w:r>
      <w:r>
        <w:rPr>
          <w:spacing w:val="-57"/>
          <w:sz w:val="24"/>
        </w:rPr>
        <w:t> </w:t>
      </w:r>
      <w:r>
        <w:rPr>
          <w:sz w:val="24"/>
        </w:rPr>
        <w:t>Mice. </w:t>
      </w:r>
      <w:r>
        <w:rPr>
          <w:i/>
          <w:sz w:val="24"/>
        </w:rPr>
        <w:t>American Journal of Physiology - Heart and Circulatory Physiol</w:t>
      </w:r>
      <w:r>
        <w:rPr>
          <w:sz w:val="24"/>
        </w:rPr>
        <w:t>ogy. 288: 2715-</w:t>
      </w:r>
      <w:r>
        <w:rPr>
          <w:spacing w:val="1"/>
          <w:sz w:val="24"/>
        </w:rPr>
        <w:t> </w:t>
      </w:r>
      <w:r>
        <w:rPr>
          <w:sz w:val="24"/>
        </w:rPr>
        <w:t>2725.</w:t>
      </w:r>
    </w:p>
    <w:p>
      <w:pPr>
        <w:spacing w:line="357" w:lineRule="auto" w:before="202"/>
        <w:ind w:left="1540" w:right="1436" w:hanging="720"/>
        <w:jc w:val="both"/>
        <w:rPr>
          <w:sz w:val="24"/>
        </w:rPr>
      </w:pPr>
      <w:r>
        <w:rPr>
          <w:sz w:val="24"/>
        </w:rPr>
        <w:t>Bettger, W.J., Fis, T.J., and O’Dell, B.L. (1978). Effects of Copper and Zinc status of Rats on</w:t>
      </w:r>
      <w:r>
        <w:rPr>
          <w:spacing w:val="1"/>
          <w:sz w:val="24"/>
        </w:rPr>
        <w:t> </w:t>
      </w:r>
      <w:r>
        <w:rPr>
          <w:sz w:val="24"/>
        </w:rPr>
        <w:t>Erythrocyte Stability and Superoxide Dismutase Activity. </w:t>
      </w:r>
      <w:r>
        <w:rPr>
          <w:i/>
          <w:sz w:val="24"/>
        </w:rPr>
        <w:t>Proceedings of the Society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Medicine. </w:t>
      </w:r>
      <w:r>
        <w:rPr>
          <w:sz w:val="24"/>
        </w:rPr>
        <w:t>158:279-82.</w:t>
      </w:r>
    </w:p>
    <w:p>
      <w:pPr>
        <w:pStyle w:val="BodyText"/>
        <w:spacing w:before="206"/>
        <w:ind w:left="820"/>
      </w:pPr>
      <w:r>
        <w:rPr/>
        <w:t>Bhan,</w:t>
      </w:r>
      <w:r>
        <w:rPr>
          <w:spacing w:val="57"/>
        </w:rPr>
        <w:t> </w:t>
      </w:r>
      <w:r>
        <w:rPr/>
        <w:t>M.K.,</w:t>
      </w:r>
      <w:r>
        <w:rPr>
          <w:spacing w:val="57"/>
        </w:rPr>
        <w:t> </w:t>
      </w:r>
      <w:r>
        <w:rPr/>
        <w:t>Sommerfelt,</w:t>
      </w:r>
      <w:r>
        <w:rPr>
          <w:spacing w:val="57"/>
        </w:rPr>
        <w:t> </w:t>
      </w:r>
      <w:r>
        <w:rPr/>
        <w:t>H.,</w:t>
      </w:r>
      <w:r>
        <w:rPr>
          <w:spacing w:val="57"/>
        </w:rPr>
        <w:t> </w:t>
      </w:r>
      <w:r>
        <w:rPr/>
        <w:t>and</w:t>
      </w:r>
      <w:r>
        <w:rPr>
          <w:spacing w:val="54"/>
        </w:rPr>
        <w:t> </w:t>
      </w:r>
      <w:r>
        <w:rPr/>
        <w:t>Strand,</w:t>
      </w:r>
      <w:r>
        <w:rPr>
          <w:spacing w:val="57"/>
        </w:rPr>
        <w:t> </w:t>
      </w:r>
      <w:r>
        <w:rPr/>
        <w:t>T.</w:t>
      </w:r>
      <w:r>
        <w:rPr>
          <w:spacing w:val="57"/>
        </w:rPr>
        <w:t> </w:t>
      </w:r>
      <w:r>
        <w:rPr/>
        <w:t>(2001).</w:t>
      </w:r>
      <w:r>
        <w:rPr>
          <w:spacing w:val="57"/>
        </w:rPr>
        <w:t> </w:t>
      </w:r>
      <w:r>
        <w:rPr/>
        <w:t>Micronutrient</w:t>
      </w:r>
      <w:r>
        <w:rPr>
          <w:spacing w:val="60"/>
        </w:rPr>
        <w:t> </w:t>
      </w:r>
      <w:r>
        <w:rPr/>
        <w:t>Deficiency</w:t>
      </w:r>
      <w:r>
        <w:rPr>
          <w:spacing w:val="55"/>
        </w:rPr>
        <w:t> </w:t>
      </w:r>
      <w:r>
        <w:rPr/>
        <w:t>in</w:t>
      </w:r>
      <w:r>
        <w:rPr>
          <w:spacing w:val="59"/>
        </w:rPr>
        <w:t> </w:t>
      </w:r>
      <w:r>
        <w:rPr/>
        <w:t>Children.</w:t>
      </w:r>
    </w:p>
    <w:p>
      <w:pPr>
        <w:spacing w:before="132"/>
        <w:ind w:left="1540" w:right="0" w:firstLine="0"/>
        <w:jc w:val="left"/>
        <w:rPr>
          <w:sz w:val="24"/>
        </w:rPr>
      </w:pPr>
      <w:r>
        <w:rPr>
          <w:i/>
          <w:sz w:val="24"/>
        </w:rPr>
        <w:t>British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Nutrition</w:t>
      </w:r>
      <w:r>
        <w:rPr>
          <w:sz w:val="24"/>
        </w:rPr>
        <w:t>.</w:t>
      </w:r>
      <w:r>
        <w:rPr>
          <w:spacing w:val="-4"/>
          <w:sz w:val="24"/>
        </w:rPr>
        <w:t> </w:t>
      </w:r>
      <w:r>
        <w:rPr>
          <w:sz w:val="24"/>
        </w:rPr>
        <w:t>85(2):S199-S203.</w:t>
      </w:r>
    </w:p>
    <w:p>
      <w:pPr>
        <w:pStyle w:val="BodyText"/>
        <w:spacing w:before="10"/>
        <w:rPr>
          <w:sz w:val="29"/>
        </w:rPr>
      </w:pPr>
    </w:p>
    <w:p>
      <w:pPr>
        <w:spacing w:line="360" w:lineRule="auto" w:before="0"/>
        <w:ind w:left="1540" w:right="1445" w:hanging="720"/>
        <w:jc w:val="both"/>
        <w:rPr>
          <w:sz w:val="24"/>
        </w:rPr>
      </w:pPr>
      <w:r>
        <w:rPr>
          <w:sz w:val="24"/>
        </w:rPr>
        <w:t>Black,</w:t>
      </w:r>
      <w:r>
        <w:rPr>
          <w:spacing w:val="1"/>
          <w:sz w:val="24"/>
        </w:rPr>
        <w:t> </w:t>
      </w:r>
      <w:r>
        <w:rPr>
          <w:sz w:val="24"/>
        </w:rPr>
        <w:t>R.E.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sz w:val="24"/>
        </w:rPr>
        <w:t>Micronutrient</w:t>
      </w:r>
      <w:r>
        <w:rPr>
          <w:spacing w:val="1"/>
          <w:sz w:val="24"/>
        </w:rPr>
        <w:t> </w:t>
      </w:r>
      <w:r>
        <w:rPr>
          <w:sz w:val="24"/>
        </w:rPr>
        <w:t>Deficiency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underlying</w:t>
      </w:r>
      <w:r>
        <w:rPr>
          <w:spacing w:val="1"/>
          <w:sz w:val="24"/>
        </w:rPr>
        <w:t> </w:t>
      </w:r>
      <w:r>
        <w:rPr>
          <w:sz w:val="24"/>
        </w:rPr>
        <w:t>cause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Morbidity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Mortality.</w:t>
      </w:r>
      <w:r>
        <w:rPr>
          <w:i/>
          <w:sz w:val="24"/>
        </w:rPr>
        <w:t>Bulletin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Organisation.</w:t>
      </w:r>
      <w:r>
        <w:rPr>
          <w:i/>
          <w:spacing w:val="9"/>
          <w:sz w:val="24"/>
        </w:rPr>
        <w:t> </w:t>
      </w:r>
      <w:r>
        <w:rPr>
          <w:sz w:val="24"/>
        </w:rPr>
        <w:t>81:2.</w:t>
      </w:r>
    </w:p>
    <w:p>
      <w:pPr>
        <w:pStyle w:val="BodyText"/>
        <w:spacing w:line="357" w:lineRule="auto" w:before="204"/>
        <w:ind w:left="1540" w:right="1438" w:hanging="720"/>
        <w:jc w:val="both"/>
      </w:pPr>
      <w:r>
        <w:rPr/>
        <w:t>Blann,</w:t>
      </w:r>
      <w:r>
        <w:rPr>
          <w:spacing w:val="1"/>
        </w:rPr>
        <w:t> </w:t>
      </w:r>
      <w:r>
        <w:rPr/>
        <w:t>A.D., Marwah, S., and Serjeant, G. (2003). Platelet Activation and Endothelial Cell</w:t>
      </w:r>
      <w:r>
        <w:rPr>
          <w:spacing w:val="1"/>
        </w:rPr>
        <w:t> </w:t>
      </w:r>
      <w:r>
        <w:rPr/>
        <w:t>Dysfunction in Sickle Cell Disease is unrelated to reduced Antioxidant Capacity. </w:t>
      </w:r>
      <w:r>
        <w:rPr>
          <w:i/>
        </w:rPr>
        <w:t>Blood</w:t>
      </w:r>
      <w:r>
        <w:rPr>
          <w:i/>
          <w:spacing w:val="1"/>
        </w:rPr>
        <w:t> </w:t>
      </w:r>
      <w:r>
        <w:rPr>
          <w:i/>
        </w:rPr>
        <w:t>Coagulation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2"/>
        </w:rPr>
        <w:t> </w:t>
      </w:r>
      <w:r>
        <w:rPr>
          <w:i/>
        </w:rPr>
        <w:t>Fibrinolysis</w:t>
      </w:r>
      <w:r>
        <w:rPr/>
        <w:t>.14:255-259.</w:t>
      </w:r>
    </w:p>
    <w:p>
      <w:pPr>
        <w:spacing w:line="355" w:lineRule="auto" w:before="206"/>
        <w:ind w:left="1540" w:right="1445" w:hanging="720"/>
        <w:jc w:val="both"/>
        <w:rPr>
          <w:sz w:val="24"/>
        </w:rPr>
      </w:pPr>
      <w:r>
        <w:rPr>
          <w:sz w:val="24"/>
        </w:rPr>
        <w:t>Branca,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Ferrari,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(2002).</w:t>
      </w:r>
      <w:r>
        <w:rPr>
          <w:spacing w:val="1"/>
          <w:sz w:val="24"/>
        </w:rPr>
        <w:t> </w:t>
      </w:r>
      <w:r>
        <w:rPr>
          <w:sz w:val="24"/>
        </w:rPr>
        <w:t>Impact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Micronutrient</w:t>
      </w:r>
      <w:r>
        <w:rPr>
          <w:spacing w:val="1"/>
          <w:sz w:val="24"/>
        </w:rPr>
        <w:t> </w:t>
      </w:r>
      <w:r>
        <w:rPr>
          <w:sz w:val="24"/>
        </w:rPr>
        <w:t>Deficiencies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Growth: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Stunting</w:t>
      </w:r>
      <w:r>
        <w:rPr>
          <w:spacing w:val="1"/>
          <w:sz w:val="24"/>
        </w:rPr>
        <w:t> </w:t>
      </w:r>
      <w:r>
        <w:rPr>
          <w:sz w:val="24"/>
        </w:rPr>
        <w:t>Syndrome.</w:t>
      </w:r>
      <w:r>
        <w:rPr>
          <w:spacing w:val="4"/>
          <w:sz w:val="24"/>
        </w:rPr>
        <w:t> </w:t>
      </w:r>
      <w:r>
        <w:rPr>
          <w:i/>
          <w:sz w:val="24"/>
        </w:rPr>
        <w:t>Annals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Nutrition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Metabolism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46(suppl</w:t>
      </w:r>
      <w:r>
        <w:rPr>
          <w:spacing w:val="-8"/>
          <w:sz w:val="24"/>
        </w:rPr>
        <w:t> </w:t>
      </w:r>
      <w:r>
        <w:rPr>
          <w:sz w:val="24"/>
        </w:rPr>
        <w:t>1):8–17.</w:t>
      </w:r>
    </w:p>
    <w:p>
      <w:pPr>
        <w:spacing w:line="355" w:lineRule="auto" w:before="211"/>
        <w:ind w:left="1540" w:right="1444" w:hanging="720"/>
        <w:jc w:val="both"/>
        <w:rPr>
          <w:sz w:val="24"/>
        </w:rPr>
      </w:pPr>
      <w:r>
        <w:rPr>
          <w:sz w:val="24"/>
        </w:rPr>
        <w:t>Brewer, G.J., and Oelshlegel Jr., F.J. (1974). Antisickling effects of Zinc. </w:t>
      </w:r>
      <w:r>
        <w:rPr>
          <w:i/>
          <w:sz w:val="24"/>
        </w:rPr>
        <w:t>Biochemical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Biophysical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Communications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58(3):854-861.</w:t>
      </w:r>
    </w:p>
    <w:p>
      <w:pPr>
        <w:spacing w:after="0" w:line="355" w:lineRule="auto"/>
        <w:jc w:val="both"/>
        <w:rPr>
          <w:sz w:val="24"/>
        </w:rPr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57" w:lineRule="auto" w:before="72"/>
        <w:ind w:left="1540" w:right="1441" w:hanging="720"/>
        <w:jc w:val="both"/>
      </w:pPr>
      <w:r>
        <w:rPr/>
        <w:t>Brichard, B., Vermylen, C., Ninane, J., and Cornu G. (1996). Persistence of Foetal Haemoglobin</w:t>
      </w:r>
      <w:r>
        <w:rPr>
          <w:spacing w:val="1"/>
        </w:rPr>
        <w:t> </w:t>
      </w:r>
      <w:r>
        <w:rPr/>
        <w:t>Production after successful transplantation of Cord Blood Stem Cells in a Patient with</w:t>
      </w:r>
      <w:r>
        <w:rPr>
          <w:spacing w:val="1"/>
        </w:rPr>
        <w:t> </w:t>
      </w:r>
      <w:r>
        <w:rPr/>
        <w:t>Sickle Cell</w:t>
      </w:r>
      <w:r>
        <w:rPr>
          <w:spacing w:val="-3"/>
        </w:rPr>
        <w:t> </w:t>
      </w:r>
      <w:r>
        <w:rPr/>
        <w:t>Anaemia.</w:t>
      </w:r>
      <w:r>
        <w:rPr>
          <w:spacing w:val="5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Paediatr</w:t>
      </w:r>
      <w:r>
        <w:rPr/>
        <w:t>ics.</w:t>
      </w:r>
      <w:r>
        <w:rPr>
          <w:spacing w:val="3"/>
        </w:rPr>
        <w:t> </w:t>
      </w:r>
      <w:r>
        <w:rPr/>
        <w:t>128:241-3.</w:t>
      </w:r>
    </w:p>
    <w:p>
      <w:pPr>
        <w:spacing w:line="360" w:lineRule="auto" w:before="206"/>
        <w:ind w:left="1540" w:right="1438" w:hanging="720"/>
        <w:jc w:val="both"/>
        <w:rPr>
          <w:sz w:val="24"/>
        </w:rPr>
      </w:pPr>
      <w:r>
        <w:rPr>
          <w:sz w:val="24"/>
        </w:rPr>
        <w:t>Brown, D.L., and Sebes, J.I. (1986). Sickle Cell Gnathopahthy: Radiologic Assessment. </w:t>
      </w:r>
      <w:r>
        <w:rPr>
          <w:i/>
          <w:sz w:val="24"/>
        </w:rPr>
        <w:t>Oral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Surgery,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Oral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Pathol</w:t>
      </w:r>
      <w:r>
        <w:rPr>
          <w:sz w:val="24"/>
        </w:rPr>
        <w:t>ogy.</w:t>
      </w:r>
      <w:r>
        <w:rPr>
          <w:spacing w:val="3"/>
          <w:sz w:val="24"/>
        </w:rPr>
        <w:t> </w:t>
      </w:r>
      <w:r>
        <w:rPr>
          <w:sz w:val="24"/>
        </w:rPr>
        <w:t>61(6):653-6.</w:t>
      </w:r>
    </w:p>
    <w:p>
      <w:pPr>
        <w:spacing w:line="357" w:lineRule="auto" w:before="204"/>
        <w:ind w:left="1540" w:right="1441" w:hanging="720"/>
        <w:jc w:val="both"/>
        <w:rPr>
          <w:sz w:val="24"/>
        </w:rPr>
      </w:pPr>
      <w:r>
        <w:rPr>
          <w:sz w:val="24"/>
        </w:rPr>
        <w:t>Brown,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H. (1998). Effect</w:t>
      </w:r>
      <w:r>
        <w:rPr>
          <w:spacing w:val="1"/>
          <w:sz w:val="24"/>
        </w:rPr>
        <w:t> </w:t>
      </w:r>
      <w:r>
        <w:rPr>
          <w:sz w:val="24"/>
        </w:rPr>
        <w:t>of Infections on Plasma Zinc</w:t>
      </w:r>
      <w:r>
        <w:rPr>
          <w:spacing w:val="1"/>
          <w:sz w:val="24"/>
        </w:rPr>
        <w:t> </w:t>
      </w:r>
      <w:r>
        <w:rPr>
          <w:sz w:val="24"/>
        </w:rPr>
        <w:t>concentration and</w:t>
      </w:r>
      <w:r>
        <w:rPr>
          <w:spacing w:val="1"/>
          <w:sz w:val="24"/>
        </w:rPr>
        <w:t> </w:t>
      </w:r>
      <w:r>
        <w:rPr>
          <w:sz w:val="24"/>
        </w:rPr>
        <w:t>implications</w:t>
      </w:r>
      <w:r>
        <w:rPr>
          <w:spacing w:val="60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Zinc</w:t>
      </w:r>
      <w:r>
        <w:rPr>
          <w:spacing w:val="1"/>
          <w:sz w:val="24"/>
        </w:rPr>
        <w:t> </w:t>
      </w:r>
      <w:r>
        <w:rPr>
          <w:sz w:val="24"/>
        </w:rPr>
        <w:t>Status</w:t>
      </w:r>
      <w:r>
        <w:rPr>
          <w:spacing w:val="1"/>
          <w:sz w:val="24"/>
        </w:rPr>
        <w:t> </w:t>
      </w:r>
      <w:r>
        <w:rPr>
          <w:sz w:val="24"/>
        </w:rPr>
        <w:t>Assessment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low-income</w:t>
      </w:r>
      <w:r>
        <w:rPr>
          <w:spacing w:val="1"/>
          <w:sz w:val="24"/>
        </w:rPr>
        <w:t> </w:t>
      </w:r>
      <w:r>
        <w:rPr>
          <w:sz w:val="24"/>
        </w:rPr>
        <w:t>Countries.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Nutrition.</w:t>
      </w:r>
      <w:r>
        <w:rPr>
          <w:i/>
          <w:spacing w:val="4"/>
          <w:sz w:val="24"/>
        </w:rPr>
        <w:t> </w:t>
      </w:r>
      <w:r>
        <w:rPr>
          <w:sz w:val="24"/>
        </w:rPr>
        <w:t>68:425–429.</w:t>
      </w:r>
    </w:p>
    <w:p>
      <w:pPr>
        <w:pStyle w:val="BodyText"/>
        <w:spacing w:line="357" w:lineRule="auto" w:before="206"/>
        <w:ind w:left="1540" w:right="1435" w:hanging="720"/>
        <w:jc w:val="both"/>
      </w:pPr>
      <w:r>
        <w:rPr/>
        <w:t>Brown, K. H., Peerson J.M., Rivera J., and</w:t>
      </w:r>
      <w:r>
        <w:rPr>
          <w:spacing w:val="1"/>
        </w:rPr>
        <w:t> </w:t>
      </w:r>
      <w:r>
        <w:rPr/>
        <w:t>Allen L.H. (2002).</w:t>
      </w:r>
      <w:r>
        <w:rPr>
          <w:spacing w:val="1"/>
        </w:rPr>
        <w:t> </w:t>
      </w:r>
      <w:r>
        <w:rPr/>
        <w:t>Effect</w:t>
      </w:r>
      <w:r>
        <w:rPr>
          <w:spacing w:val="60"/>
        </w:rPr>
        <w:t> </w:t>
      </w:r>
      <w:r>
        <w:rPr/>
        <w:t>of Supplemental Zinc on</w:t>
      </w:r>
      <w:r>
        <w:rPr>
          <w:spacing w:val="1"/>
        </w:rPr>
        <w:t> </w:t>
      </w:r>
      <w:r>
        <w:rPr/>
        <w:t>the Growth and Serum Zinc Concentrations of Prepubertal Children: A Meta-Analysis of</w:t>
      </w:r>
      <w:r>
        <w:rPr>
          <w:spacing w:val="1"/>
        </w:rPr>
        <w:t> </w:t>
      </w:r>
      <w:r>
        <w:rPr/>
        <w:t>Randomized</w:t>
      </w:r>
      <w:r>
        <w:rPr>
          <w:spacing w:val="-3"/>
        </w:rPr>
        <w:t> </w:t>
      </w:r>
      <w:r>
        <w:rPr/>
        <w:t>Controlled</w:t>
      </w:r>
      <w:r>
        <w:rPr>
          <w:spacing w:val="-2"/>
        </w:rPr>
        <w:t> </w:t>
      </w:r>
      <w:r>
        <w:rPr/>
        <w:t>Trials.</w:t>
      </w:r>
      <w:r>
        <w:rPr>
          <w:spacing w:val="2"/>
        </w:rPr>
        <w:t> </w:t>
      </w:r>
      <w:r>
        <w:rPr>
          <w:i/>
        </w:rPr>
        <w:t>American</w:t>
      </w:r>
      <w:r>
        <w:rPr>
          <w:i/>
          <w:spacing w:val="-2"/>
        </w:rPr>
        <w:t> </w:t>
      </w:r>
      <w:r>
        <w:rPr>
          <w:i/>
        </w:rPr>
        <w:t>Journal</w:t>
      </w:r>
      <w:r>
        <w:rPr>
          <w:i/>
          <w:spacing w:val="-2"/>
        </w:rPr>
        <w:t> </w:t>
      </w:r>
      <w:r>
        <w:rPr>
          <w:i/>
        </w:rPr>
        <w:t>of</w:t>
      </w:r>
      <w:r>
        <w:rPr>
          <w:i/>
          <w:spacing w:val="-2"/>
        </w:rPr>
        <w:t> </w:t>
      </w:r>
      <w:r>
        <w:rPr>
          <w:i/>
        </w:rPr>
        <w:t>Clinical</w:t>
      </w:r>
      <w:r>
        <w:rPr>
          <w:i/>
          <w:spacing w:val="-2"/>
        </w:rPr>
        <w:t> </w:t>
      </w:r>
      <w:r>
        <w:rPr>
          <w:i/>
        </w:rPr>
        <w:t>Nutrition</w:t>
      </w:r>
      <w:r>
        <w:rPr>
          <w:i/>
          <w:spacing w:val="2"/>
        </w:rPr>
        <w:t> </w:t>
      </w:r>
      <w:r>
        <w:rPr/>
        <w:t>75</w:t>
      </w:r>
      <w:r>
        <w:rPr>
          <w:spacing w:val="-7"/>
        </w:rPr>
        <w:t> </w:t>
      </w:r>
      <w:r>
        <w:rPr/>
        <w:t>(6):</w:t>
      </w:r>
      <w:r>
        <w:rPr>
          <w:spacing w:val="-2"/>
        </w:rPr>
        <w:t> </w:t>
      </w:r>
      <w:r>
        <w:rPr/>
        <w:t>1062–71.</w:t>
      </w:r>
    </w:p>
    <w:p>
      <w:pPr>
        <w:pStyle w:val="BodyText"/>
        <w:spacing w:line="360" w:lineRule="auto" w:before="207"/>
        <w:ind w:left="1540" w:right="1438" w:hanging="720"/>
        <w:jc w:val="both"/>
      </w:pPr>
      <w:r>
        <w:rPr/>
        <w:t>Brugnara,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Franceschi,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Alper,</w:t>
      </w:r>
      <w:r>
        <w:rPr>
          <w:spacing w:val="1"/>
        </w:rPr>
        <w:t> </w:t>
      </w:r>
      <w:r>
        <w:rPr/>
        <w:t>S.L.</w:t>
      </w:r>
      <w:r>
        <w:rPr>
          <w:spacing w:val="1"/>
        </w:rPr>
        <w:t> </w:t>
      </w:r>
      <w:r>
        <w:rPr/>
        <w:t>(1993). Ca</w:t>
      </w:r>
      <w:r>
        <w:rPr>
          <w:vertAlign w:val="superscript"/>
        </w:rPr>
        <w:t>2+</w:t>
      </w:r>
      <w:r>
        <w:rPr>
          <w:vertAlign w:val="baseline"/>
        </w:rPr>
        <w:t>-activated</w:t>
      </w:r>
      <w:r>
        <w:rPr>
          <w:spacing w:val="1"/>
          <w:vertAlign w:val="baseline"/>
        </w:rPr>
        <w:t> </w:t>
      </w:r>
      <w:r>
        <w:rPr>
          <w:vertAlign w:val="baseline"/>
        </w:rPr>
        <w:t>K</w:t>
      </w:r>
      <w:r>
        <w:rPr>
          <w:vertAlign w:val="superscript"/>
        </w:rPr>
        <w:t>+</w:t>
      </w:r>
      <w:r>
        <w:rPr>
          <w:vertAlign w:val="baseline"/>
        </w:rPr>
        <w:t> transport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erythrocytes.</w:t>
      </w:r>
      <w:r>
        <w:rPr>
          <w:spacing w:val="61"/>
          <w:vertAlign w:val="baseline"/>
        </w:rPr>
        <w:t> </w:t>
      </w:r>
      <w:r>
        <w:rPr>
          <w:vertAlign w:val="baseline"/>
        </w:rPr>
        <w:t>Comparison  </w:t>
      </w:r>
      <w:r>
        <w:rPr>
          <w:spacing w:val="1"/>
          <w:vertAlign w:val="baseline"/>
        </w:rPr>
        <w:t> </w:t>
      </w:r>
      <w:r>
        <w:rPr>
          <w:vertAlign w:val="baseline"/>
        </w:rPr>
        <w:t>of  </w:t>
      </w:r>
      <w:r>
        <w:rPr>
          <w:spacing w:val="1"/>
          <w:vertAlign w:val="baseline"/>
        </w:rPr>
        <w:t> </w:t>
      </w:r>
      <w:r>
        <w:rPr>
          <w:vertAlign w:val="baseline"/>
        </w:rPr>
        <w:t>binding  </w:t>
      </w:r>
      <w:r>
        <w:rPr>
          <w:spacing w:val="1"/>
          <w:vertAlign w:val="baseline"/>
        </w:rPr>
        <w:t> </w:t>
      </w:r>
      <w:r>
        <w:rPr>
          <w:vertAlign w:val="baseline"/>
        </w:rPr>
        <w:t>and  </w:t>
      </w:r>
      <w:r>
        <w:rPr>
          <w:spacing w:val="1"/>
          <w:vertAlign w:val="baseline"/>
        </w:rPr>
        <w:t> </w:t>
      </w:r>
      <w:r>
        <w:rPr>
          <w:vertAlign w:val="baseline"/>
        </w:rPr>
        <w:t>transport  </w:t>
      </w:r>
      <w:r>
        <w:rPr>
          <w:spacing w:val="1"/>
          <w:vertAlign w:val="baseline"/>
        </w:rPr>
        <w:t> </w:t>
      </w:r>
      <w:r>
        <w:rPr>
          <w:vertAlign w:val="baseline"/>
        </w:rPr>
        <w:t>inhibition  </w:t>
      </w:r>
      <w:r>
        <w:rPr>
          <w:spacing w:val="1"/>
          <w:vertAlign w:val="baseline"/>
        </w:rPr>
        <w:t> </w:t>
      </w:r>
      <w:r>
        <w:rPr>
          <w:vertAlign w:val="baseline"/>
        </w:rPr>
        <w:t>by  </w:t>
      </w:r>
      <w:r>
        <w:rPr>
          <w:spacing w:val="1"/>
          <w:vertAlign w:val="baseline"/>
        </w:rPr>
        <w:t> </w:t>
      </w:r>
      <w:r>
        <w:rPr>
          <w:vertAlign w:val="baseline"/>
        </w:rPr>
        <w:t>Scorpion</w:t>
      </w:r>
      <w:r>
        <w:rPr>
          <w:spacing w:val="1"/>
          <w:vertAlign w:val="baseline"/>
        </w:rPr>
        <w:t> </w:t>
      </w:r>
      <w:r>
        <w:rPr>
          <w:vertAlign w:val="baseline"/>
        </w:rPr>
        <w:t>Toxins.</w:t>
      </w:r>
      <w:r>
        <w:rPr>
          <w:spacing w:val="4"/>
          <w:vertAlign w:val="baseline"/>
        </w:rPr>
        <w:t> </w:t>
      </w:r>
      <w:r>
        <w:rPr>
          <w:i/>
          <w:vertAlign w:val="baseline"/>
        </w:rPr>
        <w:t>Journal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of</w:t>
      </w:r>
      <w:r>
        <w:rPr>
          <w:i/>
          <w:spacing w:val="2"/>
          <w:vertAlign w:val="baseline"/>
        </w:rPr>
        <w:t> </w:t>
      </w:r>
      <w:r>
        <w:rPr>
          <w:i/>
          <w:vertAlign w:val="baseline"/>
        </w:rPr>
        <w:t>Biological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Chemistry.</w:t>
      </w:r>
      <w:r>
        <w:rPr>
          <w:i/>
          <w:spacing w:val="6"/>
          <w:vertAlign w:val="baseline"/>
        </w:rPr>
        <w:t> </w:t>
      </w:r>
      <w:r>
        <w:rPr>
          <w:vertAlign w:val="baseline"/>
        </w:rPr>
        <w:t>268:</w:t>
      </w:r>
      <w:r>
        <w:rPr>
          <w:spacing w:val="1"/>
          <w:vertAlign w:val="baseline"/>
        </w:rPr>
        <w:t> </w:t>
      </w:r>
      <w:r>
        <w:rPr>
          <w:vertAlign w:val="baseline"/>
        </w:rPr>
        <w:t>8760–8768.</w:t>
      </w:r>
    </w:p>
    <w:p>
      <w:pPr>
        <w:pStyle w:val="BodyText"/>
        <w:spacing w:before="203"/>
        <w:ind w:left="820"/>
        <w:jc w:val="both"/>
      </w:pPr>
      <w:r>
        <w:rPr/>
        <w:t>Bruno,</w:t>
      </w:r>
      <w:r>
        <w:rPr>
          <w:spacing w:val="114"/>
        </w:rPr>
        <w:t> </w:t>
      </w:r>
      <w:r>
        <w:rPr/>
        <w:t>D.,</w:t>
      </w:r>
      <w:r>
        <w:rPr>
          <w:spacing w:val="114"/>
        </w:rPr>
        <w:t> </w:t>
      </w:r>
      <w:r>
        <w:rPr/>
        <w:t>Wigfall,</w:t>
      </w:r>
      <w:r>
        <w:rPr>
          <w:spacing w:val="120"/>
        </w:rPr>
        <w:t> </w:t>
      </w:r>
      <w:r>
        <w:rPr/>
        <w:t>D.R.,</w:t>
      </w:r>
      <w:r>
        <w:rPr>
          <w:spacing w:val="114"/>
        </w:rPr>
        <w:t> </w:t>
      </w:r>
      <w:r>
        <w:rPr/>
        <w:t>Zimmerman,</w:t>
      </w:r>
      <w:r>
        <w:rPr>
          <w:spacing w:val="115"/>
        </w:rPr>
        <w:t> </w:t>
      </w:r>
      <w:r>
        <w:rPr/>
        <w:t>S.A.,</w:t>
      </w:r>
      <w:r>
        <w:rPr>
          <w:spacing w:val="114"/>
        </w:rPr>
        <w:t> </w:t>
      </w:r>
      <w:r>
        <w:rPr/>
        <w:t>Rosoff,</w:t>
      </w:r>
      <w:r>
        <w:rPr>
          <w:spacing w:val="115"/>
        </w:rPr>
        <w:t> </w:t>
      </w:r>
      <w:r>
        <w:rPr/>
        <w:t>P.M.,</w:t>
      </w:r>
      <w:r>
        <w:rPr>
          <w:spacing w:val="114"/>
        </w:rPr>
        <w:t> </w:t>
      </w:r>
      <w:r>
        <w:rPr/>
        <w:t>and</w:t>
      </w:r>
      <w:r>
        <w:rPr>
          <w:spacing w:val="63"/>
        </w:rPr>
        <w:t> </w:t>
      </w:r>
      <w:r>
        <w:rPr/>
        <w:t>Wiener,</w:t>
      </w:r>
      <w:r>
        <w:rPr>
          <w:spacing w:val="115"/>
        </w:rPr>
        <w:t> </w:t>
      </w:r>
      <w:r>
        <w:rPr/>
        <w:t>J.S.</w:t>
      </w:r>
      <w:r>
        <w:rPr>
          <w:spacing w:val="114"/>
        </w:rPr>
        <w:t> </w:t>
      </w:r>
      <w:r>
        <w:rPr/>
        <w:t>(2001).</w:t>
      </w:r>
    </w:p>
    <w:p>
      <w:pPr>
        <w:spacing w:before="132"/>
        <w:ind w:left="1540" w:right="0" w:firstLine="0"/>
        <w:jc w:val="both"/>
        <w:rPr>
          <w:sz w:val="24"/>
        </w:rPr>
      </w:pPr>
      <w:r>
        <w:rPr>
          <w:sz w:val="24"/>
        </w:rPr>
        <w:t>Genitourinary</w:t>
      </w:r>
      <w:r>
        <w:rPr>
          <w:spacing w:val="-11"/>
          <w:sz w:val="24"/>
        </w:rPr>
        <w:t> </w:t>
      </w:r>
      <w:r>
        <w:rPr>
          <w:sz w:val="24"/>
        </w:rPr>
        <w:t>Complications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Sickle</w:t>
      </w:r>
      <w:r>
        <w:rPr>
          <w:spacing w:val="-2"/>
          <w:sz w:val="24"/>
        </w:rPr>
        <w:t> </w:t>
      </w:r>
      <w:r>
        <w:rPr>
          <w:sz w:val="24"/>
        </w:rPr>
        <w:t>Cell</w:t>
      </w:r>
      <w:r>
        <w:rPr>
          <w:spacing w:val="-5"/>
          <w:sz w:val="24"/>
        </w:rPr>
        <w:t> </w:t>
      </w:r>
      <w:r>
        <w:rPr>
          <w:sz w:val="24"/>
        </w:rPr>
        <w:t>Disease.</w:t>
      </w:r>
      <w:r>
        <w:rPr>
          <w:spacing w:val="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Urology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166:803-11.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5" w:lineRule="auto" w:before="1"/>
        <w:ind w:left="1540" w:right="1439" w:hanging="720"/>
        <w:jc w:val="both"/>
      </w:pPr>
      <w:r>
        <w:rPr/>
        <w:t>Bunn, H. F. (1999). Induction of Foetal Haemoglobin in Sickle Cell Disease. </w:t>
      </w:r>
      <w:r>
        <w:rPr>
          <w:i/>
        </w:rPr>
        <w:t>Blood</w:t>
      </w:r>
      <w:r>
        <w:rPr/>
        <w:t>. 93:1787-</w:t>
      </w:r>
      <w:r>
        <w:rPr>
          <w:spacing w:val="1"/>
        </w:rPr>
        <w:t> </w:t>
      </w:r>
      <w:r>
        <w:rPr/>
        <w:t>1789.</w:t>
      </w:r>
    </w:p>
    <w:p>
      <w:pPr>
        <w:spacing w:line="355" w:lineRule="auto" w:before="210"/>
        <w:ind w:left="1540" w:right="1436" w:hanging="720"/>
        <w:jc w:val="both"/>
        <w:rPr>
          <w:sz w:val="24"/>
        </w:rPr>
      </w:pPr>
      <w:r>
        <w:rPr>
          <w:sz w:val="24"/>
        </w:rPr>
        <w:t>Carmel, R., Weiner, J.M., and Johnson, C.S. (1984). Iron deficiency occurs frequently in Patients</w:t>
      </w:r>
      <w:r>
        <w:rPr>
          <w:spacing w:val="-57"/>
          <w:sz w:val="24"/>
        </w:rPr>
        <w:t> </w:t>
      </w:r>
      <w:r>
        <w:rPr>
          <w:sz w:val="24"/>
        </w:rPr>
        <w:t>with</w:t>
      </w:r>
      <w:r>
        <w:rPr>
          <w:spacing w:val="-7"/>
          <w:sz w:val="24"/>
        </w:rPr>
        <w:t> </w:t>
      </w:r>
      <w:r>
        <w:rPr>
          <w:sz w:val="24"/>
        </w:rPr>
        <w:t>Pernicious Anaemia.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Association</w:t>
      </w:r>
      <w:r>
        <w:rPr>
          <w:sz w:val="24"/>
        </w:rPr>
        <w:t>. 257(8):1081-84.</w:t>
      </w:r>
    </w:p>
    <w:p>
      <w:pPr>
        <w:pStyle w:val="BodyText"/>
        <w:spacing w:line="355" w:lineRule="auto" w:before="210"/>
        <w:ind w:left="1540" w:right="1435" w:hanging="720"/>
        <w:jc w:val="both"/>
      </w:pPr>
      <w:r>
        <w:rPr/>
        <w:t>Castro,</w:t>
      </w:r>
      <w:r>
        <w:rPr>
          <w:spacing w:val="1"/>
        </w:rPr>
        <w:t> </w:t>
      </w:r>
      <w:r>
        <w:rPr/>
        <w:t>O.L., Hoque,</w:t>
      </w:r>
      <w:r>
        <w:rPr>
          <w:spacing w:val="1"/>
        </w:rPr>
        <w:t> </w:t>
      </w:r>
      <w:r>
        <w:rPr/>
        <w:t>M., and</w:t>
      </w:r>
      <w:r>
        <w:rPr>
          <w:spacing w:val="1"/>
        </w:rPr>
        <w:t> </w:t>
      </w:r>
      <w:r>
        <w:rPr/>
        <w:t>Brown,</w:t>
      </w:r>
      <w:r>
        <w:rPr>
          <w:spacing w:val="1"/>
        </w:rPr>
        <w:t> </w:t>
      </w:r>
      <w:r>
        <w:rPr/>
        <w:t>B.D.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Pulmonary</w:t>
      </w:r>
      <w:r>
        <w:rPr>
          <w:spacing w:val="1"/>
        </w:rPr>
        <w:t> </w:t>
      </w:r>
      <w:r>
        <w:rPr/>
        <w:t>Hypertension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Sickle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Disease: Cardiac</w:t>
      </w:r>
      <w:r>
        <w:rPr>
          <w:spacing w:val="-1"/>
        </w:rPr>
        <w:t> </w:t>
      </w:r>
      <w:r>
        <w:rPr/>
        <w:t>Catheterization</w:t>
      </w:r>
      <w:r>
        <w:rPr>
          <w:spacing w:val="-4"/>
        </w:rPr>
        <w:t> </w:t>
      </w:r>
      <w:r>
        <w:rPr/>
        <w:t>Results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Survival.</w:t>
      </w:r>
      <w:r>
        <w:rPr>
          <w:spacing w:val="4"/>
        </w:rPr>
        <w:t> </w:t>
      </w:r>
      <w:r>
        <w:rPr>
          <w:i/>
        </w:rPr>
        <w:t>Blood</w:t>
      </w:r>
      <w:r>
        <w:rPr/>
        <w:t>.</w:t>
      </w:r>
      <w:r>
        <w:rPr>
          <w:spacing w:val="-1"/>
        </w:rPr>
        <w:t> </w:t>
      </w:r>
      <w:r>
        <w:rPr/>
        <w:t>101:1257-1261.</w:t>
      </w:r>
    </w:p>
    <w:p>
      <w:pPr>
        <w:spacing w:line="360" w:lineRule="auto" w:before="210"/>
        <w:ind w:left="1540" w:right="1441" w:hanging="720"/>
        <w:jc w:val="both"/>
        <w:rPr>
          <w:sz w:val="24"/>
        </w:rPr>
      </w:pPr>
      <w:r>
        <w:rPr>
          <w:sz w:val="24"/>
        </w:rPr>
        <w:t>Caulfield, L. E., Richard, S.A., and Black, R.E. (2004). Under-nutrition as an Underlying Cause</w:t>
      </w:r>
      <w:r>
        <w:rPr>
          <w:spacing w:val="1"/>
          <w:sz w:val="24"/>
        </w:rPr>
        <w:t> </w:t>
      </w:r>
      <w:r>
        <w:rPr>
          <w:sz w:val="24"/>
        </w:rPr>
        <w:t>of Malaria Morbidity and Mortality in Children. </w:t>
      </w:r>
      <w:r>
        <w:rPr>
          <w:i/>
          <w:sz w:val="24"/>
        </w:rPr>
        <w:t>American Journal of Tropical Medicine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Hygiene.</w:t>
      </w:r>
      <w:r>
        <w:rPr>
          <w:i/>
          <w:spacing w:val="4"/>
          <w:sz w:val="24"/>
        </w:rPr>
        <w:t> </w:t>
      </w:r>
      <w:r>
        <w:rPr>
          <w:sz w:val="24"/>
        </w:rPr>
        <w:t>71</w:t>
      </w:r>
      <w:r>
        <w:rPr>
          <w:spacing w:val="2"/>
          <w:sz w:val="24"/>
        </w:rPr>
        <w:t> </w:t>
      </w:r>
      <w:r>
        <w:rPr>
          <w:sz w:val="24"/>
        </w:rPr>
        <w:t>(Suppl.</w:t>
      </w:r>
      <w:r>
        <w:rPr>
          <w:spacing w:val="4"/>
          <w:sz w:val="24"/>
        </w:rPr>
        <w:t> </w:t>
      </w:r>
      <w:r>
        <w:rPr>
          <w:sz w:val="24"/>
        </w:rPr>
        <w:t>2):</w:t>
      </w:r>
      <w:r>
        <w:rPr>
          <w:spacing w:val="2"/>
          <w:sz w:val="24"/>
        </w:rPr>
        <w:t> </w:t>
      </w:r>
      <w:r>
        <w:rPr>
          <w:sz w:val="24"/>
        </w:rPr>
        <w:t>S55–63.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60" w:lineRule="auto" w:before="72"/>
        <w:ind w:left="1540" w:right="1437" w:hanging="720"/>
        <w:jc w:val="both"/>
      </w:pPr>
      <w:r>
        <w:rPr/>
        <w:t>Charache, S., Terrin, M.L., Moore, R.D., Dover, G.J., Barton, F.B., Eckert, S.V., McMahon, R.P.</w:t>
      </w:r>
      <w:r>
        <w:rPr>
          <w:spacing w:val="-57"/>
        </w:rPr>
        <w:t> </w:t>
      </w:r>
      <w:r>
        <w:rPr/>
        <w:t>&amp; Bonds, D.R. (1995). Effect of Hydroxyurea on the frequency of painful crises in Sickle</w:t>
      </w:r>
      <w:r>
        <w:rPr>
          <w:spacing w:val="-57"/>
        </w:rPr>
        <w:t> </w:t>
      </w:r>
      <w:r>
        <w:rPr/>
        <w:t>Cell Anaemia. Investigators of the Multicenter Study of Hydroxyurea</w:t>
      </w:r>
      <w:r>
        <w:rPr>
          <w:spacing w:val="1"/>
        </w:rPr>
        <w:t> </w:t>
      </w:r>
      <w:r>
        <w:rPr/>
        <w:t>in Sickle Cell</w:t>
      </w:r>
      <w:r>
        <w:rPr>
          <w:spacing w:val="1"/>
        </w:rPr>
        <w:t> </w:t>
      </w:r>
      <w:r>
        <w:rPr/>
        <w:t>Anemia.</w:t>
      </w:r>
      <w:r>
        <w:rPr>
          <w:spacing w:val="3"/>
        </w:rPr>
        <w:t> </w:t>
      </w:r>
      <w:r>
        <w:rPr>
          <w:i/>
        </w:rPr>
        <w:t>New</w:t>
      </w:r>
      <w:r>
        <w:rPr>
          <w:i/>
          <w:spacing w:val="-5"/>
        </w:rPr>
        <w:t> </w:t>
      </w:r>
      <w:r>
        <w:rPr>
          <w:i/>
        </w:rPr>
        <w:t>England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6"/>
        </w:rPr>
        <w:t> </w:t>
      </w:r>
      <w:r>
        <w:rPr>
          <w:i/>
        </w:rPr>
        <w:t>Medicine</w:t>
      </w:r>
      <w:r>
        <w:rPr/>
        <w:t>.</w:t>
      </w:r>
      <w:r>
        <w:rPr>
          <w:spacing w:val="3"/>
        </w:rPr>
        <w:t> </w:t>
      </w:r>
      <w:r>
        <w:rPr/>
        <w:t>332,</w:t>
      </w:r>
      <w:r>
        <w:rPr>
          <w:spacing w:val="3"/>
        </w:rPr>
        <w:t> </w:t>
      </w:r>
      <w:r>
        <w:rPr/>
        <w:t>1317–1322.</w:t>
      </w:r>
    </w:p>
    <w:p>
      <w:pPr>
        <w:spacing w:line="357" w:lineRule="auto" w:before="201"/>
        <w:ind w:left="1540" w:right="1439" w:hanging="720"/>
        <w:jc w:val="both"/>
        <w:rPr>
          <w:sz w:val="24"/>
        </w:rPr>
      </w:pPr>
      <w:r>
        <w:rPr>
          <w:sz w:val="24"/>
        </w:rPr>
        <w:t>Cheney, K., Gumbiner, C., Bensonb, and Tenenbein, M. (1995). Survival after a severe Iron</w:t>
      </w:r>
      <w:r>
        <w:rPr>
          <w:spacing w:val="1"/>
          <w:sz w:val="24"/>
        </w:rPr>
        <w:t> </w:t>
      </w:r>
      <w:r>
        <w:rPr>
          <w:sz w:val="24"/>
        </w:rPr>
        <w:t>Poisoning treated with intermittent infusions of Deferoxamine. </w:t>
      </w:r>
      <w:r>
        <w:rPr>
          <w:i/>
          <w:sz w:val="24"/>
        </w:rPr>
        <w:t>Journal of Toxicology-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Toxicology.</w:t>
      </w:r>
      <w:r>
        <w:rPr>
          <w:i/>
          <w:spacing w:val="7"/>
          <w:sz w:val="24"/>
        </w:rPr>
        <w:t> </w:t>
      </w:r>
      <w:r>
        <w:rPr>
          <w:sz w:val="24"/>
        </w:rPr>
        <w:t>33(1):</w:t>
      </w:r>
      <w:r>
        <w:rPr>
          <w:spacing w:val="-2"/>
          <w:sz w:val="24"/>
        </w:rPr>
        <w:t> </w:t>
      </w:r>
      <w:r>
        <w:rPr>
          <w:sz w:val="24"/>
        </w:rPr>
        <w:t>61–6.</w:t>
      </w:r>
    </w:p>
    <w:p>
      <w:pPr>
        <w:spacing w:line="355" w:lineRule="auto" w:before="207"/>
        <w:ind w:left="1540" w:right="1442" w:hanging="720"/>
        <w:jc w:val="both"/>
        <w:rPr>
          <w:sz w:val="24"/>
        </w:rPr>
      </w:pPr>
      <w:r>
        <w:rPr>
          <w:sz w:val="24"/>
        </w:rPr>
        <w:t>Chijioke, A. and Kolo, P.M. (2009). The Longevity and Clinical Pattern of Adult Sickle Cell</w:t>
      </w:r>
      <w:r>
        <w:rPr>
          <w:spacing w:val="1"/>
          <w:sz w:val="24"/>
        </w:rPr>
        <w:t> </w:t>
      </w:r>
      <w:r>
        <w:rPr>
          <w:sz w:val="24"/>
        </w:rPr>
        <w:t>Anaemia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Ilorin.</w:t>
      </w:r>
      <w:r>
        <w:rPr>
          <w:spacing w:val="3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Scientific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Research.</w:t>
      </w:r>
      <w:r>
        <w:rPr>
          <w:i/>
          <w:spacing w:val="6"/>
          <w:sz w:val="24"/>
        </w:rPr>
        <w:t> </w:t>
      </w:r>
      <w:r>
        <w:rPr>
          <w:sz w:val="24"/>
        </w:rPr>
        <w:t>32</w:t>
      </w:r>
      <w:r>
        <w:rPr>
          <w:spacing w:val="1"/>
          <w:sz w:val="24"/>
        </w:rPr>
        <w:t> </w:t>
      </w:r>
      <w:r>
        <w:rPr>
          <w:sz w:val="24"/>
        </w:rPr>
        <w:t>(4):</w:t>
      </w:r>
      <w:r>
        <w:rPr>
          <w:spacing w:val="-3"/>
          <w:sz w:val="24"/>
        </w:rPr>
        <w:t> </w:t>
      </w:r>
      <w:r>
        <w:rPr>
          <w:sz w:val="24"/>
        </w:rPr>
        <w:t>528-532.</w:t>
      </w:r>
    </w:p>
    <w:p>
      <w:pPr>
        <w:spacing w:line="355" w:lineRule="auto" w:before="210"/>
        <w:ind w:left="1540" w:right="1452" w:hanging="720"/>
        <w:jc w:val="both"/>
        <w:rPr>
          <w:sz w:val="24"/>
        </w:rPr>
      </w:pPr>
      <w:r>
        <w:rPr>
          <w:sz w:val="24"/>
        </w:rPr>
        <w:t>Chiu, D., Vinchinsky, E., Yee, M., Kleman, K., and Lubin, B. (1982). Peroxidation, Vitamin E,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Sickle</w:t>
      </w:r>
      <w:r>
        <w:rPr>
          <w:spacing w:val="-1"/>
          <w:sz w:val="24"/>
        </w:rPr>
        <w:t> </w:t>
      </w:r>
      <w:r>
        <w:rPr>
          <w:sz w:val="24"/>
        </w:rPr>
        <w:t>Cell</w:t>
      </w:r>
      <w:r>
        <w:rPr>
          <w:spacing w:val="1"/>
          <w:sz w:val="24"/>
        </w:rPr>
        <w:t> </w:t>
      </w:r>
      <w:r>
        <w:rPr>
          <w:sz w:val="24"/>
        </w:rPr>
        <w:t>Anaemia.</w:t>
      </w:r>
      <w:r>
        <w:rPr>
          <w:spacing w:val="2"/>
          <w:sz w:val="24"/>
        </w:rPr>
        <w:t> </w:t>
      </w:r>
      <w:r>
        <w:rPr>
          <w:i/>
          <w:sz w:val="24"/>
        </w:rPr>
        <w:t>Annals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York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Academy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Sciences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393:32-335.</w:t>
      </w:r>
    </w:p>
    <w:p>
      <w:pPr>
        <w:pStyle w:val="BodyText"/>
        <w:spacing w:line="360" w:lineRule="auto" w:before="210"/>
        <w:ind w:left="1540" w:right="1435" w:hanging="720"/>
        <w:jc w:val="both"/>
      </w:pPr>
      <w:r>
        <w:rPr/>
        <w:t>Chukwu,</w:t>
      </w:r>
      <w:r>
        <w:rPr>
          <w:spacing w:val="40"/>
        </w:rPr>
        <w:t> </w:t>
      </w:r>
      <w:r>
        <w:rPr/>
        <w:t>B.F,</w:t>
      </w:r>
      <w:r>
        <w:rPr>
          <w:spacing w:val="41"/>
        </w:rPr>
        <w:t> </w:t>
      </w:r>
      <w:r>
        <w:rPr/>
        <w:t>Okafor,</w:t>
      </w:r>
      <w:r>
        <w:rPr>
          <w:spacing w:val="41"/>
        </w:rPr>
        <w:t> </w:t>
      </w:r>
      <w:r>
        <w:rPr/>
        <w:t>H.U,</w:t>
      </w:r>
      <w:r>
        <w:rPr>
          <w:spacing w:val="41"/>
        </w:rPr>
        <w:t> </w:t>
      </w:r>
      <w:r>
        <w:rPr/>
        <w:t>and</w:t>
      </w:r>
      <w:r>
        <w:rPr>
          <w:spacing w:val="38"/>
        </w:rPr>
        <w:t> </w:t>
      </w:r>
      <w:r>
        <w:rPr/>
        <w:t>Ikefuna,</w:t>
      </w:r>
      <w:r>
        <w:rPr>
          <w:spacing w:val="41"/>
        </w:rPr>
        <w:t> </w:t>
      </w:r>
      <w:r>
        <w:rPr/>
        <w:t>A.N.</w:t>
      </w:r>
      <w:r>
        <w:rPr>
          <w:spacing w:val="41"/>
        </w:rPr>
        <w:t> </w:t>
      </w:r>
      <w:r>
        <w:rPr/>
        <w:t>(2010).</w:t>
      </w:r>
      <w:r>
        <w:rPr>
          <w:spacing w:val="41"/>
        </w:rPr>
        <w:t> </w:t>
      </w:r>
      <w:r>
        <w:rPr/>
        <w:t>Socio-demographic</w:t>
      </w:r>
      <w:r>
        <w:rPr>
          <w:spacing w:val="42"/>
        </w:rPr>
        <w:t> </w:t>
      </w:r>
      <w:r>
        <w:rPr/>
        <w:t>factors</w:t>
      </w:r>
      <w:r>
        <w:rPr>
          <w:spacing w:val="37"/>
        </w:rPr>
        <w:t> </w:t>
      </w:r>
      <w:r>
        <w:rPr/>
        <w:t>associated</w:t>
      </w:r>
      <w:r>
        <w:rPr>
          <w:spacing w:val="-57"/>
        </w:rPr>
        <w:t> </w:t>
      </w:r>
      <w:r>
        <w:rPr/>
        <w:t>with</w:t>
      </w:r>
      <w:r>
        <w:rPr>
          <w:spacing w:val="1"/>
        </w:rPr>
        <w:t> </w:t>
      </w:r>
      <w:r>
        <w:rPr/>
        <w:t>asymptomatic</w:t>
      </w:r>
      <w:r>
        <w:rPr>
          <w:spacing w:val="1"/>
        </w:rPr>
        <w:t> </w:t>
      </w:r>
      <w:r>
        <w:rPr/>
        <w:t>Bacteriuria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Sickle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Anaemia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Tertiary</w:t>
      </w:r>
      <w:r>
        <w:rPr>
          <w:spacing w:val="-57"/>
        </w:rPr>
        <w:t> </w:t>
      </w:r>
      <w:r>
        <w:rPr/>
        <w:t>Health Facility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South</w:t>
      </w:r>
      <w:r>
        <w:rPr>
          <w:spacing w:val="-5"/>
        </w:rPr>
        <w:t> </w:t>
      </w:r>
      <w:r>
        <w:rPr/>
        <w:t>Eastern,</w:t>
      </w:r>
      <w:r>
        <w:rPr>
          <w:spacing w:val="2"/>
        </w:rPr>
        <w:t> </w:t>
      </w:r>
      <w:r>
        <w:rPr/>
        <w:t>Nigeria.</w:t>
      </w:r>
      <w:r>
        <w:rPr>
          <w:spacing w:val="5"/>
        </w:rPr>
        <w:t> </w:t>
      </w:r>
      <w:r>
        <w:rPr>
          <w:i/>
        </w:rPr>
        <w:t>Nigerian</w:t>
      </w:r>
      <w:r>
        <w:rPr>
          <w:i/>
          <w:spacing w:val="5"/>
        </w:rPr>
        <w:t> </w:t>
      </w:r>
      <w:r>
        <w:rPr>
          <w:i/>
        </w:rPr>
        <w:t>Medical Journal. </w:t>
      </w:r>
      <w:r>
        <w:rPr/>
        <w:t>51:137-40.</w:t>
      </w:r>
    </w:p>
    <w:p>
      <w:pPr>
        <w:pStyle w:val="BodyText"/>
        <w:spacing w:line="357" w:lineRule="auto" w:before="203"/>
        <w:ind w:left="1540" w:right="1447" w:hanging="720"/>
        <w:jc w:val="both"/>
      </w:pPr>
      <w:r>
        <w:rPr/>
        <w:t>Clare,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FitzHenley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Harris</w:t>
      </w:r>
      <w:r>
        <w:rPr>
          <w:spacing w:val="1"/>
        </w:rPr>
        <w:t> </w:t>
      </w:r>
      <w:r>
        <w:rPr/>
        <w:t>J,</w:t>
      </w:r>
      <w:r>
        <w:rPr>
          <w:spacing w:val="1"/>
        </w:rPr>
        <w:t> </w:t>
      </w:r>
      <w:r>
        <w:rPr/>
        <w:t>Hambleton</w:t>
      </w:r>
      <w:r>
        <w:rPr>
          <w:spacing w:val="1"/>
        </w:rPr>
        <w:t> </w:t>
      </w:r>
      <w:r>
        <w:rPr/>
        <w:t>I,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Sejeant</w:t>
      </w:r>
      <w:r>
        <w:rPr>
          <w:spacing w:val="1"/>
        </w:rPr>
        <w:t> </w:t>
      </w:r>
      <w:r>
        <w:rPr/>
        <w:t>G.R.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Leg</w:t>
      </w:r>
      <w:r>
        <w:rPr>
          <w:spacing w:val="1"/>
        </w:rPr>
        <w:t> </w:t>
      </w:r>
      <w:r>
        <w:rPr/>
        <w:t>Ulceration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Homozygous</w:t>
      </w:r>
      <w:r>
        <w:rPr>
          <w:spacing w:val="1"/>
        </w:rPr>
        <w:t> </w:t>
      </w:r>
      <w:r>
        <w:rPr/>
        <w:t>Sickle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Diseases: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 Venous</w:t>
      </w:r>
      <w:r>
        <w:rPr>
          <w:spacing w:val="1"/>
        </w:rPr>
        <w:t> </w:t>
      </w:r>
      <w:r>
        <w:rPr/>
        <w:t>Incompetence.</w:t>
      </w:r>
      <w:r>
        <w:rPr>
          <w:spacing w:val="1"/>
        </w:rPr>
        <w:t> </w:t>
      </w:r>
      <w:r>
        <w:rPr>
          <w:i/>
        </w:rPr>
        <w:t>British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3"/>
        </w:rPr>
        <w:t> </w:t>
      </w:r>
      <w:r>
        <w:rPr>
          <w:i/>
        </w:rPr>
        <w:t>Haematol</w:t>
      </w:r>
      <w:r>
        <w:rPr/>
        <w:t>ogy.</w:t>
      </w:r>
      <w:r>
        <w:rPr>
          <w:spacing w:val="4"/>
        </w:rPr>
        <w:t> </w:t>
      </w:r>
      <w:r>
        <w:rPr/>
        <w:t>119:567-571.</w:t>
      </w:r>
    </w:p>
    <w:p>
      <w:pPr>
        <w:pStyle w:val="BodyText"/>
        <w:spacing w:line="355" w:lineRule="auto" w:before="207"/>
        <w:ind w:left="1540" w:right="1450" w:hanging="720"/>
        <w:jc w:val="both"/>
      </w:pPr>
      <w:r>
        <w:rPr/>
        <w:t>Clarke, M.E. (2006). Pulmonary Artery Hypertension in Sickle Cell Disease. Retrieved October</w:t>
      </w:r>
      <w:r>
        <w:rPr>
          <w:spacing w:val="1"/>
        </w:rPr>
        <w:t> </w:t>
      </w:r>
      <w:r>
        <w:rPr/>
        <w:t>26,</w:t>
      </w:r>
      <w:r>
        <w:rPr>
          <w:spacing w:val="3"/>
        </w:rPr>
        <w:t> </w:t>
      </w:r>
      <w:r>
        <w:rPr/>
        <w:t>2010,</w:t>
      </w:r>
      <w:r>
        <w:rPr>
          <w:spacing w:val="3"/>
        </w:rPr>
        <w:t> </w:t>
      </w:r>
      <w:r>
        <w:rPr/>
        <w:t>from</w:t>
      </w:r>
      <w:r>
        <w:rPr>
          <w:spacing w:val="-1"/>
        </w:rPr>
        <w:t> </w:t>
      </w:r>
      <w:hyperlink r:id="rId72">
        <w:r>
          <w:rPr>
            <w:color w:val="0000FF"/>
            <w:u w:val="single" w:color="0000FF"/>
          </w:rPr>
          <w:t>http://www.medscape.org/internalmedicine</w:t>
        </w:r>
        <w:r>
          <w:rPr/>
          <w:t>.</w:t>
        </w:r>
      </w:hyperlink>
    </w:p>
    <w:p>
      <w:pPr>
        <w:pStyle w:val="BodyText"/>
        <w:spacing w:before="5"/>
        <w:rPr>
          <w:sz w:val="10"/>
        </w:rPr>
      </w:pPr>
    </w:p>
    <w:p>
      <w:pPr>
        <w:pStyle w:val="BodyText"/>
        <w:spacing w:line="360" w:lineRule="auto" w:before="90"/>
        <w:ind w:left="1540" w:right="1440" w:hanging="720"/>
        <w:jc w:val="both"/>
      </w:pPr>
      <w:r>
        <w:rPr/>
        <w:t>Daland,</w:t>
      </w:r>
      <w:r>
        <w:rPr>
          <w:spacing w:val="14"/>
        </w:rPr>
        <w:t> </w:t>
      </w:r>
      <w:r>
        <w:rPr/>
        <w:t>G.A.,</w:t>
      </w:r>
      <w:r>
        <w:rPr>
          <w:spacing w:val="14"/>
        </w:rPr>
        <w:t> </w:t>
      </w:r>
      <w:r>
        <w:rPr/>
        <w:t>and</w:t>
      </w:r>
      <w:r>
        <w:rPr>
          <w:spacing w:val="16"/>
        </w:rPr>
        <w:t> </w:t>
      </w:r>
      <w:r>
        <w:rPr/>
        <w:t>Castle,</w:t>
      </w:r>
      <w:r>
        <w:rPr>
          <w:spacing w:val="18"/>
        </w:rPr>
        <w:t> </w:t>
      </w:r>
      <w:r>
        <w:rPr/>
        <w:t>W.B.(1948).</w:t>
      </w:r>
      <w:r>
        <w:rPr>
          <w:spacing w:val="14"/>
        </w:rPr>
        <w:t> </w:t>
      </w:r>
      <w:r>
        <w:rPr/>
        <w:t>A</w:t>
      </w:r>
      <w:r>
        <w:rPr>
          <w:spacing w:val="7"/>
        </w:rPr>
        <w:t> </w:t>
      </w:r>
      <w:r>
        <w:rPr/>
        <w:t>Simple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Rapid</w:t>
      </w:r>
      <w:r>
        <w:rPr>
          <w:spacing w:val="16"/>
        </w:rPr>
        <w:t> </w:t>
      </w:r>
      <w:r>
        <w:rPr/>
        <w:t>Method</w:t>
      </w:r>
      <w:r>
        <w:rPr>
          <w:spacing w:val="11"/>
        </w:rPr>
        <w:t> </w:t>
      </w:r>
      <w:r>
        <w:rPr/>
        <w:t>for</w:t>
      </w:r>
      <w:r>
        <w:rPr>
          <w:spacing w:val="13"/>
        </w:rPr>
        <w:t> </w:t>
      </w:r>
      <w:r>
        <w:rPr/>
        <w:t>demonstrating</w:t>
      </w:r>
      <w:r>
        <w:rPr>
          <w:spacing w:val="16"/>
        </w:rPr>
        <w:t> </w:t>
      </w:r>
      <w:r>
        <w:rPr/>
        <w:t>sickling</w:t>
      </w:r>
      <w:r>
        <w:rPr>
          <w:spacing w:val="-57"/>
        </w:rPr>
        <w:t> </w:t>
      </w:r>
      <w:r>
        <w:rPr/>
        <w:t>of the Red Blood Cells: use of Reducing Agents. </w:t>
      </w:r>
      <w:r>
        <w:rPr>
          <w:i/>
        </w:rPr>
        <w:t>Laboratory and Clinical Medicine</w:t>
      </w:r>
      <w:r>
        <w:rPr/>
        <w:t>.</w:t>
      </w:r>
      <w:r>
        <w:rPr>
          <w:spacing w:val="1"/>
        </w:rPr>
        <w:t> </w:t>
      </w:r>
      <w:r>
        <w:rPr/>
        <w:t>33:1082-88.</w:t>
      </w:r>
    </w:p>
    <w:p>
      <w:pPr>
        <w:spacing w:line="355" w:lineRule="auto" w:before="203"/>
        <w:ind w:left="1540" w:right="1444" w:hanging="720"/>
        <w:jc w:val="both"/>
        <w:rPr>
          <w:sz w:val="24"/>
        </w:rPr>
      </w:pPr>
      <w:r>
        <w:rPr>
          <w:sz w:val="24"/>
        </w:rPr>
        <w:t>Dallman, P.R. (1986). Biochemical basis</w:t>
      </w:r>
      <w:r>
        <w:rPr>
          <w:spacing w:val="1"/>
          <w:sz w:val="24"/>
        </w:rPr>
        <w:t> </w:t>
      </w:r>
      <w:r>
        <w:rPr>
          <w:sz w:val="24"/>
        </w:rPr>
        <w:t>for the manifestations of Iron Deficiency.</w:t>
      </w:r>
      <w:r>
        <w:rPr>
          <w:spacing w:val="1"/>
          <w:sz w:val="24"/>
        </w:rPr>
        <w:t> </w:t>
      </w:r>
      <w:r>
        <w:rPr>
          <w:i/>
          <w:sz w:val="24"/>
        </w:rPr>
        <w:t>Annual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Nutrition.</w:t>
      </w:r>
      <w:r>
        <w:rPr>
          <w:i/>
          <w:spacing w:val="5"/>
          <w:sz w:val="24"/>
        </w:rPr>
        <w:t> </w:t>
      </w:r>
      <w:r>
        <w:rPr>
          <w:sz w:val="24"/>
        </w:rPr>
        <w:t>6:13-40.</w:t>
      </w:r>
    </w:p>
    <w:p>
      <w:pPr>
        <w:spacing w:before="205"/>
        <w:ind w:left="820" w:right="0" w:firstLine="0"/>
        <w:jc w:val="left"/>
        <w:rPr>
          <w:sz w:val="24"/>
        </w:rPr>
      </w:pPr>
      <w:r>
        <w:rPr>
          <w:sz w:val="24"/>
        </w:rPr>
        <w:t>Danks, D.M.</w:t>
      </w:r>
      <w:r>
        <w:rPr>
          <w:spacing w:val="-4"/>
          <w:sz w:val="24"/>
        </w:rPr>
        <w:t> </w:t>
      </w:r>
      <w:r>
        <w:rPr>
          <w:sz w:val="24"/>
        </w:rPr>
        <w:t>(1988).</w:t>
      </w:r>
      <w:r>
        <w:rPr>
          <w:spacing w:val="-4"/>
          <w:sz w:val="24"/>
        </w:rPr>
        <w:t> </w:t>
      </w:r>
      <w:r>
        <w:rPr>
          <w:sz w:val="24"/>
        </w:rPr>
        <w:t>Copper Deficiency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Humans.</w:t>
      </w:r>
      <w:r>
        <w:rPr>
          <w:spacing w:val="3"/>
          <w:sz w:val="24"/>
        </w:rPr>
        <w:t> </w:t>
      </w:r>
      <w:r>
        <w:rPr>
          <w:i/>
          <w:sz w:val="24"/>
        </w:rPr>
        <w:t>Annual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Nutrition.</w:t>
      </w:r>
      <w:r>
        <w:rPr>
          <w:i/>
          <w:spacing w:val="3"/>
          <w:sz w:val="24"/>
        </w:rPr>
        <w:t> </w:t>
      </w:r>
      <w:r>
        <w:rPr>
          <w:sz w:val="24"/>
        </w:rPr>
        <w:t>8:235-257.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57" w:lineRule="auto" w:before="72"/>
        <w:ind w:left="1540" w:right="1442" w:hanging="720"/>
        <w:jc w:val="both"/>
      </w:pPr>
      <w:r>
        <w:rPr/>
        <w:t>Darnton-Hill, I., Webb, P., Harvey, P.W.J., Hunt, J.M., Dalmiya, N., Chopra, M., Ball, M.J.,</w:t>
      </w:r>
      <w:r>
        <w:rPr>
          <w:spacing w:val="1"/>
        </w:rPr>
        <w:t> </w:t>
      </w:r>
      <w:r>
        <w:rPr/>
        <w:t>Bloem M.W., and De Benoist, B. (2005). Micronutrient Deficiencies and Gender: Social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Costs.</w:t>
      </w:r>
      <w:r>
        <w:rPr>
          <w:spacing w:val="3"/>
        </w:rPr>
        <w:t> </w:t>
      </w:r>
      <w:r>
        <w:rPr>
          <w:i/>
        </w:rPr>
        <w:t>American</w:t>
      </w:r>
      <w:r>
        <w:rPr>
          <w:i/>
          <w:spacing w:val="-1"/>
        </w:rPr>
        <w:t> </w:t>
      </w:r>
      <w:r>
        <w:rPr>
          <w:i/>
        </w:rPr>
        <w:t>Journal of Clinical</w:t>
      </w:r>
      <w:r>
        <w:rPr>
          <w:i/>
          <w:spacing w:val="-4"/>
        </w:rPr>
        <w:t> </w:t>
      </w:r>
      <w:r>
        <w:rPr>
          <w:i/>
        </w:rPr>
        <w:t>Nutrition</w:t>
      </w:r>
      <w:r>
        <w:rPr/>
        <w:t>.</w:t>
      </w:r>
      <w:r>
        <w:rPr>
          <w:spacing w:val="1"/>
        </w:rPr>
        <w:t> </w:t>
      </w:r>
      <w:r>
        <w:rPr/>
        <w:t>81(5): 1198S-1205S.</w:t>
      </w:r>
    </w:p>
    <w:p>
      <w:pPr>
        <w:pStyle w:val="BodyText"/>
        <w:spacing w:line="360" w:lineRule="auto" w:before="206"/>
        <w:ind w:left="1540" w:right="1441" w:hanging="720"/>
        <w:jc w:val="both"/>
      </w:pPr>
      <w:r>
        <w:rPr/>
        <w:t>Davies, N.F., McGuire, B.B., Lawlor, L., O’Gorman, P., O’Malley, K.J., and Fitzpatrick, J.M.</w:t>
      </w:r>
      <w:r>
        <w:rPr>
          <w:spacing w:val="1"/>
        </w:rPr>
        <w:t> </w:t>
      </w:r>
      <w:r>
        <w:rPr/>
        <w:t>(2010). Oral Tranexamic Acid as a novel treatment option for persistent Haematuria in</w:t>
      </w:r>
      <w:r>
        <w:rPr>
          <w:spacing w:val="1"/>
        </w:rPr>
        <w:t> </w:t>
      </w:r>
      <w:r>
        <w:rPr/>
        <w:t>Patients</w:t>
      </w:r>
      <w:r>
        <w:rPr>
          <w:spacing w:val="-2"/>
        </w:rPr>
        <w:t> </w:t>
      </w:r>
      <w:r>
        <w:rPr/>
        <w:t>with</w:t>
      </w:r>
      <w:r>
        <w:rPr>
          <w:spacing w:val="-4"/>
        </w:rPr>
        <w:t> </w:t>
      </w:r>
      <w:r>
        <w:rPr/>
        <w:t>Sickle Cell</w:t>
      </w:r>
      <w:r>
        <w:rPr>
          <w:spacing w:val="-3"/>
        </w:rPr>
        <w:t> </w:t>
      </w:r>
      <w:r>
        <w:rPr/>
        <w:t>Disease.</w:t>
      </w:r>
      <w:r>
        <w:rPr>
          <w:spacing w:val="4"/>
        </w:rPr>
        <w:t> </w:t>
      </w:r>
      <w:r>
        <w:rPr>
          <w:i/>
        </w:rPr>
        <w:t>Annals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6"/>
        </w:rPr>
        <w:t> </w:t>
      </w:r>
      <w:r>
        <w:rPr>
          <w:i/>
        </w:rPr>
        <w:t>Haematology</w:t>
      </w:r>
      <w:r>
        <w:rPr/>
        <w:t>.</w:t>
      </w:r>
      <w:r>
        <w:rPr>
          <w:spacing w:val="3"/>
        </w:rPr>
        <w:t> </w:t>
      </w:r>
      <w:r>
        <w:rPr/>
        <w:t>89:1179-1180.</w:t>
      </w:r>
    </w:p>
    <w:p>
      <w:pPr>
        <w:pStyle w:val="BodyText"/>
        <w:spacing w:line="360" w:lineRule="auto" w:before="203"/>
        <w:ind w:left="1540" w:right="1438" w:hanging="720"/>
        <w:jc w:val="both"/>
      </w:pPr>
      <w:r>
        <w:rPr/>
        <w:t>De Franceschi, L., Bachir, D., Galacteros, F., Tchernia, G., Cynober, T., Alper, S., Platt, O.,</w:t>
      </w:r>
      <w:r>
        <w:rPr>
          <w:spacing w:val="1"/>
        </w:rPr>
        <w:t> </w:t>
      </w:r>
      <w:r>
        <w:rPr/>
        <w:t>Beuzard Y, and Brugnara C. (1997). Oral Magnesium Supplements reduce Erythrocyte</w:t>
      </w:r>
      <w:r>
        <w:rPr>
          <w:spacing w:val="1"/>
        </w:rPr>
        <w:t> </w:t>
      </w:r>
      <w:r>
        <w:rPr/>
        <w:t>dehydration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Sickle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Disease.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Clinical</w:t>
      </w:r>
      <w:r>
        <w:rPr>
          <w:i/>
          <w:spacing w:val="1"/>
        </w:rPr>
        <w:t> </w:t>
      </w:r>
      <w:r>
        <w:rPr>
          <w:i/>
        </w:rPr>
        <w:t>Investigation.</w:t>
      </w:r>
      <w:r>
        <w:rPr>
          <w:i/>
          <w:spacing w:val="1"/>
        </w:rPr>
        <w:t> </w:t>
      </w:r>
      <w:r>
        <w:rPr/>
        <w:t>100:1847-1852.</w:t>
      </w:r>
    </w:p>
    <w:p>
      <w:pPr>
        <w:spacing w:line="360" w:lineRule="auto" w:before="197"/>
        <w:ind w:left="1540" w:right="1443" w:hanging="720"/>
        <w:jc w:val="both"/>
        <w:rPr>
          <w:sz w:val="24"/>
        </w:rPr>
      </w:pP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Franceschi,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Pathophysiology of</w:t>
      </w:r>
      <w:r>
        <w:rPr>
          <w:spacing w:val="1"/>
          <w:sz w:val="24"/>
        </w:rPr>
        <w:t> </w:t>
      </w:r>
      <w:r>
        <w:rPr>
          <w:sz w:val="24"/>
        </w:rPr>
        <w:t>Sickle</w:t>
      </w:r>
      <w:r>
        <w:rPr>
          <w:spacing w:val="1"/>
          <w:sz w:val="24"/>
        </w:rPr>
        <w:t> </w:t>
      </w:r>
      <w:r>
        <w:rPr>
          <w:sz w:val="24"/>
        </w:rPr>
        <w:t>Cell</w:t>
      </w:r>
      <w:r>
        <w:rPr>
          <w:spacing w:val="1"/>
          <w:sz w:val="24"/>
        </w:rPr>
        <w:t> </w:t>
      </w:r>
      <w:r>
        <w:rPr>
          <w:sz w:val="24"/>
        </w:rPr>
        <w:t>Disease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Drugs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Treatment.</w:t>
      </w:r>
      <w:r>
        <w:rPr>
          <w:spacing w:val="-3"/>
          <w:sz w:val="24"/>
        </w:rPr>
        <w:t> </w:t>
      </w:r>
      <w:r>
        <w:rPr>
          <w:i/>
          <w:sz w:val="24"/>
        </w:rPr>
        <w:t>Mediterranean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Haematology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Infectious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Diseases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1(1):24.</w:t>
      </w:r>
    </w:p>
    <w:p>
      <w:pPr>
        <w:pStyle w:val="BodyText"/>
        <w:spacing w:line="357" w:lineRule="auto" w:before="204"/>
        <w:ind w:left="1540" w:right="1437" w:hanging="720"/>
        <w:jc w:val="both"/>
      </w:pPr>
      <w:r>
        <w:rPr/>
        <w:t>De</w:t>
      </w:r>
      <w:r>
        <w:rPr>
          <w:spacing w:val="1"/>
        </w:rPr>
        <w:t> </w:t>
      </w:r>
      <w:r>
        <w:rPr/>
        <w:t>Montalembert,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Maunoury,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Acar,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Brousse,</w:t>
      </w:r>
      <w:r>
        <w:rPr>
          <w:spacing w:val="1"/>
        </w:rPr>
        <w:t> </w:t>
      </w:r>
      <w:r>
        <w:rPr/>
        <w:t>V.,</w:t>
      </w:r>
      <w:r>
        <w:rPr>
          <w:spacing w:val="1"/>
        </w:rPr>
        <w:t> </w:t>
      </w:r>
      <w:r>
        <w:rPr/>
        <w:t>Sidi,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Lenoir,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Myocardial Ischaemia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Children with Sickle</w:t>
      </w:r>
      <w:r>
        <w:rPr>
          <w:spacing w:val="1"/>
        </w:rPr>
        <w:t> </w:t>
      </w:r>
      <w:r>
        <w:rPr/>
        <w:t>Cell Disease.</w:t>
      </w:r>
      <w:r>
        <w:rPr>
          <w:spacing w:val="1"/>
        </w:rPr>
        <w:t> </w:t>
      </w:r>
      <w:r>
        <w:rPr>
          <w:i/>
        </w:rPr>
        <w:t>Archives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Disease in</w:t>
      </w:r>
      <w:r>
        <w:rPr>
          <w:i/>
          <w:spacing w:val="1"/>
        </w:rPr>
        <w:t> </w:t>
      </w:r>
      <w:r>
        <w:rPr>
          <w:i/>
        </w:rPr>
        <w:t>Childhood</w:t>
      </w:r>
      <w:r>
        <w:rPr/>
        <w:t>.</w:t>
      </w:r>
      <w:r>
        <w:rPr>
          <w:spacing w:val="3"/>
        </w:rPr>
        <w:t> </w:t>
      </w:r>
      <w:r>
        <w:rPr/>
        <w:t>89:</w:t>
      </w:r>
      <w:r>
        <w:rPr>
          <w:spacing w:val="-2"/>
        </w:rPr>
        <w:t> </w:t>
      </w:r>
      <w:r>
        <w:rPr/>
        <w:t>359-362.</w:t>
      </w:r>
    </w:p>
    <w:p>
      <w:pPr>
        <w:pStyle w:val="BodyText"/>
        <w:spacing w:line="355" w:lineRule="auto" w:before="206"/>
        <w:ind w:left="1540" w:right="1441" w:hanging="720"/>
        <w:jc w:val="both"/>
      </w:pPr>
      <w:r>
        <w:rPr/>
        <w:t>Denic, S. and Nicholls, M.G. (2007). Genetic Benefits of Consanguinity through Selection of</w:t>
      </w:r>
      <w:r>
        <w:rPr>
          <w:spacing w:val="1"/>
        </w:rPr>
        <w:t> </w:t>
      </w:r>
      <w:r>
        <w:rPr/>
        <w:t>Genotypes</w:t>
      </w:r>
      <w:r>
        <w:rPr>
          <w:spacing w:val="-2"/>
        </w:rPr>
        <w:t> </w:t>
      </w:r>
      <w:r>
        <w:rPr/>
        <w:t>Protective</w:t>
      </w:r>
      <w:r>
        <w:rPr>
          <w:spacing w:val="4"/>
        </w:rPr>
        <w:t> </w:t>
      </w:r>
      <w:r>
        <w:rPr/>
        <w:t>Against</w:t>
      </w:r>
      <w:r>
        <w:rPr>
          <w:spacing w:val="6"/>
        </w:rPr>
        <w:t> </w:t>
      </w:r>
      <w:r>
        <w:rPr/>
        <w:t>Malaria.</w:t>
      </w:r>
      <w:r>
        <w:rPr>
          <w:spacing w:val="3"/>
        </w:rPr>
        <w:t> </w:t>
      </w:r>
      <w:r>
        <w:rPr>
          <w:i/>
        </w:rPr>
        <w:t>Human</w:t>
      </w:r>
      <w:r>
        <w:rPr>
          <w:i/>
          <w:spacing w:val="1"/>
        </w:rPr>
        <w:t> </w:t>
      </w:r>
      <w:r>
        <w:rPr>
          <w:i/>
        </w:rPr>
        <w:t>Biology</w:t>
      </w:r>
      <w:r>
        <w:rPr/>
        <w:t>.</w:t>
      </w:r>
      <w:r>
        <w:rPr>
          <w:spacing w:val="2"/>
        </w:rPr>
        <w:t> </w:t>
      </w:r>
      <w:r>
        <w:rPr/>
        <w:t>79(2):145-158.</w:t>
      </w:r>
    </w:p>
    <w:p>
      <w:pPr>
        <w:spacing w:line="355" w:lineRule="auto" w:before="211"/>
        <w:ind w:left="1540" w:right="1444" w:hanging="720"/>
        <w:jc w:val="both"/>
        <w:rPr>
          <w:sz w:val="24"/>
        </w:rPr>
      </w:pPr>
      <w:r>
        <w:rPr>
          <w:sz w:val="24"/>
        </w:rPr>
        <w:t>Desai, D.V. and Dhanani, H. (2004). Sickle Cell Disease: History and Origin. </w:t>
      </w:r>
      <w:r>
        <w:rPr>
          <w:i/>
          <w:sz w:val="24"/>
        </w:rPr>
        <w:t>The Internet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Haematology</w:t>
      </w:r>
      <w:r>
        <w:rPr>
          <w:sz w:val="24"/>
        </w:rPr>
        <w:t>.</w:t>
      </w:r>
      <w:r>
        <w:rPr>
          <w:spacing w:val="4"/>
          <w:sz w:val="24"/>
        </w:rPr>
        <w:t> </w:t>
      </w:r>
      <w:r>
        <w:rPr>
          <w:sz w:val="24"/>
        </w:rPr>
        <w:t>1:2.</w:t>
      </w:r>
    </w:p>
    <w:p>
      <w:pPr>
        <w:spacing w:line="360" w:lineRule="auto" w:before="210"/>
        <w:ind w:left="1540" w:right="1442" w:hanging="720"/>
        <w:jc w:val="both"/>
        <w:rPr>
          <w:sz w:val="24"/>
        </w:rPr>
      </w:pP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Santos,</w:t>
      </w:r>
      <w:r>
        <w:rPr>
          <w:spacing w:val="1"/>
          <w:sz w:val="24"/>
        </w:rPr>
        <w:t> </w:t>
      </w:r>
      <w:r>
        <w:rPr>
          <w:sz w:val="24"/>
        </w:rPr>
        <w:t>J.L.,</w:t>
      </w:r>
      <w:r>
        <w:rPr>
          <w:spacing w:val="1"/>
          <w:sz w:val="24"/>
        </w:rPr>
        <w:t> </w:t>
      </w:r>
      <w:r>
        <w:rPr>
          <w:sz w:val="24"/>
        </w:rPr>
        <w:t>Lanaro,</w:t>
      </w:r>
      <w:r>
        <w:rPr>
          <w:spacing w:val="1"/>
          <w:sz w:val="24"/>
        </w:rPr>
        <w:t> </w:t>
      </w:r>
      <w:r>
        <w:rPr>
          <w:sz w:val="24"/>
        </w:rPr>
        <w:t>C.,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Chin,</w:t>
      </w:r>
      <w:r>
        <w:rPr>
          <w:spacing w:val="1"/>
          <w:sz w:val="24"/>
        </w:rPr>
        <w:t> </w:t>
      </w:r>
      <w:r>
        <w:rPr>
          <w:sz w:val="24"/>
        </w:rPr>
        <w:t>C.M.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Advances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Sickle</w:t>
      </w:r>
      <w:r>
        <w:rPr>
          <w:spacing w:val="1"/>
          <w:sz w:val="24"/>
        </w:rPr>
        <w:t> </w:t>
      </w:r>
      <w:r>
        <w:rPr>
          <w:sz w:val="24"/>
        </w:rPr>
        <w:t>Cell</w:t>
      </w:r>
      <w:r>
        <w:rPr>
          <w:spacing w:val="60"/>
          <w:sz w:val="24"/>
        </w:rPr>
        <w:t> </w:t>
      </w:r>
      <w:r>
        <w:rPr>
          <w:sz w:val="24"/>
        </w:rPr>
        <w:t>Disease</w:t>
      </w:r>
      <w:r>
        <w:rPr>
          <w:spacing w:val="1"/>
          <w:sz w:val="24"/>
        </w:rPr>
        <w:t> </w:t>
      </w:r>
      <w:r>
        <w:rPr>
          <w:sz w:val="24"/>
        </w:rPr>
        <w:t>Treatment: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Drug</w:t>
      </w:r>
      <w:r>
        <w:rPr>
          <w:spacing w:val="1"/>
          <w:sz w:val="24"/>
        </w:rPr>
        <w:t> </w:t>
      </w:r>
      <w:r>
        <w:rPr>
          <w:sz w:val="24"/>
        </w:rPr>
        <w:t>Discovery</w:t>
      </w:r>
      <w:r>
        <w:rPr>
          <w:spacing w:val="1"/>
          <w:sz w:val="24"/>
        </w:rPr>
        <w:t> </w:t>
      </w:r>
      <w:r>
        <w:rPr>
          <w:sz w:val="24"/>
        </w:rPr>
        <w:t>until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Patient</w:t>
      </w:r>
      <w:r>
        <w:rPr>
          <w:spacing w:val="1"/>
          <w:sz w:val="24"/>
        </w:rPr>
        <w:t> </w:t>
      </w:r>
      <w:r>
        <w:rPr>
          <w:sz w:val="24"/>
        </w:rPr>
        <w:t>Monitoring.</w:t>
      </w:r>
      <w:r>
        <w:rPr>
          <w:spacing w:val="1"/>
          <w:sz w:val="24"/>
        </w:rPr>
        <w:t> </w:t>
      </w:r>
      <w:r>
        <w:rPr>
          <w:i/>
          <w:sz w:val="24"/>
        </w:rPr>
        <w:t>Cardiovascular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Haematological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Agents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Medicinal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Chemistry.</w:t>
      </w:r>
      <w:r>
        <w:rPr>
          <w:i/>
          <w:spacing w:val="9"/>
          <w:sz w:val="24"/>
        </w:rPr>
        <w:t> </w:t>
      </w:r>
      <w:r>
        <w:rPr>
          <w:sz w:val="24"/>
        </w:rPr>
        <w:t>1;</w:t>
      </w:r>
      <w:r>
        <w:rPr>
          <w:spacing w:val="-3"/>
          <w:sz w:val="24"/>
        </w:rPr>
        <w:t> </w:t>
      </w:r>
      <w:r>
        <w:rPr>
          <w:sz w:val="24"/>
        </w:rPr>
        <w:t>9(2):113-27.</w:t>
      </w:r>
    </w:p>
    <w:p>
      <w:pPr>
        <w:spacing w:line="357" w:lineRule="auto" w:before="203"/>
        <w:ind w:left="1540" w:right="1435" w:hanging="720"/>
        <w:jc w:val="both"/>
        <w:rPr>
          <w:sz w:val="24"/>
        </w:rPr>
      </w:pPr>
      <w:r>
        <w:rPr>
          <w:sz w:val="24"/>
        </w:rPr>
        <w:t>Durosinmi,</w:t>
      </w:r>
      <w:r>
        <w:rPr>
          <w:spacing w:val="1"/>
          <w:sz w:val="24"/>
        </w:rPr>
        <w:t> </w:t>
      </w:r>
      <w:r>
        <w:rPr>
          <w:sz w:val="24"/>
        </w:rPr>
        <w:t>M.A.,</w:t>
      </w:r>
      <w:r>
        <w:rPr>
          <w:spacing w:val="1"/>
          <w:sz w:val="24"/>
        </w:rPr>
        <w:t> </w:t>
      </w:r>
      <w:r>
        <w:rPr>
          <w:sz w:val="24"/>
        </w:rPr>
        <w:t>Gevao,</w:t>
      </w:r>
      <w:r>
        <w:rPr>
          <w:spacing w:val="1"/>
          <w:sz w:val="24"/>
        </w:rPr>
        <w:t> </w:t>
      </w:r>
      <w:r>
        <w:rPr>
          <w:sz w:val="24"/>
        </w:rPr>
        <w:t>S.M.,</w:t>
      </w:r>
      <w:r>
        <w:rPr>
          <w:spacing w:val="1"/>
          <w:sz w:val="24"/>
        </w:rPr>
        <w:t> </w:t>
      </w:r>
      <w:r>
        <w:rPr>
          <w:sz w:val="24"/>
        </w:rPr>
        <w:t>and Esan,</w:t>
      </w:r>
      <w:r>
        <w:rPr>
          <w:spacing w:val="1"/>
          <w:sz w:val="24"/>
        </w:rPr>
        <w:t> </w:t>
      </w:r>
      <w:r>
        <w:rPr>
          <w:sz w:val="24"/>
        </w:rPr>
        <w:t>G.J.</w:t>
      </w:r>
      <w:r>
        <w:rPr>
          <w:spacing w:val="1"/>
          <w:sz w:val="24"/>
        </w:rPr>
        <w:t> </w:t>
      </w:r>
      <w:r>
        <w:rPr>
          <w:sz w:val="24"/>
        </w:rPr>
        <w:t>(1991).</w:t>
      </w:r>
      <w:r>
        <w:rPr>
          <w:spacing w:val="1"/>
          <w:sz w:val="24"/>
        </w:rPr>
        <w:t> </w:t>
      </w:r>
      <w:r>
        <w:rPr>
          <w:sz w:val="24"/>
        </w:rPr>
        <w:t>Chronic</w:t>
      </w:r>
      <w:r>
        <w:rPr>
          <w:spacing w:val="1"/>
          <w:sz w:val="24"/>
        </w:rPr>
        <w:t> </w:t>
      </w:r>
      <w:r>
        <w:rPr>
          <w:sz w:val="24"/>
        </w:rPr>
        <w:t>Leg</w:t>
      </w:r>
      <w:r>
        <w:rPr>
          <w:spacing w:val="1"/>
          <w:sz w:val="24"/>
        </w:rPr>
        <w:t> </w:t>
      </w:r>
      <w:r>
        <w:rPr>
          <w:sz w:val="24"/>
        </w:rPr>
        <w:t>Ulcers</w:t>
      </w:r>
      <w:r>
        <w:rPr>
          <w:spacing w:val="1"/>
          <w:sz w:val="24"/>
        </w:rPr>
        <w:t> </w:t>
      </w:r>
      <w:r>
        <w:rPr>
          <w:sz w:val="24"/>
        </w:rPr>
        <w:t>in Sickle</w:t>
      </w:r>
      <w:r>
        <w:rPr>
          <w:spacing w:val="1"/>
          <w:sz w:val="24"/>
        </w:rPr>
        <w:t> </w:t>
      </w:r>
      <w:r>
        <w:rPr>
          <w:sz w:val="24"/>
        </w:rPr>
        <w:t>Cell</w:t>
      </w:r>
      <w:r>
        <w:rPr>
          <w:spacing w:val="1"/>
          <w:sz w:val="24"/>
        </w:rPr>
        <w:t> </w:t>
      </w:r>
      <w:r>
        <w:rPr>
          <w:sz w:val="24"/>
        </w:rPr>
        <w:t>Disease: Experience in Ibadan, Nigeria. </w:t>
      </w:r>
      <w:r>
        <w:rPr>
          <w:i/>
          <w:sz w:val="24"/>
        </w:rPr>
        <w:t>African Journal of Medical Sciences. </w:t>
      </w:r>
      <w:r>
        <w:rPr>
          <w:sz w:val="24"/>
        </w:rPr>
        <w:t>20(114)54-</w:t>
      </w:r>
      <w:r>
        <w:rPr>
          <w:spacing w:val="1"/>
          <w:sz w:val="24"/>
        </w:rPr>
        <w:t> </w:t>
      </w:r>
      <w:r>
        <w:rPr>
          <w:sz w:val="24"/>
        </w:rPr>
        <w:t>64.</w:t>
      </w:r>
    </w:p>
    <w:p>
      <w:pPr>
        <w:spacing w:after="0" w:line="357" w:lineRule="auto"/>
        <w:jc w:val="both"/>
        <w:rPr>
          <w:sz w:val="24"/>
        </w:rPr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57" w:lineRule="auto" w:before="72"/>
        <w:ind w:left="1540" w:right="1445" w:hanging="720"/>
        <w:jc w:val="both"/>
      </w:pPr>
      <w:r>
        <w:rPr/>
        <w:t>Edwin, J., Gyorffy, M.D., Hung Chan, M.D. (1991). Copper Deficiency and Microcytic Anaemia</w:t>
      </w:r>
      <w:r>
        <w:rPr>
          <w:spacing w:val="-57"/>
        </w:rPr>
        <w:t> </w:t>
      </w:r>
      <w:r>
        <w:rPr/>
        <w:t>Resulting from Prolonged Ingestion of Over-the-Counter Zinc. </w:t>
      </w:r>
      <w:r>
        <w:rPr>
          <w:i/>
        </w:rPr>
        <w:t>The American Journal of</w:t>
      </w:r>
      <w:r>
        <w:rPr>
          <w:i/>
          <w:spacing w:val="1"/>
        </w:rPr>
        <w:t> </w:t>
      </w:r>
      <w:r>
        <w:rPr>
          <w:i/>
        </w:rPr>
        <w:t>Gastroenterology.</w:t>
      </w:r>
      <w:r>
        <w:rPr>
          <w:i/>
          <w:spacing w:val="3"/>
        </w:rPr>
        <w:t> </w:t>
      </w:r>
      <w:r>
        <w:rPr/>
        <w:t>87(8)</w:t>
      </w:r>
      <w:r>
        <w:rPr>
          <w:spacing w:val="-1"/>
        </w:rPr>
        <w:t> </w:t>
      </w:r>
      <w:r>
        <w:rPr/>
        <w:t>1054</w:t>
      </w:r>
      <w:r>
        <w:rPr>
          <w:spacing w:val="3"/>
        </w:rPr>
        <w:t> </w:t>
      </w:r>
      <w:r>
        <w:rPr/>
        <w:t>–</w:t>
      </w:r>
      <w:r>
        <w:rPr>
          <w:spacing w:val="-3"/>
        </w:rPr>
        <w:t> </w:t>
      </w:r>
      <w:r>
        <w:rPr/>
        <w:t>1055.</w:t>
      </w:r>
    </w:p>
    <w:p>
      <w:pPr>
        <w:pStyle w:val="BodyText"/>
        <w:spacing w:line="360" w:lineRule="auto" w:before="206"/>
        <w:ind w:left="1540" w:right="1450" w:hanging="720"/>
        <w:jc w:val="both"/>
      </w:pPr>
      <w:r>
        <w:rPr/>
        <w:t>Ejiofor, J.I. (1998). Sickle Cell Anaemia at Ahmadu Bello University Teaching Hospital and</w:t>
      </w:r>
      <w:r>
        <w:rPr>
          <w:spacing w:val="1"/>
        </w:rPr>
        <w:t> </w:t>
      </w:r>
      <w:r>
        <w:rPr/>
        <w:t>Some Pharmacological</w:t>
      </w:r>
      <w:r>
        <w:rPr>
          <w:spacing w:val="-3"/>
        </w:rPr>
        <w:t> </w:t>
      </w:r>
      <w:r>
        <w:rPr/>
        <w:t>Studies</w:t>
      </w:r>
      <w:r>
        <w:rPr>
          <w:spacing w:val="-1"/>
        </w:rPr>
        <w:t> </w:t>
      </w:r>
      <w:r>
        <w:rPr/>
        <w:t>on</w:t>
      </w:r>
      <w:r>
        <w:rPr>
          <w:spacing w:val="-3"/>
        </w:rPr>
        <w:t> </w:t>
      </w:r>
      <w:r>
        <w:rPr/>
        <w:t>Siculine Syrup.</w:t>
      </w:r>
      <w:r>
        <w:rPr>
          <w:spacing w:val="3"/>
        </w:rPr>
        <w:t> </w:t>
      </w:r>
      <w:r>
        <w:rPr/>
        <w:t>Thesis:</w:t>
      </w:r>
      <w:r>
        <w:rPr>
          <w:spacing w:val="2"/>
        </w:rPr>
        <w:t> </w:t>
      </w:r>
      <w:r>
        <w:rPr/>
        <w:t>pp87</w:t>
      </w:r>
    </w:p>
    <w:p>
      <w:pPr>
        <w:spacing w:line="355" w:lineRule="auto" w:before="204"/>
        <w:ind w:left="1540" w:right="1449" w:hanging="720"/>
        <w:jc w:val="both"/>
        <w:rPr>
          <w:sz w:val="24"/>
        </w:rPr>
      </w:pPr>
      <w:r>
        <w:rPr>
          <w:sz w:val="24"/>
        </w:rPr>
        <w:t>Elisaf, M., Bairaktari, E., Kalaitzidis, R., and Siamopoulos, K. (1998). Hypomagnesemia in</w:t>
      </w:r>
      <w:r>
        <w:rPr>
          <w:spacing w:val="1"/>
          <w:sz w:val="24"/>
        </w:rPr>
        <w:t> </w:t>
      </w:r>
      <w:r>
        <w:rPr>
          <w:sz w:val="24"/>
        </w:rPr>
        <w:t>Alcoholic</w:t>
      </w:r>
      <w:r>
        <w:rPr>
          <w:spacing w:val="-2"/>
          <w:sz w:val="24"/>
        </w:rPr>
        <w:t> </w:t>
      </w:r>
      <w:r>
        <w:rPr>
          <w:sz w:val="24"/>
        </w:rPr>
        <w:t>Patients.</w:t>
      </w:r>
      <w:r>
        <w:rPr>
          <w:spacing w:val="58"/>
          <w:sz w:val="24"/>
        </w:rPr>
        <w:t> </w:t>
      </w:r>
      <w:r>
        <w:rPr>
          <w:i/>
          <w:sz w:val="24"/>
        </w:rPr>
        <w:t>Alcohol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Clinical and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Experimental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Journal.</w:t>
      </w:r>
      <w:r>
        <w:rPr>
          <w:i/>
          <w:spacing w:val="7"/>
          <w:sz w:val="24"/>
        </w:rPr>
        <w:t> </w:t>
      </w:r>
      <w:r>
        <w:rPr>
          <w:sz w:val="24"/>
        </w:rPr>
        <w:t>22:244-6.</w:t>
      </w:r>
    </w:p>
    <w:p>
      <w:pPr>
        <w:pStyle w:val="BodyText"/>
        <w:spacing w:line="355" w:lineRule="auto" w:before="210"/>
        <w:ind w:left="1540" w:right="1439" w:hanging="720"/>
        <w:jc w:val="both"/>
      </w:pPr>
      <w:r>
        <w:rPr/>
        <w:t>EMDEX 2010/2011. The Complete Drug Formulary for Nigeria’s Health Professionals. Pp 49-</w:t>
      </w:r>
      <w:r>
        <w:rPr>
          <w:spacing w:val="1"/>
        </w:rPr>
        <w:t> </w:t>
      </w:r>
      <w:r>
        <w:rPr/>
        <w:t>77,</w:t>
      </w:r>
      <w:r>
        <w:rPr>
          <w:spacing w:val="4"/>
        </w:rPr>
        <w:t> </w:t>
      </w:r>
      <w:r>
        <w:rPr/>
        <w:t>289,</w:t>
      </w:r>
      <w:r>
        <w:rPr>
          <w:spacing w:val="4"/>
        </w:rPr>
        <w:t> </w:t>
      </w:r>
      <w:r>
        <w:rPr/>
        <w:t>356,</w:t>
      </w:r>
      <w:r>
        <w:rPr>
          <w:spacing w:val="4"/>
        </w:rPr>
        <w:t> </w:t>
      </w:r>
      <w:r>
        <w:rPr/>
        <w:t>377,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581.</w:t>
      </w:r>
    </w:p>
    <w:p>
      <w:pPr>
        <w:spacing w:line="355" w:lineRule="auto" w:before="211"/>
        <w:ind w:left="1540" w:right="1435" w:hanging="720"/>
        <w:jc w:val="both"/>
        <w:rPr>
          <w:sz w:val="24"/>
        </w:rPr>
      </w:pPr>
      <w:r>
        <w:rPr>
          <w:sz w:val="24"/>
        </w:rPr>
        <w:t>Essien, E.U. (1995). Plasma levels of Retinol, Ascorbic acid and Alpha-tocopherol in Sickle Cell</w:t>
      </w:r>
      <w:r>
        <w:rPr>
          <w:spacing w:val="-57"/>
          <w:sz w:val="24"/>
        </w:rPr>
        <w:t> </w:t>
      </w:r>
      <w:r>
        <w:rPr>
          <w:sz w:val="24"/>
        </w:rPr>
        <w:t>Anaemia.</w:t>
      </w:r>
      <w:r>
        <w:rPr>
          <w:spacing w:val="3"/>
          <w:sz w:val="24"/>
        </w:rPr>
        <w:t> </w:t>
      </w:r>
      <w:r>
        <w:rPr>
          <w:i/>
          <w:sz w:val="24"/>
        </w:rPr>
        <w:t>Central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Medicine.</w:t>
      </w:r>
      <w:r>
        <w:rPr>
          <w:i/>
          <w:spacing w:val="7"/>
          <w:sz w:val="24"/>
        </w:rPr>
        <w:t> </w:t>
      </w:r>
      <w:r>
        <w:rPr>
          <w:sz w:val="24"/>
        </w:rPr>
        <w:t>41(2):48-50.</w:t>
      </w:r>
    </w:p>
    <w:p>
      <w:pPr>
        <w:spacing w:line="355" w:lineRule="auto" w:before="210"/>
        <w:ind w:left="1540" w:right="1444" w:hanging="720"/>
        <w:jc w:val="both"/>
        <w:rPr>
          <w:sz w:val="24"/>
        </w:rPr>
      </w:pPr>
      <w:r>
        <w:rPr>
          <w:sz w:val="24"/>
        </w:rPr>
        <w:t>Evers, H.R. (2002). Magnesium linked to Aging Mystery and Calcifications. </w:t>
      </w:r>
      <w:r>
        <w:rPr>
          <w:i/>
          <w:sz w:val="24"/>
        </w:rPr>
        <w:t>The magnesium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website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online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library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Retrieved July</w:t>
      </w:r>
      <w:r>
        <w:rPr>
          <w:spacing w:val="-10"/>
          <w:sz w:val="24"/>
        </w:rPr>
        <w:t> </w:t>
      </w:r>
      <w:r>
        <w:rPr>
          <w:sz w:val="24"/>
        </w:rPr>
        <w:t>6,</w:t>
      </w:r>
      <w:r>
        <w:rPr>
          <w:spacing w:val="3"/>
          <w:sz w:val="24"/>
        </w:rPr>
        <w:t> </w:t>
      </w:r>
      <w:r>
        <w:rPr>
          <w:sz w:val="24"/>
        </w:rPr>
        <w:t>2011,</w:t>
      </w:r>
      <w:r>
        <w:rPr>
          <w:spacing w:val="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hyperlink r:id="rId73">
        <w:r>
          <w:rPr>
            <w:sz w:val="24"/>
          </w:rPr>
          <w:t>http://www.mgwater.com/.</w:t>
        </w:r>
      </w:hyperlink>
    </w:p>
    <w:p>
      <w:pPr>
        <w:pStyle w:val="BodyText"/>
        <w:spacing w:line="355" w:lineRule="auto" w:before="210"/>
        <w:ind w:left="1540" w:right="1448" w:hanging="720"/>
        <w:jc w:val="both"/>
      </w:pPr>
      <w:r>
        <w:rPr/>
        <w:t>Ezzati,</w:t>
      </w:r>
      <w:r>
        <w:rPr>
          <w:spacing w:val="-3"/>
        </w:rPr>
        <w:t> </w:t>
      </w:r>
      <w:r>
        <w:rPr/>
        <w:t>M.,</w:t>
      </w:r>
      <w:r>
        <w:rPr>
          <w:spacing w:val="-2"/>
        </w:rPr>
        <w:t> </w:t>
      </w:r>
      <w:r>
        <w:rPr/>
        <w:t>Lopez,</w:t>
      </w:r>
      <w:r>
        <w:rPr>
          <w:spacing w:val="-2"/>
        </w:rPr>
        <w:t> </w:t>
      </w:r>
      <w:r>
        <w:rPr/>
        <w:t>A.D.,</w:t>
      </w:r>
      <w:r>
        <w:rPr>
          <w:spacing w:val="-6"/>
        </w:rPr>
        <w:t> </w:t>
      </w:r>
      <w:r>
        <w:rPr/>
        <w:t>Rodgers,</w:t>
      </w:r>
      <w:r>
        <w:rPr>
          <w:spacing w:val="-2"/>
        </w:rPr>
        <w:t> </w:t>
      </w:r>
      <w:r>
        <w:rPr/>
        <w:t>A.,</w:t>
      </w:r>
      <w:r>
        <w:rPr>
          <w:spacing w:val="-5"/>
        </w:rPr>
        <w:t> </w:t>
      </w:r>
      <w:r>
        <w:rPr/>
        <w:t>Vander,</w:t>
      </w:r>
      <w:r>
        <w:rPr>
          <w:spacing w:val="-3"/>
        </w:rPr>
        <w:t> </w:t>
      </w:r>
      <w:r>
        <w:rPr/>
        <w:t>H.S.,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Murray,</w:t>
      </w:r>
      <w:r>
        <w:rPr>
          <w:spacing w:val="-2"/>
        </w:rPr>
        <w:t> </w:t>
      </w:r>
      <w:r>
        <w:rPr/>
        <w:t>C.J.</w:t>
      </w:r>
      <w:r>
        <w:rPr>
          <w:spacing w:val="-2"/>
        </w:rPr>
        <w:t> </w:t>
      </w:r>
      <w:r>
        <w:rPr/>
        <w:t>(2002).</w:t>
      </w:r>
      <w:r>
        <w:rPr>
          <w:spacing w:val="-2"/>
        </w:rPr>
        <w:t> </w:t>
      </w:r>
      <w:r>
        <w:rPr/>
        <w:t>Selected</w:t>
      </w:r>
      <w:r>
        <w:rPr>
          <w:spacing w:val="1"/>
        </w:rPr>
        <w:t> </w:t>
      </w:r>
      <w:r>
        <w:rPr/>
        <w:t>major</w:t>
      </w:r>
      <w:r>
        <w:rPr>
          <w:spacing w:val="-3"/>
        </w:rPr>
        <w:t> </w:t>
      </w:r>
      <w:r>
        <w:rPr/>
        <w:t>risk</w:t>
      </w:r>
      <w:r>
        <w:rPr>
          <w:spacing w:val="-58"/>
        </w:rPr>
        <w:t> </w:t>
      </w:r>
      <w:r>
        <w:rPr/>
        <w:t>factors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global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regional</w:t>
      </w:r>
      <w:r>
        <w:rPr>
          <w:spacing w:val="2"/>
        </w:rPr>
        <w:t> </w:t>
      </w:r>
      <w:r>
        <w:rPr/>
        <w:t>burden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disease.</w:t>
      </w:r>
      <w:r>
        <w:rPr>
          <w:spacing w:val="4"/>
        </w:rPr>
        <w:t> </w:t>
      </w:r>
      <w:r>
        <w:rPr>
          <w:i/>
        </w:rPr>
        <w:t>Lancet.</w:t>
      </w:r>
      <w:r>
        <w:rPr>
          <w:i/>
          <w:spacing w:val="4"/>
        </w:rPr>
        <w:t> </w:t>
      </w:r>
      <w:r>
        <w:rPr/>
        <w:t>360:1347–60.</w:t>
      </w:r>
    </w:p>
    <w:p>
      <w:pPr>
        <w:pStyle w:val="BodyText"/>
        <w:spacing w:line="360" w:lineRule="auto" w:before="211"/>
        <w:ind w:left="1540" w:right="1442" w:hanging="720"/>
        <w:jc w:val="both"/>
      </w:pPr>
      <w:r>
        <w:rPr/>
        <w:t>Fawibe, A.E. (2008). Managing Acute Chest Syndrome of Sickle Cell Disease in an African</w:t>
      </w:r>
      <w:r>
        <w:rPr>
          <w:spacing w:val="1"/>
        </w:rPr>
        <w:t> </w:t>
      </w:r>
      <w:r>
        <w:rPr/>
        <w:t>setting. Transactions of the Royal Society of Tropical Medicine and Hygiene. 102:526-</w:t>
      </w:r>
      <w:r>
        <w:rPr>
          <w:spacing w:val="1"/>
        </w:rPr>
        <w:t> </w:t>
      </w:r>
      <w:r>
        <w:rPr/>
        <w:t>531.</w:t>
      </w:r>
    </w:p>
    <w:p>
      <w:pPr>
        <w:pStyle w:val="BodyText"/>
        <w:spacing w:before="203"/>
        <w:ind w:left="820"/>
        <w:jc w:val="both"/>
      </w:pPr>
      <w:r>
        <w:rPr/>
        <w:t>Firoz,</w:t>
      </w:r>
      <w:r>
        <w:rPr>
          <w:spacing w:val="35"/>
        </w:rPr>
        <w:t> </w:t>
      </w:r>
      <w:r>
        <w:rPr/>
        <w:t>M.,</w:t>
      </w:r>
      <w:r>
        <w:rPr>
          <w:spacing w:val="35"/>
        </w:rPr>
        <w:t> </w:t>
      </w:r>
      <w:r>
        <w:rPr/>
        <w:t>and</w:t>
      </w:r>
      <w:r>
        <w:rPr>
          <w:spacing w:val="33"/>
        </w:rPr>
        <w:t> </w:t>
      </w:r>
      <w:r>
        <w:rPr/>
        <w:t>Graber,</w:t>
      </w:r>
      <w:r>
        <w:rPr>
          <w:spacing w:val="35"/>
        </w:rPr>
        <w:t> </w:t>
      </w:r>
      <w:r>
        <w:rPr/>
        <w:t>M.</w:t>
      </w:r>
      <w:r>
        <w:rPr>
          <w:spacing w:val="35"/>
        </w:rPr>
        <w:t> </w:t>
      </w:r>
      <w:r>
        <w:rPr/>
        <w:t>(2001).</w:t>
      </w:r>
      <w:r>
        <w:rPr>
          <w:spacing w:val="38"/>
        </w:rPr>
        <w:t> </w:t>
      </w:r>
      <w:r>
        <w:rPr/>
        <w:t>Bioavailability</w:t>
      </w:r>
      <w:r>
        <w:rPr>
          <w:spacing w:val="29"/>
        </w:rPr>
        <w:t> </w:t>
      </w:r>
      <w:r>
        <w:rPr/>
        <w:t>of</w:t>
      </w:r>
      <w:r>
        <w:rPr>
          <w:spacing w:val="26"/>
        </w:rPr>
        <w:t> </w:t>
      </w:r>
      <w:r>
        <w:rPr/>
        <w:t>US</w:t>
      </w:r>
      <w:r>
        <w:rPr>
          <w:spacing w:val="33"/>
        </w:rPr>
        <w:t> </w:t>
      </w:r>
      <w:r>
        <w:rPr/>
        <w:t>commercial</w:t>
      </w:r>
      <w:r>
        <w:rPr>
          <w:spacing w:val="28"/>
        </w:rPr>
        <w:t> </w:t>
      </w:r>
      <w:r>
        <w:rPr/>
        <w:t>Magnesium</w:t>
      </w:r>
      <w:r>
        <w:rPr>
          <w:spacing w:val="30"/>
        </w:rPr>
        <w:t> </w:t>
      </w:r>
      <w:r>
        <w:rPr/>
        <w:t>preparation.</w:t>
      </w:r>
    </w:p>
    <w:p>
      <w:pPr>
        <w:spacing w:before="132"/>
        <w:ind w:left="1540" w:right="0" w:firstLine="0"/>
        <w:jc w:val="both"/>
        <w:rPr>
          <w:sz w:val="24"/>
        </w:rPr>
      </w:pPr>
      <w:r>
        <w:rPr>
          <w:i/>
          <w:sz w:val="24"/>
        </w:rPr>
        <w:t>Magnesium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Research.</w:t>
      </w:r>
      <w:r>
        <w:rPr>
          <w:i/>
          <w:spacing w:val="3"/>
          <w:sz w:val="24"/>
        </w:rPr>
        <w:t> </w:t>
      </w:r>
      <w:r>
        <w:rPr>
          <w:sz w:val="24"/>
        </w:rPr>
        <w:t>14:257-62.</w:t>
      </w:r>
    </w:p>
    <w:p>
      <w:pPr>
        <w:pStyle w:val="BodyText"/>
        <w:spacing w:before="9"/>
        <w:rPr>
          <w:sz w:val="29"/>
        </w:rPr>
      </w:pPr>
    </w:p>
    <w:p>
      <w:pPr>
        <w:spacing w:line="355" w:lineRule="auto" w:before="0"/>
        <w:ind w:left="1540" w:right="1440" w:hanging="720"/>
        <w:jc w:val="both"/>
        <w:rPr>
          <w:sz w:val="24"/>
        </w:rPr>
      </w:pPr>
      <w:r>
        <w:rPr>
          <w:sz w:val="24"/>
        </w:rPr>
        <w:t>Ford, E.S. (1999). Serum Magnesium and ischaemic Heart Disease: Findings from a National</w:t>
      </w:r>
      <w:r>
        <w:rPr>
          <w:spacing w:val="1"/>
          <w:sz w:val="24"/>
        </w:rPr>
        <w:t> </w:t>
      </w:r>
      <w:r>
        <w:rPr>
          <w:sz w:val="24"/>
        </w:rPr>
        <w:t>sample of</w:t>
      </w:r>
      <w:r>
        <w:rPr>
          <w:spacing w:val="-7"/>
          <w:sz w:val="24"/>
        </w:rPr>
        <w:t> </w:t>
      </w:r>
      <w:r>
        <w:rPr>
          <w:sz w:val="24"/>
        </w:rPr>
        <w:t>US</w:t>
      </w:r>
      <w:r>
        <w:rPr>
          <w:spacing w:val="2"/>
          <w:sz w:val="24"/>
        </w:rPr>
        <w:t> </w:t>
      </w:r>
      <w:r>
        <w:rPr>
          <w:sz w:val="24"/>
        </w:rPr>
        <w:t>Adults.</w:t>
      </w:r>
      <w:r>
        <w:rPr>
          <w:spacing w:val="4"/>
          <w:sz w:val="24"/>
        </w:rPr>
        <w:t> </w:t>
      </w:r>
      <w:r>
        <w:rPr>
          <w:i/>
          <w:sz w:val="24"/>
        </w:rPr>
        <w:t>International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Epidemiology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28:645-51.</w:t>
      </w:r>
    </w:p>
    <w:p>
      <w:pPr>
        <w:spacing w:before="206"/>
        <w:ind w:left="820" w:right="0" w:firstLine="0"/>
        <w:jc w:val="both"/>
        <w:rPr>
          <w:sz w:val="24"/>
        </w:rPr>
      </w:pPr>
      <w:r>
        <w:rPr>
          <w:sz w:val="24"/>
        </w:rPr>
        <w:t>Fosmaire, G.J.</w:t>
      </w:r>
      <w:r>
        <w:rPr>
          <w:spacing w:val="-1"/>
          <w:sz w:val="24"/>
        </w:rPr>
        <w:t> </w:t>
      </w:r>
      <w:r>
        <w:rPr>
          <w:sz w:val="24"/>
        </w:rPr>
        <w:t>(1990).</w:t>
      </w:r>
      <w:r>
        <w:rPr>
          <w:spacing w:val="-5"/>
          <w:sz w:val="24"/>
        </w:rPr>
        <w:t> </w:t>
      </w:r>
      <w:r>
        <w:rPr>
          <w:sz w:val="24"/>
        </w:rPr>
        <w:t>Zinc</w:t>
      </w:r>
      <w:r>
        <w:rPr>
          <w:spacing w:val="-3"/>
          <w:sz w:val="24"/>
        </w:rPr>
        <w:t> </w:t>
      </w:r>
      <w:r>
        <w:rPr>
          <w:sz w:val="24"/>
        </w:rPr>
        <w:t>toxicity.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Nutrition.</w:t>
      </w:r>
      <w:r>
        <w:rPr>
          <w:i/>
          <w:spacing w:val="-1"/>
          <w:sz w:val="24"/>
        </w:rPr>
        <w:t> </w:t>
      </w:r>
      <w:r>
        <w:rPr>
          <w:sz w:val="24"/>
        </w:rPr>
        <w:t>51(2),</w:t>
      </w:r>
      <w:r>
        <w:rPr>
          <w:spacing w:val="-4"/>
          <w:sz w:val="24"/>
        </w:rPr>
        <w:t> </w:t>
      </w:r>
      <w:r>
        <w:rPr>
          <w:sz w:val="24"/>
        </w:rPr>
        <w:t>225–227.</w:t>
      </w:r>
    </w:p>
    <w:p>
      <w:pPr>
        <w:pStyle w:val="BodyText"/>
        <w:spacing w:before="9"/>
        <w:rPr>
          <w:sz w:val="29"/>
        </w:rPr>
      </w:pPr>
    </w:p>
    <w:p>
      <w:pPr>
        <w:spacing w:line="355" w:lineRule="auto" w:before="1"/>
        <w:ind w:left="1540" w:right="1447" w:hanging="720"/>
        <w:jc w:val="both"/>
        <w:rPr>
          <w:sz w:val="24"/>
        </w:rPr>
      </w:pPr>
      <w:r>
        <w:rPr>
          <w:sz w:val="24"/>
        </w:rPr>
        <w:t>Frenette, P.S. and George, F.A (2007). Sickle Cell Disease: old discoveries, new concepts, and</w:t>
      </w:r>
      <w:r>
        <w:rPr>
          <w:spacing w:val="1"/>
          <w:sz w:val="24"/>
        </w:rPr>
        <w:t> </w:t>
      </w:r>
      <w:r>
        <w:rPr>
          <w:sz w:val="24"/>
        </w:rPr>
        <w:t>future promise.</w:t>
      </w:r>
      <w:r>
        <w:rPr>
          <w:spacing w:val="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Investigation</w:t>
      </w:r>
      <w:r>
        <w:rPr>
          <w:sz w:val="24"/>
        </w:rPr>
        <w:t>.</w:t>
      </w:r>
      <w:r>
        <w:rPr>
          <w:spacing w:val="4"/>
          <w:sz w:val="24"/>
        </w:rPr>
        <w:t> </w:t>
      </w:r>
      <w:r>
        <w:rPr>
          <w:sz w:val="24"/>
        </w:rPr>
        <w:t>117(4):850-858.</w:t>
      </w:r>
    </w:p>
    <w:p>
      <w:pPr>
        <w:spacing w:after="0" w:line="355" w:lineRule="auto"/>
        <w:jc w:val="both"/>
        <w:rPr>
          <w:sz w:val="24"/>
        </w:rPr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57" w:lineRule="auto" w:before="72"/>
        <w:ind w:left="1540" w:right="1443" w:hanging="720"/>
        <w:jc w:val="both"/>
      </w:pPr>
      <w:r>
        <w:rPr/>
        <w:t>Gibson, R.S. and Hotz, C. (2001). Dietary Diversification/Modification strategies to enhance</w:t>
      </w:r>
      <w:r>
        <w:rPr>
          <w:spacing w:val="1"/>
        </w:rPr>
        <w:t> </w:t>
      </w:r>
      <w:r>
        <w:rPr/>
        <w:t>Micronutrient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Diets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Countries.</w:t>
      </w:r>
      <w:r>
        <w:rPr>
          <w:spacing w:val="1"/>
        </w:rPr>
        <w:t> </w:t>
      </w:r>
      <w:r>
        <w:rPr>
          <w:i/>
        </w:rPr>
        <w:t>British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Nutrition</w:t>
      </w:r>
      <w:r>
        <w:rPr/>
        <w:t>.</w:t>
      </w:r>
      <w:r>
        <w:rPr>
          <w:spacing w:val="4"/>
        </w:rPr>
        <w:t> </w:t>
      </w:r>
      <w:r>
        <w:rPr/>
        <w:t>85(Suppl.</w:t>
      </w:r>
      <w:r>
        <w:rPr>
          <w:spacing w:val="3"/>
        </w:rPr>
        <w:t> </w:t>
      </w:r>
      <w:r>
        <w:rPr/>
        <w:t>2):</w:t>
      </w:r>
      <w:r>
        <w:rPr>
          <w:spacing w:val="2"/>
        </w:rPr>
        <w:t> </w:t>
      </w:r>
      <w:r>
        <w:rPr/>
        <w:t>S159-S166.</w:t>
      </w:r>
    </w:p>
    <w:p>
      <w:pPr>
        <w:spacing w:line="360" w:lineRule="auto" w:before="206"/>
        <w:ind w:left="1540" w:right="1440" w:hanging="720"/>
        <w:jc w:val="both"/>
        <w:rPr>
          <w:sz w:val="24"/>
        </w:rPr>
      </w:pPr>
      <w:r>
        <w:rPr>
          <w:sz w:val="24"/>
        </w:rPr>
        <w:t>Gladwin, M.T, Schechter, A.N., Shelhamer, J.H.and Ognibene, F.P. (1999). The Acute Chest</w:t>
      </w:r>
      <w:r>
        <w:rPr>
          <w:spacing w:val="1"/>
          <w:sz w:val="24"/>
        </w:rPr>
        <w:t> </w:t>
      </w:r>
      <w:r>
        <w:rPr>
          <w:sz w:val="24"/>
        </w:rPr>
        <w:t>Syndrome in Sickle Cell Disease. Possible Role of Nitric Oxide in its Pathophysiology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Treatment.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Respiratory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Critical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159(5):1368-1376.</w:t>
      </w:r>
    </w:p>
    <w:p>
      <w:pPr>
        <w:pStyle w:val="BodyText"/>
        <w:spacing w:line="355" w:lineRule="auto" w:before="202"/>
        <w:ind w:left="1540" w:right="1446" w:hanging="720"/>
        <w:jc w:val="both"/>
      </w:pPr>
      <w:r>
        <w:rPr/>
        <w:t>Gladwin,</w:t>
      </w:r>
      <w:r>
        <w:rPr>
          <w:spacing w:val="1"/>
        </w:rPr>
        <w:t> </w:t>
      </w:r>
      <w:r>
        <w:rPr/>
        <w:t>M.T, Schechter,</w:t>
      </w:r>
      <w:r>
        <w:rPr>
          <w:spacing w:val="1"/>
        </w:rPr>
        <w:t> </w:t>
      </w:r>
      <w:r>
        <w:rPr/>
        <w:t>A.N., and</w:t>
      </w:r>
      <w:r>
        <w:rPr>
          <w:spacing w:val="1"/>
        </w:rPr>
        <w:t> </w:t>
      </w:r>
      <w:r>
        <w:rPr/>
        <w:t>Ognibene,</w:t>
      </w:r>
      <w:r>
        <w:rPr>
          <w:spacing w:val="1"/>
        </w:rPr>
        <w:t> </w:t>
      </w:r>
      <w:r>
        <w:rPr/>
        <w:t>F.P.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Divergent</w:t>
      </w:r>
      <w:r>
        <w:rPr>
          <w:spacing w:val="1"/>
        </w:rPr>
        <w:t> </w:t>
      </w:r>
      <w:r>
        <w:rPr/>
        <w:t>Nitric</w:t>
      </w:r>
      <w:r>
        <w:rPr>
          <w:spacing w:val="1"/>
        </w:rPr>
        <w:t> </w:t>
      </w:r>
      <w:r>
        <w:rPr/>
        <w:t>Oxide</w:t>
      </w:r>
      <w:r>
        <w:rPr>
          <w:spacing w:val="1"/>
        </w:rPr>
        <w:t> </w:t>
      </w:r>
      <w:r>
        <w:rPr/>
        <w:t>bioavailability</w:t>
      </w:r>
      <w:r>
        <w:rPr>
          <w:spacing w:val="-6"/>
        </w:rPr>
        <w:t> </w:t>
      </w:r>
      <w:r>
        <w:rPr/>
        <w:t>in Men</w:t>
      </w:r>
      <w:r>
        <w:rPr>
          <w:spacing w:val="-5"/>
        </w:rPr>
        <w:t> </w:t>
      </w:r>
      <w:r>
        <w:rPr/>
        <w:t>and</w:t>
      </w:r>
      <w:r>
        <w:rPr>
          <w:spacing w:val="4"/>
        </w:rPr>
        <w:t> </w:t>
      </w:r>
      <w:r>
        <w:rPr/>
        <w:t>Women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Sickle</w:t>
      </w:r>
      <w:r>
        <w:rPr>
          <w:spacing w:val="-2"/>
        </w:rPr>
        <w:t> </w:t>
      </w:r>
      <w:r>
        <w:rPr/>
        <w:t>Cell</w:t>
      </w:r>
      <w:r>
        <w:rPr>
          <w:spacing w:val="-9"/>
        </w:rPr>
        <w:t> </w:t>
      </w:r>
      <w:r>
        <w:rPr/>
        <w:t>Disease.</w:t>
      </w:r>
      <w:r>
        <w:rPr>
          <w:spacing w:val="6"/>
        </w:rPr>
        <w:t> </w:t>
      </w:r>
      <w:r>
        <w:rPr>
          <w:i/>
        </w:rPr>
        <w:t>Circulation</w:t>
      </w:r>
      <w:r>
        <w:rPr/>
        <w:t>.</w:t>
      </w:r>
      <w:r>
        <w:rPr>
          <w:spacing w:val="1"/>
        </w:rPr>
        <w:t> </w:t>
      </w:r>
      <w:r>
        <w:rPr/>
        <w:t>107:271-278</w:t>
      </w:r>
    </w:p>
    <w:p>
      <w:pPr>
        <w:pStyle w:val="BodyText"/>
        <w:spacing w:before="210"/>
        <w:ind w:left="820"/>
      </w:pPr>
      <w:r>
        <w:rPr/>
        <w:t>Gladwin,</w:t>
      </w:r>
      <w:r>
        <w:rPr>
          <w:spacing w:val="40"/>
        </w:rPr>
        <w:t> </w:t>
      </w:r>
      <w:r>
        <w:rPr/>
        <w:t>M.T.</w:t>
      </w:r>
      <w:r>
        <w:rPr>
          <w:spacing w:val="40"/>
        </w:rPr>
        <w:t> </w:t>
      </w:r>
      <w:r>
        <w:rPr/>
        <w:t>and</w:t>
      </w:r>
      <w:r>
        <w:rPr>
          <w:spacing w:val="38"/>
        </w:rPr>
        <w:t> </w:t>
      </w:r>
      <w:r>
        <w:rPr/>
        <w:t>Vinchinsky,</w:t>
      </w:r>
      <w:r>
        <w:rPr>
          <w:spacing w:val="40"/>
        </w:rPr>
        <w:t> </w:t>
      </w:r>
      <w:r>
        <w:rPr/>
        <w:t>E.</w:t>
      </w:r>
      <w:r>
        <w:rPr>
          <w:spacing w:val="40"/>
        </w:rPr>
        <w:t> </w:t>
      </w:r>
      <w:r>
        <w:rPr/>
        <w:t>(2008).</w:t>
      </w:r>
      <w:r>
        <w:rPr>
          <w:spacing w:val="40"/>
        </w:rPr>
        <w:t> </w:t>
      </w:r>
      <w:r>
        <w:rPr/>
        <w:t>Pulmonary</w:t>
      </w:r>
      <w:r>
        <w:rPr>
          <w:spacing w:val="29"/>
        </w:rPr>
        <w:t> </w:t>
      </w:r>
      <w:r>
        <w:rPr/>
        <w:t>Complications</w:t>
      </w:r>
      <w:r>
        <w:rPr>
          <w:spacing w:val="36"/>
        </w:rPr>
        <w:t> </w:t>
      </w:r>
      <w:r>
        <w:rPr/>
        <w:t>of</w:t>
      </w:r>
      <w:r>
        <w:rPr>
          <w:spacing w:val="29"/>
        </w:rPr>
        <w:t> </w:t>
      </w:r>
      <w:r>
        <w:rPr/>
        <w:t>Sickle</w:t>
      </w:r>
      <w:r>
        <w:rPr>
          <w:spacing w:val="41"/>
        </w:rPr>
        <w:t> </w:t>
      </w:r>
      <w:r>
        <w:rPr/>
        <w:t>Cell</w:t>
      </w:r>
      <w:r>
        <w:rPr>
          <w:spacing w:val="34"/>
        </w:rPr>
        <w:t> </w:t>
      </w:r>
      <w:r>
        <w:rPr/>
        <w:t>Disease.</w:t>
      </w:r>
    </w:p>
    <w:p>
      <w:pPr>
        <w:spacing w:before="132"/>
        <w:ind w:left="1540" w:right="0" w:firstLine="0"/>
        <w:jc w:val="left"/>
        <w:rPr>
          <w:sz w:val="24"/>
        </w:rPr>
      </w:pPr>
      <w:r>
        <w:rPr>
          <w:i/>
          <w:sz w:val="24"/>
        </w:rPr>
        <w:t>New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England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Medicine.</w:t>
      </w:r>
      <w:r>
        <w:rPr>
          <w:i/>
          <w:spacing w:val="1"/>
          <w:sz w:val="24"/>
        </w:rPr>
        <w:t> </w:t>
      </w:r>
      <w:r>
        <w:rPr>
          <w:sz w:val="24"/>
        </w:rPr>
        <w:t>359:2254-2265.</w:t>
      </w:r>
    </w:p>
    <w:p>
      <w:pPr>
        <w:pStyle w:val="BodyText"/>
        <w:spacing w:before="10"/>
        <w:rPr>
          <w:sz w:val="29"/>
        </w:rPr>
      </w:pPr>
    </w:p>
    <w:p>
      <w:pPr>
        <w:spacing w:line="360" w:lineRule="auto" w:before="0"/>
        <w:ind w:left="1540" w:right="1433" w:hanging="720"/>
        <w:jc w:val="left"/>
        <w:rPr>
          <w:sz w:val="24"/>
        </w:rPr>
      </w:pPr>
      <w:r>
        <w:rPr>
          <w:sz w:val="24"/>
        </w:rPr>
        <w:t>Goodman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Gilman</w:t>
      </w:r>
      <w:r>
        <w:rPr>
          <w:spacing w:val="24"/>
          <w:sz w:val="24"/>
        </w:rPr>
        <w:t> </w:t>
      </w:r>
      <w:r>
        <w:rPr>
          <w:sz w:val="24"/>
        </w:rPr>
        <w:t>(1996).</w:t>
      </w:r>
      <w:r>
        <w:rPr>
          <w:spacing w:val="3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Pharmacological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Basis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Therapeutics</w:t>
      </w:r>
      <w:r>
        <w:rPr>
          <w:sz w:val="24"/>
        </w:rPr>
        <w:t>.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McGraw</w:t>
      </w:r>
      <w:r>
        <w:rPr>
          <w:spacing w:val="28"/>
          <w:sz w:val="24"/>
        </w:rPr>
        <w:t> </w:t>
      </w:r>
      <w:r>
        <w:rPr>
          <w:sz w:val="24"/>
        </w:rPr>
        <w:t>Hill</w:t>
      </w:r>
      <w:r>
        <w:rPr>
          <w:spacing w:val="-57"/>
          <w:sz w:val="24"/>
        </w:rPr>
        <w:t> </w:t>
      </w:r>
      <w:r>
        <w:rPr>
          <w:sz w:val="24"/>
        </w:rPr>
        <w:t>Companies,</w:t>
      </w:r>
      <w:r>
        <w:rPr>
          <w:spacing w:val="3"/>
          <w:sz w:val="24"/>
        </w:rPr>
        <w:t> </w:t>
      </w:r>
      <w:r>
        <w:rPr>
          <w:sz w:val="24"/>
        </w:rPr>
        <w:t>Inc.</w:t>
      </w:r>
      <w:r>
        <w:rPr>
          <w:spacing w:val="3"/>
          <w:sz w:val="24"/>
        </w:rPr>
        <w:t> </w:t>
      </w:r>
      <w:r>
        <w:rPr>
          <w:sz w:val="24"/>
        </w:rPr>
        <w:t>PP. 521-548,</w:t>
      </w:r>
      <w:r>
        <w:rPr>
          <w:spacing w:val="3"/>
          <w:sz w:val="24"/>
        </w:rPr>
        <w:t> </w:t>
      </w:r>
      <w:r>
        <w:rPr>
          <w:sz w:val="24"/>
        </w:rPr>
        <w:t>617-640,</w:t>
      </w:r>
      <w:r>
        <w:rPr>
          <w:spacing w:val="4"/>
          <w:sz w:val="24"/>
        </w:rPr>
        <w:t> </w:t>
      </w:r>
      <w:r>
        <w:rPr>
          <w:sz w:val="24"/>
        </w:rPr>
        <w:t>967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1082.</w:t>
      </w:r>
    </w:p>
    <w:p>
      <w:pPr>
        <w:pStyle w:val="BodyText"/>
        <w:spacing w:before="199"/>
        <w:ind w:left="820"/>
      </w:pPr>
      <w:r>
        <w:rPr/>
        <w:t>Gothoni,</w:t>
      </w:r>
      <w:r>
        <w:rPr>
          <w:spacing w:val="8"/>
        </w:rPr>
        <w:t> </w:t>
      </w:r>
      <w:r>
        <w:rPr/>
        <w:t>G.</w:t>
      </w:r>
      <w:r>
        <w:rPr>
          <w:spacing w:val="67"/>
        </w:rPr>
        <w:t> </w:t>
      </w:r>
      <w:r>
        <w:rPr/>
        <w:t>(1995).</w:t>
      </w:r>
      <w:r>
        <w:rPr>
          <w:spacing w:val="67"/>
        </w:rPr>
        <w:t> </w:t>
      </w:r>
      <w:r>
        <w:rPr/>
        <w:t>High-dose</w:t>
      </w:r>
      <w:r>
        <w:rPr>
          <w:spacing w:val="64"/>
        </w:rPr>
        <w:t> </w:t>
      </w:r>
      <w:r>
        <w:rPr/>
        <w:t>Folic</w:t>
      </w:r>
      <w:r>
        <w:rPr>
          <w:spacing w:val="69"/>
        </w:rPr>
        <w:t> </w:t>
      </w:r>
      <w:r>
        <w:rPr/>
        <w:t>acid</w:t>
      </w:r>
      <w:r>
        <w:rPr>
          <w:spacing w:val="66"/>
        </w:rPr>
        <w:t> </w:t>
      </w:r>
      <w:r>
        <w:rPr/>
        <w:t>treatment</w:t>
      </w:r>
      <w:r>
        <w:rPr>
          <w:spacing w:val="75"/>
        </w:rPr>
        <w:t> </w:t>
      </w:r>
      <w:r>
        <w:rPr/>
        <w:t>for</w:t>
      </w:r>
      <w:r>
        <w:rPr>
          <w:spacing w:val="67"/>
        </w:rPr>
        <w:t> </w:t>
      </w:r>
      <w:r>
        <w:rPr/>
        <w:t>Red</w:t>
      </w:r>
      <w:r>
        <w:rPr>
          <w:spacing w:val="65"/>
        </w:rPr>
        <w:t> </w:t>
      </w:r>
      <w:r>
        <w:rPr/>
        <w:t>Cell</w:t>
      </w:r>
      <w:r>
        <w:rPr>
          <w:spacing w:val="66"/>
        </w:rPr>
        <w:t> </w:t>
      </w:r>
      <w:r>
        <w:rPr/>
        <w:t>Aplasia.</w:t>
      </w:r>
      <w:r>
        <w:rPr>
          <w:spacing w:val="70"/>
        </w:rPr>
        <w:t> </w:t>
      </w:r>
      <w:r>
        <w:rPr>
          <w:i/>
        </w:rPr>
        <w:t>Letter.</w:t>
      </w:r>
      <w:r>
        <w:rPr>
          <w:i/>
          <w:spacing w:val="67"/>
        </w:rPr>
        <w:t> </w:t>
      </w:r>
      <w:r>
        <w:rPr>
          <w:i/>
        </w:rPr>
        <w:t>Lancet</w:t>
      </w:r>
      <w:r>
        <w:rPr/>
        <w:t>.</w:t>
      </w:r>
    </w:p>
    <w:p>
      <w:pPr>
        <w:pStyle w:val="BodyText"/>
        <w:spacing w:before="137"/>
        <w:ind w:left="1540"/>
      </w:pPr>
      <w:r>
        <w:rPr/>
        <w:t>345:1645-6.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357" w:lineRule="auto"/>
        <w:ind w:left="1540" w:right="1443" w:hanging="720"/>
        <w:jc w:val="both"/>
      </w:pPr>
      <w:r>
        <w:rPr/>
        <w:t>Graham, R. and Welch, R. (1996). Breeding for staple Food Crops with high Micronutrient</w:t>
      </w:r>
      <w:r>
        <w:rPr>
          <w:spacing w:val="1"/>
        </w:rPr>
        <w:t> </w:t>
      </w:r>
      <w:r>
        <w:rPr/>
        <w:t>density: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Micronutrients.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-3"/>
        </w:rPr>
        <w:t> </w:t>
      </w:r>
      <w:r>
        <w:rPr/>
        <w:t>Food</w:t>
      </w:r>
      <w:r>
        <w:rPr>
          <w:spacing w:val="-3"/>
        </w:rPr>
        <w:t> </w:t>
      </w:r>
      <w:r>
        <w:rPr/>
        <w:t>Policy</w:t>
      </w:r>
      <w:r>
        <w:rPr>
          <w:spacing w:val="-3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Institute:</w:t>
      </w:r>
      <w:r>
        <w:rPr>
          <w:spacing w:val="-2"/>
        </w:rPr>
        <w:t> </w:t>
      </w:r>
      <w:r>
        <w:rPr/>
        <w:t>Washington</w:t>
      </w:r>
      <w:r>
        <w:rPr>
          <w:spacing w:val="-3"/>
        </w:rPr>
        <w:t> </w:t>
      </w:r>
      <w:r>
        <w:rPr/>
        <w:t>DC.</w:t>
      </w:r>
    </w:p>
    <w:p>
      <w:pPr>
        <w:spacing w:line="360" w:lineRule="auto" w:before="206"/>
        <w:ind w:left="1540" w:right="1439" w:hanging="720"/>
        <w:jc w:val="both"/>
        <w:rPr>
          <w:sz w:val="24"/>
        </w:rPr>
      </w:pPr>
      <w:r>
        <w:rPr>
          <w:sz w:val="24"/>
        </w:rPr>
        <w:t>Gray,</w:t>
      </w:r>
      <w:r>
        <w:rPr>
          <w:spacing w:val="1"/>
          <w:sz w:val="24"/>
        </w:rPr>
        <w:t> </w:t>
      </w:r>
      <w:r>
        <w:rPr>
          <w:sz w:val="24"/>
        </w:rPr>
        <w:t>N.T., Bartlett,</w:t>
      </w:r>
      <w:r>
        <w:rPr>
          <w:spacing w:val="1"/>
          <w:sz w:val="24"/>
        </w:rPr>
        <w:t> </w:t>
      </w:r>
      <w:r>
        <w:rPr>
          <w:sz w:val="24"/>
        </w:rPr>
        <w:t>J.M., Kolasa,</w:t>
      </w:r>
      <w:r>
        <w:rPr>
          <w:spacing w:val="1"/>
          <w:sz w:val="24"/>
        </w:rPr>
        <w:t> </w:t>
      </w:r>
      <w:r>
        <w:rPr>
          <w:sz w:val="24"/>
        </w:rPr>
        <w:t>K.M.,</w:t>
      </w:r>
      <w:r>
        <w:rPr>
          <w:spacing w:val="1"/>
          <w:sz w:val="24"/>
        </w:rPr>
        <w:t> </w:t>
      </w:r>
      <w:r>
        <w:rPr>
          <w:sz w:val="24"/>
        </w:rPr>
        <w:t>Marcuard,</w:t>
      </w:r>
      <w:r>
        <w:rPr>
          <w:spacing w:val="1"/>
          <w:sz w:val="24"/>
        </w:rPr>
        <w:t> </w:t>
      </w:r>
      <w:r>
        <w:rPr>
          <w:sz w:val="24"/>
        </w:rPr>
        <w:t>S.P.,</w:t>
      </w:r>
      <w:r>
        <w:rPr>
          <w:spacing w:val="1"/>
          <w:sz w:val="24"/>
        </w:rPr>
        <w:t> </w:t>
      </w:r>
      <w:r>
        <w:rPr>
          <w:sz w:val="24"/>
        </w:rPr>
        <w:t>Holbrook,</w:t>
      </w:r>
      <w:r>
        <w:rPr>
          <w:spacing w:val="1"/>
          <w:sz w:val="24"/>
        </w:rPr>
        <w:t> </w:t>
      </w:r>
      <w:r>
        <w:rPr>
          <w:sz w:val="24"/>
        </w:rPr>
        <w:t>C.T.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Horner,</w:t>
      </w:r>
      <w:r>
        <w:rPr>
          <w:spacing w:val="1"/>
          <w:sz w:val="24"/>
        </w:rPr>
        <w:t> </w:t>
      </w:r>
      <w:r>
        <w:rPr>
          <w:sz w:val="24"/>
        </w:rPr>
        <w:t>R.D.</w:t>
      </w:r>
      <w:r>
        <w:rPr>
          <w:spacing w:val="-57"/>
          <w:sz w:val="24"/>
        </w:rPr>
        <w:t> </w:t>
      </w:r>
      <w:r>
        <w:rPr>
          <w:sz w:val="24"/>
        </w:rPr>
        <w:t>(1992).</w:t>
      </w:r>
      <w:r>
        <w:rPr>
          <w:spacing w:val="61"/>
          <w:sz w:val="24"/>
        </w:rPr>
        <w:t> </w:t>
      </w:r>
      <w:r>
        <w:rPr>
          <w:sz w:val="24"/>
        </w:rPr>
        <w:t>Nutritional</w:t>
      </w:r>
      <w:r>
        <w:rPr>
          <w:spacing w:val="61"/>
          <w:sz w:val="24"/>
        </w:rPr>
        <w:t> </w:t>
      </w:r>
      <w:r>
        <w:rPr>
          <w:sz w:val="24"/>
        </w:rPr>
        <w:t>status</w:t>
      </w:r>
      <w:r>
        <w:rPr>
          <w:spacing w:val="61"/>
          <w:sz w:val="24"/>
        </w:rPr>
        <w:t> </w:t>
      </w:r>
      <w:r>
        <w:rPr>
          <w:sz w:val="24"/>
        </w:rPr>
        <w:t>and</w:t>
      </w:r>
      <w:r>
        <w:rPr>
          <w:spacing w:val="61"/>
          <w:sz w:val="24"/>
        </w:rPr>
        <w:t> </w:t>
      </w:r>
      <w:r>
        <w:rPr>
          <w:sz w:val="24"/>
        </w:rPr>
        <w:t>dietary</w:t>
      </w:r>
      <w:r>
        <w:rPr>
          <w:spacing w:val="61"/>
          <w:sz w:val="24"/>
        </w:rPr>
        <w:t> </w:t>
      </w:r>
      <w:r>
        <w:rPr>
          <w:sz w:val="24"/>
        </w:rPr>
        <w:t>intake</w:t>
      </w:r>
      <w:r>
        <w:rPr>
          <w:spacing w:val="61"/>
          <w:sz w:val="24"/>
        </w:rPr>
        <w:t> </w:t>
      </w:r>
      <w:r>
        <w:rPr>
          <w:sz w:val="24"/>
        </w:rPr>
        <w:t>of</w:t>
      </w:r>
      <w:r>
        <w:rPr>
          <w:spacing w:val="61"/>
          <w:sz w:val="24"/>
        </w:rPr>
        <w:t> </w:t>
      </w:r>
      <w:r>
        <w:rPr>
          <w:sz w:val="24"/>
        </w:rPr>
        <w:t>Children   with   Sickle   Cell</w:t>
      </w:r>
      <w:r>
        <w:rPr>
          <w:spacing w:val="1"/>
          <w:sz w:val="24"/>
        </w:rPr>
        <w:t> </w:t>
      </w:r>
      <w:r>
        <w:rPr>
          <w:sz w:val="24"/>
        </w:rPr>
        <w:t>Anaemia.</w:t>
      </w:r>
      <w:r>
        <w:rPr>
          <w:spacing w:val="1"/>
          <w:sz w:val="24"/>
        </w:rPr>
        <w:t> </w:t>
      </w:r>
      <w:r>
        <w:rPr>
          <w:i/>
          <w:sz w:val="24"/>
        </w:rPr>
        <w:t>American Journal of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Paediatric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Haematology/Oncology.</w:t>
      </w:r>
      <w:r>
        <w:rPr>
          <w:i/>
          <w:spacing w:val="8"/>
          <w:sz w:val="24"/>
        </w:rPr>
        <w:t> </w:t>
      </w:r>
      <w:r>
        <w:rPr>
          <w:sz w:val="24"/>
        </w:rPr>
        <w:t>14:57-61.</w:t>
      </w:r>
    </w:p>
    <w:p>
      <w:pPr>
        <w:pStyle w:val="BodyText"/>
        <w:spacing w:line="360" w:lineRule="auto" w:before="198"/>
        <w:ind w:left="1540" w:right="1440" w:hanging="720"/>
        <w:jc w:val="both"/>
      </w:pPr>
      <w:r>
        <w:rPr/>
        <w:t>Guerrieri, A., Catassi, C., Pasquini, E., Coppa, G.V., Benetti, E., and Giorgi, P.L. (1986). Plasma</w:t>
      </w:r>
      <w:r>
        <w:rPr>
          <w:spacing w:val="-57"/>
        </w:rPr>
        <w:t> </w:t>
      </w:r>
      <w:r>
        <w:rPr/>
        <w:t>Zinc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Diarrhoea.</w:t>
      </w:r>
      <w:r>
        <w:rPr>
          <w:spacing w:val="1"/>
        </w:rPr>
        <w:t> </w:t>
      </w:r>
      <w:r>
        <w:rPr>
          <w:i/>
        </w:rPr>
        <w:t>European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Paediatrics.</w:t>
      </w:r>
      <w:r>
        <w:rPr>
          <w:i/>
          <w:spacing w:val="1"/>
        </w:rPr>
        <w:t> </w:t>
      </w:r>
      <w:r>
        <w:rPr/>
        <w:t>145(6):563-4.</w:t>
      </w:r>
    </w:p>
    <w:p>
      <w:pPr>
        <w:spacing w:line="357" w:lineRule="auto" w:before="203"/>
        <w:ind w:left="1540" w:right="1439" w:hanging="720"/>
        <w:jc w:val="both"/>
        <w:rPr>
          <w:sz w:val="24"/>
        </w:rPr>
      </w:pPr>
      <w:r>
        <w:rPr>
          <w:sz w:val="24"/>
        </w:rPr>
        <w:t>Gupta, V.L. and Chaubey, B. S. (1995). Efficacy of Zinc therapy in prevention of Crisis in Sickle</w:t>
      </w:r>
      <w:r>
        <w:rPr>
          <w:spacing w:val="-57"/>
          <w:sz w:val="24"/>
        </w:rPr>
        <w:t> </w:t>
      </w:r>
      <w:r>
        <w:rPr>
          <w:sz w:val="24"/>
        </w:rPr>
        <w:t>Cell Anemia: a Double-blind, randomized controlled Clinical Trial. </w:t>
      </w:r>
      <w:r>
        <w:rPr>
          <w:i/>
          <w:sz w:val="24"/>
        </w:rPr>
        <w:t>The Journal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Association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Physicians 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India</w:t>
      </w:r>
      <w:r>
        <w:rPr>
          <w:sz w:val="24"/>
        </w:rPr>
        <w:t>. 43</w:t>
      </w:r>
      <w:r>
        <w:rPr>
          <w:spacing w:val="-3"/>
          <w:sz w:val="24"/>
        </w:rPr>
        <w:t> </w:t>
      </w:r>
      <w:r>
        <w:rPr>
          <w:sz w:val="24"/>
        </w:rPr>
        <w:t>(7):</w:t>
      </w:r>
      <w:r>
        <w:rPr>
          <w:spacing w:val="-2"/>
          <w:sz w:val="24"/>
        </w:rPr>
        <w:t> </w:t>
      </w:r>
      <w:r>
        <w:rPr>
          <w:sz w:val="24"/>
        </w:rPr>
        <w:t>467–469.</w:t>
      </w:r>
    </w:p>
    <w:p>
      <w:pPr>
        <w:spacing w:after="0" w:line="357" w:lineRule="auto"/>
        <w:jc w:val="both"/>
        <w:rPr>
          <w:sz w:val="24"/>
        </w:rPr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57" w:lineRule="auto" w:before="72"/>
        <w:ind w:left="1540" w:right="1448" w:hanging="720"/>
        <w:jc w:val="both"/>
      </w:pPr>
      <w:r>
        <w:rPr/>
        <w:t>Hale, A. (2008). Micronutrient Deficiency: Stunting Nigeria’s ‘intellect, strength and vitality’.</w:t>
      </w:r>
      <w:r>
        <w:rPr>
          <w:spacing w:val="1"/>
        </w:rPr>
        <w:t> </w:t>
      </w:r>
      <w:r>
        <w:rPr>
          <w:i/>
        </w:rPr>
        <w:t>Media</w:t>
      </w:r>
      <w:r>
        <w:rPr>
          <w:i/>
          <w:spacing w:val="1"/>
        </w:rPr>
        <w:t> </w:t>
      </w:r>
      <w:r>
        <w:rPr>
          <w:i/>
        </w:rPr>
        <w:t>Delivery</w:t>
      </w:r>
      <w:r>
        <w:rPr>
          <w:i/>
          <w:spacing w:val="1"/>
        </w:rPr>
        <w:t> </w:t>
      </w:r>
      <w:r>
        <w:rPr>
          <w:i/>
        </w:rPr>
        <w:t>Now.</w:t>
      </w:r>
      <w:r>
        <w:rPr>
          <w:i/>
          <w:spacing w:val="1"/>
        </w:rPr>
        <w:t> </w:t>
      </w:r>
      <w:r>
        <w:rPr/>
        <w:t>23:1.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March</w:t>
      </w:r>
      <w:r>
        <w:rPr>
          <w:spacing w:val="1"/>
        </w:rPr>
        <w:t> </w:t>
      </w:r>
      <w:r>
        <w:rPr/>
        <w:t>13,</w:t>
      </w:r>
      <w:r>
        <w:rPr>
          <w:spacing w:val="1"/>
        </w:rPr>
        <w:t> </w:t>
      </w:r>
      <w:r>
        <w:rPr/>
        <w:t>2010,</w:t>
      </w:r>
      <w:r>
        <w:rPr>
          <w:spacing w:val="1"/>
        </w:rPr>
        <w:t> </w:t>
      </w:r>
      <w:r>
        <w:rPr/>
        <w:t>from,</w:t>
      </w:r>
      <w:r>
        <w:rPr>
          <w:spacing w:val="1"/>
        </w:rPr>
        <w:t> </w:t>
      </w:r>
      <w:r>
        <w:rPr/>
        <w:t>(</w:t>
      </w:r>
      <w:hyperlink r:id="rId74">
        <w:r>
          <w:rPr/>
          <w:t>http://devcomsmediadelivernow.blogspot.com/)</w:t>
        </w:r>
      </w:hyperlink>
    </w:p>
    <w:p>
      <w:pPr>
        <w:spacing w:before="201"/>
        <w:ind w:left="820" w:right="0" w:firstLine="0"/>
        <w:jc w:val="both"/>
        <w:rPr>
          <w:sz w:val="24"/>
        </w:rPr>
      </w:pPr>
      <w:r>
        <w:rPr>
          <w:sz w:val="24"/>
        </w:rPr>
        <w:t>Hambridge,</w:t>
      </w:r>
      <w:r>
        <w:rPr>
          <w:spacing w:val="-2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(2000).</w:t>
      </w:r>
      <w:r>
        <w:rPr>
          <w:spacing w:val="-1"/>
          <w:sz w:val="24"/>
        </w:rPr>
        <w:t> </w:t>
      </w:r>
      <w:r>
        <w:rPr>
          <w:sz w:val="24"/>
        </w:rPr>
        <w:t>Human</w:t>
      </w:r>
      <w:r>
        <w:rPr>
          <w:spacing w:val="-7"/>
          <w:sz w:val="24"/>
        </w:rPr>
        <w:t> </w:t>
      </w:r>
      <w:r>
        <w:rPr>
          <w:sz w:val="24"/>
        </w:rPr>
        <w:t>Zinc</w:t>
      </w:r>
      <w:r>
        <w:rPr>
          <w:spacing w:val="-4"/>
          <w:sz w:val="24"/>
        </w:rPr>
        <w:t> </w:t>
      </w:r>
      <w:r>
        <w:rPr>
          <w:sz w:val="24"/>
        </w:rPr>
        <w:t>deficiency.</w:t>
      </w:r>
      <w:r>
        <w:rPr>
          <w:spacing w:val="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Nutrition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130:1344-1349.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360" w:lineRule="auto"/>
        <w:ind w:left="1540" w:right="1447" w:hanging="720"/>
        <w:jc w:val="both"/>
      </w:pPr>
      <w:r>
        <w:rPr/>
        <w:t>Hasanato, R.M.W. (2006). Zinc and Antioxidant Vitamin deficiency in patients with severe</w:t>
      </w:r>
      <w:r>
        <w:rPr>
          <w:spacing w:val="1"/>
        </w:rPr>
        <w:t> </w:t>
      </w:r>
      <w:r>
        <w:rPr/>
        <w:t>Sickle Cell</w:t>
      </w:r>
      <w:r>
        <w:rPr>
          <w:spacing w:val="-3"/>
        </w:rPr>
        <w:t> </w:t>
      </w:r>
      <w:r>
        <w:rPr/>
        <w:t>Anaemia.</w:t>
      </w:r>
      <w:r>
        <w:rPr>
          <w:spacing w:val="5"/>
        </w:rPr>
        <w:t> </w:t>
      </w:r>
      <w:r>
        <w:rPr>
          <w:i/>
        </w:rPr>
        <w:t>Annals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Saudi</w:t>
      </w:r>
      <w:r>
        <w:rPr>
          <w:i/>
          <w:spacing w:val="-2"/>
        </w:rPr>
        <w:t> </w:t>
      </w:r>
      <w:r>
        <w:rPr>
          <w:i/>
        </w:rPr>
        <w:t>Medicine.</w:t>
      </w:r>
      <w:r>
        <w:rPr>
          <w:i/>
          <w:spacing w:val="6"/>
        </w:rPr>
        <w:t> </w:t>
      </w:r>
      <w:r>
        <w:rPr/>
        <w:t>26(1):17-21.</w:t>
      </w:r>
    </w:p>
    <w:p>
      <w:pPr>
        <w:pStyle w:val="BodyText"/>
        <w:spacing w:line="360" w:lineRule="auto" w:before="199"/>
        <w:ind w:left="1540" w:right="1442" w:hanging="720"/>
        <w:jc w:val="both"/>
      </w:pPr>
      <w:r>
        <w:rPr/>
        <w:t>Hecht, F. and Hecht, B.K. (2010). Deadly Lung disorder in Sickle Cell Disease. Retrieved March</w:t>
      </w:r>
      <w:r>
        <w:rPr>
          <w:spacing w:val="-57"/>
        </w:rPr>
        <w:t> </w:t>
      </w:r>
      <w:r>
        <w:rPr/>
        <w:t>13,</w:t>
      </w:r>
      <w:r>
        <w:rPr>
          <w:spacing w:val="3"/>
        </w:rPr>
        <w:t> </w:t>
      </w:r>
      <w:r>
        <w:rPr/>
        <w:t>2010,</w:t>
      </w:r>
      <w:r>
        <w:rPr>
          <w:spacing w:val="3"/>
        </w:rPr>
        <w:t> </w:t>
      </w:r>
      <w:r>
        <w:rPr/>
        <w:t>from,</w:t>
      </w:r>
      <w:r>
        <w:rPr>
          <w:spacing w:val="6"/>
        </w:rPr>
        <w:t> </w:t>
      </w:r>
      <w:hyperlink r:id="rId75">
        <w:r>
          <w:rPr/>
          <w:t>http://www.medicinenet.com/.</w:t>
        </w:r>
      </w:hyperlink>
    </w:p>
    <w:p>
      <w:pPr>
        <w:pStyle w:val="BodyText"/>
        <w:spacing w:line="357" w:lineRule="auto" w:before="204"/>
        <w:ind w:left="1540" w:right="1440" w:hanging="720"/>
        <w:jc w:val="both"/>
      </w:pPr>
      <w:r>
        <w:rPr/>
        <w:t>Helton, K.J., Wang, W.C., Wynn, L.W., Khan, R.B. and Steen, R.G. (2001). The Effect of</w:t>
      </w:r>
      <w:r>
        <w:rPr>
          <w:spacing w:val="1"/>
        </w:rPr>
        <w:t> </w:t>
      </w:r>
      <w:r>
        <w:rPr/>
        <w:t>Hydroxyurea on Vasculopathy in a Child with Sickle Cell Disease. </w:t>
      </w:r>
      <w:r>
        <w:rPr>
          <w:i/>
        </w:rPr>
        <w:t>American Journal of</w:t>
      </w:r>
      <w:r>
        <w:rPr>
          <w:i/>
          <w:spacing w:val="1"/>
        </w:rPr>
        <w:t> </w:t>
      </w:r>
      <w:r>
        <w:rPr>
          <w:i/>
        </w:rPr>
        <w:t>Neuroradiology</w:t>
      </w:r>
      <w:r>
        <w:rPr/>
        <w:t>.</w:t>
      </w:r>
      <w:r>
        <w:rPr>
          <w:spacing w:val="3"/>
        </w:rPr>
        <w:t> </w:t>
      </w:r>
      <w:r>
        <w:rPr/>
        <w:t>23:1692-1696.</w:t>
      </w:r>
    </w:p>
    <w:p>
      <w:pPr>
        <w:pStyle w:val="BodyText"/>
        <w:spacing w:line="355" w:lineRule="auto" w:before="207"/>
        <w:ind w:left="1540" w:right="1438" w:hanging="720"/>
        <w:jc w:val="both"/>
      </w:pPr>
      <w:r>
        <w:rPr/>
        <w:t>Herrick, J.B. (1910). Peculiar elongated and sickle-shaped Red Blood Corpuscles in a case of</w:t>
      </w:r>
      <w:r>
        <w:rPr>
          <w:spacing w:val="1"/>
        </w:rPr>
        <w:t> </w:t>
      </w:r>
      <w:r>
        <w:rPr/>
        <w:t>severe Anaemia.</w:t>
      </w:r>
      <w:r>
        <w:rPr>
          <w:spacing w:val="4"/>
        </w:rPr>
        <w:t> </w:t>
      </w:r>
      <w:r>
        <w:rPr>
          <w:i/>
        </w:rPr>
        <w:t>Archives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7"/>
        </w:rPr>
        <w:t> </w:t>
      </w:r>
      <w:r>
        <w:rPr>
          <w:i/>
        </w:rPr>
        <w:t>Internal</w:t>
      </w:r>
      <w:r>
        <w:rPr>
          <w:i/>
          <w:spacing w:val="1"/>
        </w:rPr>
        <w:t> </w:t>
      </w:r>
      <w:r>
        <w:rPr>
          <w:i/>
        </w:rPr>
        <w:t>Medicine</w:t>
      </w:r>
      <w:r>
        <w:rPr/>
        <w:t>.</w:t>
      </w:r>
      <w:r>
        <w:rPr>
          <w:spacing w:val="3"/>
        </w:rPr>
        <w:t> </w:t>
      </w:r>
      <w:r>
        <w:rPr/>
        <w:t>6:517-521.</w:t>
      </w:r>
    </w:p>
    <w:p>
      <w:pPr>
        <w:spacing w:line="355" w:lineRule="auto" w:before="210"/>
        <w:ind w:left="1540" w:right="1447" w:hanging="720"/>
        <w:jc w:val="both"/>
        <w:rPr>
          <w:sz w:val="24"/>
        </w:rPr>
      </w:pPr>
      <w:r>
        <w:rPr>
          <w:sz w:val="24"/>
        </w:rPr>
        <w:t>Hershko, C., Link, G., Konijn,</w:t>
      </w:r>
      <w:r>
        <w:rPr>
          <w:spacing w:val="1"/>
          <w:sz w:val="24"/>
        </w:rPr>
        <w:t> </w:t>
      </w:r>
      <w:r>
        <w:rPr>
          <w:sz w:val="24"/>
        </w:rPr>
        <w:t>A.M., and</w:t>
      </w:r>
      <w:r>
        <w:rPr>
          <w:spacing w:val="1"/>
          <w:sz w:val="24"/>
        </w:rPr>
        <w:t> </w:t>
      </w:r>
      <w:r>
        <w:rPr>
          <w:sz w:val="24"/>
        </w:rPr>
        <w:t>Cabantchik, Z.I. (2005). Objectives and</w:t>
      </w:r>
      <w:r>
        <w:rPr>
          <w:spacing w:val="60"/>
          <w:sz w:val="24"/>
        </w:rPr>
        <w:t> </w:t>
      </w:r>
      <w:r>
        <w:rPr>
          <w:sz w:val="24"/>
        </w:rPr>
        <w:t>Mechanisms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Iron</w:t>
      </w:r>
      <w:r>
        <w:rPr>
          <w:spacing w:val="-6"/>
          <w:sz w:val="24"/>
        </w:rPr>
        <w:t> </w:t>
      </w:r>
      <w:r>
        <w:rPr>
          <w:sz w:val="24"/>
        </w:rPr>
        <w:t>Chelation</w:t>
      </w:r>
      <w:r>
        <w:rPr>
          <w:spacing w:val="-5"/>
          <w:sz w:val="24"/>
        </w:rPr>
        <w:t> </w:t>
      </w:r>
      <w:r>
        <w:rPr>
          <w:sz w:val="24"/>
        </w:rPr>
        <w:t>Therapy.</w:t>
      </w:r>
      <w:r>
        <w:rPr>
          <w:spacing w:val="4"/>
          <w:sz w:val="24"/>
        </w:rPr>
        <w:t> </w:t>
      </w:r>
      <w:r>
        <w:rPr>
          <w:i/>
          <w:sz w:val="24"/>
        </w:rPr>
        <w:t>Annals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York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Academy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1054:124-135.</w:t>
      </w:r>
    </w:p>
    <w:p>
      <w:pPr>
        <w:pStyle w:val="BodyText"/>
        <w:spacing w:line="360" w:lineRule="auto" w:before="210"/>
        <w:ind w:left="1540" w:right="1440" w:hanging="720"/>
        <w:jc w:val="both"/>
      </w:pPr>
      <w:r>
        <w:rPr/>
        <w:t>Howson, C.P., Kennedy, E.T., and Horwitz, A. (1998). Prevention of Micronutrient Deficiencies:</w:t>
      </w:r>
      <w:r>
        <w:rPr>
          <w:spacing w:val="-58"/>
        </w:rPr>
        <w:t> </w:t>
      </w:r>
      <w:r>
        <w:rPr/>
        <w:t>Tools for Policy Makers and Public Health Workers. Retrieved March 29, 2011, from</w:t>
      </w:r>
      <w:r>
        <w:rPr>
          <w:spacing w:val="1"/>
        </w:rPr>
        <w:t> </w:t>
      </w:r>
      <w:hyperlink r:id="rId76">
        <w:r>
          <w:rPr/>
          <w:t>http://books.google.com.ng/books</w:t>
        </w:r>
      </w:hyperlink>
    </w:p>
    <w:p>
      <w:pPr>
        <w:pStyle w:val="BodyText"/>
        <w:spacing w:line="355" w:lineRule="auto" w:before="203"/>
        <w:ind w:left="1540" w:right="1442" w:hanging="720"/>
        <w:jc w:val="both"/>
      </w:pPr>
      <w:r>
        <w:rPr/>
        <w:t>Hsu, L., and Muller, W. (2001). Diet and Nutrition in Sickle Cell Disease. Retrieved March 29,</w:t>
      </w:r>
      <w:r>
        <w:rPr>
          <w:spacing w:val="1"/>
        </w:rPr>
        <w:t> </w:t>
      </w:r>
      <w:r>
        <w:rPr/>
        <w:t>2011,</w:t>
      </w:r>
      <w:r>
        <w:rPr>
          <w:spacing w:val="3"/>
        </w:rPr>
        <w:t> </w:t>
      </w:r>
      <w:r>
        <w:rPr/>
        <w:t>from</w:t>
      </w:r>
      <w:r>
        <w:rPr>
          <w:spacing w:val="-1"/>
        </w:rPr>
        <w:t> </w:t>
      </w:r>
      <w:hyperlink r:id="rId77">
        <w:r>
          <w:rPr/>
          <w:t>http://www.drspock.com</w:t>
        </w:r>
      </w:hyperlink>
    </w:p>
    <w:p>
      <w:pPr>
        <w:spacing w:line="355" w:lineRule="auto" w:before="211"/>
        <w:ind w:left="1540" w:right="1435" w:hanging="720"/>
        <w:jc w:val="both"/>
        <w:rPr>
          <w:sz w:val="24"/>
        </w:rPr>
      </w:pPr>
      <w:r>
        <w:rPr>
          <w:sz w:val="24"/>
        </w:rPr>
        <w:t>Hyacinth,</w:t>
      </w:r>
      <w:r>
        <w:rPr>
          <w:spacing w:val="1"/>
          <w:sz w:val="24"/>
        </w:rPr>
        <w:t> </w:t>
      </w:r>
      <w:r>
        <w:rPr>
          <w:sz w:val="24"/>
        </w:rPr>
        <w:t>H.I.,</w:t>
      </w:r>
      <w:r>
        <w:rPr>
          <w:spacing w:val="1"/>
          <w:sz w:val="24"/>
        </w:rPr>
        <w:t> </w:t>
      </w:r>
      <w:r>
        <w:rPr>
          <w:sz w:val="24"/>
        </w:rPr>
        <w:t>Gee,</w:t>
      </w:r>
      <w:r>
        <w:rPr>
          <w:spacing w:val="1"/>
          <w:sz w:val="24"/>
        </w:rPr>
        <w:t> </w:t>
      </w:r>
      <w:r>
        <w:rPr>
          <w:sz w:val="24"/>
        </w:rPr>
        <w:t>B.E.,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Hibbert,</w:t>
      </w:r>
      <w:r>
        <w:rPr>
          <w:spacing w:val="1"/>
          <w:sz w:val="24"/>
        </w:rPr>
        <w:t> </w:t>
      </w:r>
      <w:r>
        <w:rPr>
          <w:sz w:val="24"/>
        </w:rPr>
        <w:t>J.M.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Role</w:t>
      </w:r>
      <w:r>
        <w:rPr>
          <w:spacing w:val="1"/>
          <w:sz w:val="24"/>
        </w:rPr>
        <w:t> </w:t>
      </w:r>
      <w:r>
        <w:rPr>
          <w:sz w:val="24"/>
        </w:rPr>
        <w:t>of Nutrition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Sickle</w:t>
      </w:r>
      <w:r>
        <w:rPr>
          <w:spacing w:val="60"/>
          <w:sz w:val="24"/>
        </w:rPr>
        <w:t> </w:t>
      </w:r>
      <w:r>
        <w:rPr>
          <w:sz w:val="24"/>
        </w:rPr>
        <w:t>Cell</w:t>
      </w:r>
      <w:r>
        <w:rPr>
          <w:spacing w:val="1"/>
          <w:sz w:val="24"/>
        </w:rPr>
        <w:t> </w:t>
      </w:r>
      <w:r>
        <w:rPr>
          <w:sz w:val="24"/>
        </w:rPr>
        <w:t>Disease.</w:t>
      </w:r>
      <w:r>
        <w:rPr>
          <w:spacing w:val="3"/>
          <w:sz w:val="24"/>
        </w:rPr>
        <w:t> </w:t>
      </w:r>
      <w:r>
        <w:rPr>
          <w:i/>
          <w:sz w:val="24"/>
        </w:rPr>
        <w:t>Nutrition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Metabolic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Insights.</w:t>
      </w:r>
      <w:r>
        <w:rPr>
          <w:i/>
          <w:spacing w:val="3"/>
          <w:sz w:val="24"/>
        </w:rPr>
        <w:t> </w:t>
      </w:r>
      <w:r>
        <w:rPr>
          <w:sz w:val="24"/>
        </w:rPr>
        <w:t>3:57–67.</w:t>
      </w:r>
    </w:p>
    <w:p>
      <w:pPr>
        <w:pStyle w:val="BodyText"/>
        <w:spacing w:before="210"/>
        <w:ind w:left="820"/>
        <w:jc w:val="both"/>
      </w:pPr>
      <w:r>
        <w:rPr/>
        <w:t>Ibidapo,</w:t>
      </w:r>
      <w:r>
        <w:rPr>
          <w:spacing w:val="30"/>
        </w:rPr>
        <w:t> </w:t>
      </w:r>
      <w:r>
        <w:rPr/>
        <w:t>M.O.</w:t>
      </w:r>
      <w:r>
        <w:rPr>
          <w:spacing w:val="29"/>
        </w:rPr>
        <w:t> </w:t>
      </w:r>
      <w:r>
        <w:rPr/>
        <w:t>and</w:t>
      </w:r>
      <w:r>
        <w:rPr>
          <w:spacing w:val="28"/>
        </w:rPr>
        <w:t> </w:t>
      </w:r>
      <w:r>
        <w:rPr/>
        <w:t>Akinyanju,</w:t>
      </w:r>
      <w:r>
        <w:rPr>
          <w:spacing w:val="29"/>
        </w:rPr>
        <w:t> </w:t>
      </w:r>
      <w:r>
        <w:rPr/>
        <w:t>O.O.</w:t>
      </w:r>
      <w:r>
        <w:rPr>
          <w:spacing w:val="30"/>
        </w:rPr>
        <w:t> </w:t>
      </w:r>
      <w:r>
        <w:rPr/>
        <w:t>(2000).</w:t>
      </w:r>
      <w:r>
        <w:rPr>
          <w:spacing w:val="29"/>
        </w:rPr>
        <w:t> </w:t>
      </w:r>
      <w:r>
        <w:rPr/>
        <w:t>Acute</w:t>
      </w:r>
      <w:r>
        <w:rPr>
          <w:spacing w:val="26"/>
        </w:rPr>
        <w:t> </w:t>
      </w:r>
      <w:r>
        <w:rPr/>
        <w:t>Sickle</w:t>
      </w:r>
      <w:r>
        <w:rPr>
          <w:spacing w:val="27"/>
        </w:rPr>
        <w:t> </w:t>
      </w:r>
      <w:r>
        <w:rPr/>
        <w:t>Cell</w:t>
      </w:r>
      <w:r>
        <w:rPr>
          <w:spacing w:val="24"/>
        </w:rPr>
        <w:t> </w:t>
      </w:r>
      <w:r>
        <w:rPr/>
        <w:t>Syndromes</w:t>
      </w:r>
      <w:r>
        <w:rPr>
          <w:spacing w:val="29"/>
        </w:rPr>
        <w:t> </w:t>
      </w:r>
      <w:r>
        <w:rPr/>
        <w:t>in</w:t>
      </w:r>
      <w:r>
        <w:rPr>
          <w:spacing w:val="27"/>
        </w:rPr>
        <w:t> </w:t>
      </w:r>
      <w:r>
        <w:rPr/>
        <w:t>Nigerian</w:t>
      </w:r>
      <w:r>
        <w:rPr>
          <w:spacing w:val="28"/>
        </w:rPr>
        <w:t> </w:t>
      </w:r>
      <w:r>
        <w:rPr/>
        <w:t>Adults.</w:t>
      </w:r>
    </w:p>
    <w:p>
      <w:pPr>
        <w:spacing w:before="132"/>
        <w:ind w:left="1540" w:right="0" w:firstLine="0"/>
        <w:jc w:val="left"/>
        <w:rPr>
          <w:sz w:val="24"/>
        </w:rPr>
      </w:pPr>
      <w:r>
        <w:rPr>
          <w:i/>
          <w:sz w:val="24"/>
        </w:rPr>
        <w:t>Clinical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Laboratory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Haematology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22(3):151-155.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5" w:lineRule="auto" w:before="1"/>
        <w:ind w:left="1540" w:right="1445" w:hanging="720"/>
        <w:jc w:val="both"/>
      </w:pPr>
      <w:r>
        <w:rPr/>
        <w:t>Ingram, V.M. (1959). Abnormal human haemoglobins. III. The Chemical difference between</w:t>
      </w:r>
      <w:r>
        <w:rPr>
          <w:spacing w:val="1"/>
        </w:rPr>
        <w:t> </w:t>
      </w:r>
      <w:r>
        <w:rPr/>
        <w:t>Normal</w:t>
      </w:r>
      <w:r>
        <w:rPr>
          <w:spacing w:val="-8"/>
        </w:rPr>
        <w:t> </w:t>
      </w:r>
      <w:r>
        <w:rPr/>
        <w:t>and Sickle Cell</w:t>
      </w:r>
      <w:r>
        <w:rPr>
          <w:spacing w:val="-8"/>
        </w:rPr>
        <w:t> </w:t>
      </w:r>
      <w:r>
        <w:rPr/>
        <w:t>Haemoglobins.</w:t>
      </w:r>
      <w:r>
        <w:rPr>
          <w:spacing w:val="6"/>
        </w:rPr>
        <w:t> </w:t>
      </w:r>
      <w:r>
        <w:rPr>
          <w:i/>
        </w:rPr>
        <w:t>Biochim.</w:t>
      </w:r>
      <w:r>
        <w:rPr>
          <w:i/>
          <w:spacing w:val="3"/>
        </w:rPr>
        <w:t> </w:t>
      </w:r>
      <w:r>
        <w:rPr>
          <w:i/>
        </w:rPr>
        <w:t>Biophys.</w:t>
      </w:r>
      <w:r>
        <w:rPr>
          <w:i/>
          <w:spacing w:val="3"/>
        </w:rPr>
        <w:t> </w:t>
      </w:r>
      <w:r>
        <w:rPr>
          <w:i/>
        </w:rPr>
        <w:t>Acta. </w:t>
      </w:r>
      <w:r>
        <w:rPr>
          <w:b/>
        </w:rPr>
        <w:t>36:</w:t>
      </w:r>
      <w:r>
        <w:rPr/>
        <w:t>402-411.</w:t>
      </w:r>
    </w:p>
    <w:p>
      <w:pPr>
        <w:spacing w:after="0" w:line="355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spacing w:line="355" w:lineRule="auto" w:before="72"/>
        <w:ind w:left="1540" w:right="1444" w:hanging="720"/>
        <w:jc w:val="both"/>
        <w:rPr>
          <w:sz w:val="24"/>
        </w:rPr>
      </w:pPr>
      <w:r>
        <w:rPr>
          <w:sz w:val="24"/>
        </w:rPr>
        <w:t>Ishir, T., et al. (1995). Zinc, copper, magnesium and Sickle Cell Anaemia. </w:t>
      </w:r>
      <w:r>
        <w:rPr>
          <w:i/>
          <w:sz w:val="24"/>
        </w:rPr>
        <w:t>Trace Elements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Electrolytes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12(3):161.</w:t>
      </w:r>
    </w:p>
    <w:p>
      <w:pPr>
        <w:pStyle w:val="BodyText"/>
        <w:spacing w:line="360" w:lineRule="auto" w:before="210"/>
        <w:ind w:left="1540" w:right="1435" w:hanging="720"/>
        <w:jc w:val="both"/>
      </w:pPr>
      <w:r>
        <w:rPr/>
        <w:t>Ismail, Y., Ismail, A.A., and Ismail, A.A. (2010). The underestimated problem of using Serum</w:t>
      </w:r>
      <w:r>
        <w:rPr>
          <w:spacing w:val="1"/>
        </w:rPr>
        <w:t> </w:t>
      </w:r>
      <w:r>
        <w:rPr/>
        <w:t>Magnesium measurements to exclude Magnesium deficiency in Adults; a health warning</w:t>
      </w:r>
      <w:r>
        <w:rPr>
          <w:spacing w:val="1"/>
        </w:rPr>
        <w:t> </w:t>
      </w:r>
      <w:r>
        <w:rPr/>
        <w:t>is needed for “normal” results. </w:t>
      </w:r>
      <w:r>
        <w:rPr>
          <w:i/>
        </w:rPr>
        <w:t>Clinical Chemistry and Laboratory Medicine</w:t>
      </w:r>
      <w:r>
        <w:rPr/>
        <w:t>. 48(3):323-</w:t>
      </w:r>
      <w:r>
        <w:rPr>
          <w:spacing w:val="1"/>
        </w:rPr>
        <w:t> </w:t>
      </w:r>
      <w:r>
        <w:rPr/>
        <w:t>327.</w:t>
      </w:r>
    </w:p>
    <w:p>
      <w:pPr>
        <w:pStyle w:val="BodyText"/>
        <w:spacing w:before="202"/>
        <w:ind w:left="820"/>
        <w:jc w:val="both"/>
      </w:pPr>
      <w:r>
        <w:rPr/>
        <w:t>Isoa,</w:t>
      </w:r>
      <w:r>
        <w:rPr>
          <w:spacing w:val="40"/>
        </w:rPr>
        <w:t> </w:t>
      </w:r>
      <w:r>
        <w:rPr/>
        <w:t>E.M.</w:t>
      </w:r>
      <w:r>
        <w:rPr>
          <w:spacing w:val="40"/>
        </w:rPr>
        <w:t> </w:t>
      </w:r>
      <w:r>
        <w:rPr/>
        <w:t>(2009).</w:t>
      </w:r>
      <w:r>
        <w:rPr>
          <w:spacing w:val="40"/>
        </w:rPr>
        <w:t> </w:t>
      </w:r>
      <w:r>
        <w:rPr/>
        <w:t>Current</w:t>
      </w:r>
      <w:r>
        <w:rPr>
          <w:spacing w:val="42"/>
        </w:rPr>
        <w:t> </w:t>
      </w:r>
      <w:r>
        <w:rPr/>
        <w:t>Trends</w:t>
      </w:r>
      <w:r>
        <w:rPr>
          <w:spacing w:val="40"/>
        </w:rPr>
        <w:t> </w:t>
      </w:r>
      <w:r>
        <w:rPr/>
        <w:t>in</w:t>
      </w:r>
      <w:r>
        <w:rPr>
          <w:spacing w:val="37"/>
        </w:rPr>
        <w:t> </w:t>
      </w:r>
      <w:r>
        <w:rPr/>
        <w:t>the</w:t>
      </w:r>
      <w:r>
        <w:rPr>
          <w:spacing w:val="41"/>
        </w:rPr>
        <w:t> </w:t>
      </w:r>
      <w:r>
        <w:rPr/>
        <w:t>Management</w:t>
      </w:r>
      <w:r>
        <w:rPr>
          <w:spacing w:val="42"/>
        </w:rPr>
        <w:t> </w:t>
      </w:r>
      <w:r>
        <w:rPr/>
        <w:t>of</w:t>
      </w:r>
      <w:r>
        <w:rPr>
          <w:spacing w:val="29"/>
        </w:rPr>
        <w:t> </w:t>
      </w:r>
      <w:r>
        <w:rPr/>
        <w:t>Sickle</w:t>
      </w:r>
      <w:r>
        <w:rPr>
          <w:spacing w:val="41"/>
        </w:rPr>
        <w:t> </w:t>
      </w:r>
      <w:r>
        <w:rPr/>
        <w:t>Cell</w:t>
      </w:r>
      <w:r>
        <w:rPr>
          <w:spacing w:val="33"/>
        </w:rPr>
        <w:t> </w:t>
      </w:r>
      <w:r>
        <w:rPr/>
        <w:t>Disease:</w:t>
      </w:r>
      <w:r>
        <w:rPr>
          <w:spacing w:val="42"/>
        </w:rPr>
        <w:t> </w:t>
      </w:r>
      <w:r>
        <w:rPr/>
        <w:t>An</w:t>
      </w:r>
      <w:r>
        <w:rPr>
          <w:spacing w:val="34"/>
        </w:rPr>
        <w:t> </w:t>
      </w:r>
      <w:r>
        <w:rPr/>
        <w:t>overview.</w:t>
      </w:r>
    </w:p>
    <w:p>
      <w:pPr>
        <w:spacing w:before="132"/>
        <w:ind w:left="1540" w:right="0" w:firstLine="0"/>
        <w:jc w:val="both"/>
        <w:rPr>
          <w:sz w:val="24"/>
        </w:rPr>
      </w:pPr>
      <w:r>
        <w:rPr>
          <w:i/>
          <w:sz w:val="24"/>
        </w:rPr>
        <w:t>Benin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Postgraduate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.</w:t>
      </w:r>
      <w:r>
        <w:rPr>
          <w:spacing w:val="-3"/>
          <w:sz w:val="24"/>
        </w:rPr>
        <w:t> </w:t>
      </w:r>
      <w:r>
        <w:rPr>
          <w:sz w:val="24"/>
        </w:rPr>
        <w:t>11:50-60.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7" w:lineRule="auto"/>
        <w:ind w:left="1540" w:right="1437" w:hanging="720"/>
        <w:jc w:val="both"/>
      </w:pPr>
      <w:r>
        <w:rPr/>
        <w:t>Iwegbu, C.G. and Fleming, A.F. (1985). Avascular Necrosis of the Femoral Head in Sickle Cell</w:t>
      </w:r>
      <w:r>
        <w:rPr>
          <w:spacing w:val="1"/>
        </w:rPr>
        <w:t> </w:t>
      </w:r>
      <w:r>
        <w:rPr/>
        <w:t>Disease: A series from the Guinea Savannah of Nigeria. </w:t>
      </w:r>
      <w:r>
        <w:rPr>
          <w:i/>
        </w:rPr>
        <w:t>The Journal of Bone and Joint</w:t>
      </w:r>
      <w:r>
        <w:rPr>
          <w:i/>
          <w:spacing w:val="1"/>
        </w:rPr>
        <w:t> </w:t>
      </w:r>
      <w:r>
        <w:rPr>
          <w:i/>
        </w:rPr>
        <w:t>Surgery</w:t>
      </w:r>
      <w:r>
        <w:rPr/>
        <w:t>.</w:t>
      </w:r>
      <w:r>
        <w:rPr>
          <w:spacing w:val="3"/>
        </w:rPr>
        <w:t> </w:t>
      </w:r>
      <w:r>
        <w:rPr/>
        <w:t>67:29-32.</w:t>
      </w:r>
    </w:p>
    <w:p>
      <w:pPr>
        <w:pStyle w:val="BodyText"/>
        <w:spacing w:line="360" w:lineRule="auto" w:before="207"/>
        <w:ind w:left="1540" w:right="1441" w:hanging="720"/>
        <w:jc w:val="both"/>
      </w:pPr>
      <w:r>
        <w:rPr/>
        <w:t>Jaing, T.H., Hung, I.H., Chung, H.T., Lai, C.H., Liu, W.M., and Chang, K.W. (2002). Acute</w:t>
      </w:r>
      <w:r>
        <w:rPr>
          <w:spacing w:val="1"/>
        </w:rPr>
        <w:t> </w:t>
      </w:r>
      <w:r>
        <w:rPr/>
        <w:t>Hypermagnesemia: A Rare Complication of Antacid Administration after Bone Marrow</w:t>
      </w:r>
      <w:r>
        <w:rPr>
          <w:spacing w:val="1"/>
        </w:rPr>
        <w:t> </w:t>
      </w:r>
      <w:r>
        <w:rPr/>
        <w:t>Transplantation.</w:t>
      </w:r>
      <w:r>
        <w:rPr>
          <w:spacing w:val="4"/>
        </w:rPr>
        <w:t> </w:t>
      </w:r>
      <w:r>
        <w:rPr>
          <w:i/>
        </w:rPr>
        <w:t>Clinica</w:t>
      </w:r>
      <w:r>
        <w:rPr>
          <w:i/>
          <w:spacing w:val="2"/>
        </w:rPr>
        <w:t> </w:t>
      </w:r>
      <w:r>
        <w:rPr>
          <w:i/>
        </w:rPr>
        <w:t>Chimica</w:t>
      </w:r>
      <w:r>
        <w:rPr>
          <w:i/>
          <w:spacing w:val="1"/>
        </w:rPr>
        <w:t> </w:t>
      </w:r>
      <w:r>
        <w:rPr>
          <w:i/>
        </w:rPr>
        <w:t>Acta</w:t>
      </w:r>
      <w:r>
        <w:rPr/>
        <w:t>.</w:t>
      </w:r>
      <w:r>
        <w:rPr>
          <w:spacing w:val="4"/>
        </w:rPr>
        <w:t> </w:t>
      </w:r>
      <w:r>
        <w:rPr/>
        <w:t>326:201-3.</w:t>
      </w:r>
    </w:p>
    <w:p>
      <w:pPr>
        <w:pStyle w:val="BodyText"/>
        <w:spacing w:line="357" w:lineRule="auto" w:before="203"/>
        <w:ind w:left="1540" w:right="1436" w:hanging="720"/>
        <w:jc w:val="both"/>
      </w:pPr>
      <w:r>
        <w:rPr/>
        <w:t>Joiner, C.H., Jiang, M., Fathallah, H., Giraud, F., and Franco, R.S. (1998). Deoxygenation of</w:t>
      </w:r>
      <w:r>
        <w:rPr>
          <w:spacing w:val="1"/>
        </w:rPr>
        <w:t> </w:t>
      </w:r>
      <w:r>
        <w:rPr/>
        <w:t>Sickle  </w:t>
      </w:r>
      <w:r>
        <w:rPr>
          <w:spacing w:val="1"/>
        </w:rPr>
        <w:t> </w:t>
      </w:r>
      <w:r>
        <w:rPr/>
        <w:t>Red  </w:t>
      </w:r>
      <w:r>
        <w:rPr>
          <w:spacing w:val="1"/>
        </w:rPr>
        <w:t> </w:t>
      </w:r>
      <w:r>
        <w:rPr/>
        <w:t>Blood  </w:t>
      </w:r>
      <w:r>
        <w:rPr>
          <w:spacing w:val="1"/>
        </w:rPr>
        <w:t> </w:t>
      </w:r>
      <w:r>
        <w:rPr/>
        <w:t>Cells  </w:t>
      </w:r>
      <w:r>
        <w:rPr>
          <w:spacing w:val="1"/>
        </w:rPr>
        <w:t> </w:t>
      </w:r>
      <w:r>
        <w:rPr/>
        <w:t>Stimulates    KCl    Co-transport    without    affecting</w:t>
      </w:r>
      <w:r>
        <w:rPr>
          <w:spacing w:val="1"/>
        </w:rPr>
        <w:t> </w:t>
      </w:r>
      <w:r>
        <w:rPr/>
        <w:t>Na</w:t>
      </w:r>
      <w:r>
        <w:rPr>
          <w:vertAlign w:val="superscript"/>
        </w:rPr>
        <w:t>+</w:t>
      </w:r>
      <w:r>
        <w:rPr>
          <w:vertAlign w:val="baseline"/>
        </w:rPr>
        <w:t>/H</w:t>
      </w:r>
      <w:r>
        <w:rPr>
          <w:vertAlign w:val="superscript"/>
        </w:rPr>
        <w:t>+</w:t>
      </w:r>
      <w:r>
        <w:rPr>
          <w:spacing w:val="-2"/>
          <w:vertAlign w:val="baseline"/>
        </w:rPr>
        <w:t> </w:t>
      </w:r>
      <w:r>
        <w:rPr>
          <w:vertAlign w:val="baseline"/>
        </w:rPr>
        <w:t>Exchange. </w:t>
      </w:r>
      <w:r>
        <w:rPr>
          <w:i/>
          <w:vertAlign w:val="baseline"/>
        </w:rPr>
        <w:t>American</w:t>
      </w:r>
      <w:r>
        <w:rPr>
          <w:i/>
          <w:spacing w:val="-4"/>
          <w:vertAlign w:val="baseline"/>
        </w:rPr>
        <w:t> </w:t>
      </w:r>
      <w:r>
        <w:rPr>
          <w:i/>
          <w:vertAlign w:val="baseline"/>
        </w:rPr>
        <w:t>Journal</w:t>
      </w:r>
      <w:r>
        <w:rPr>
          <w:i/>
          <w:spacing w:val="-3"/>
          <w:vertAlign w:val="baseline"/>
        </w:rPr>
        <w:t> </w:t>
      </w:r>
      <w:r>
        <w:rPr>
          <w:i/>
          <w:vertAlign w:val="baseline"/>
        </w:rPr>
        <w:t>of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Physiology-Cell</w:t>
      </w:r>
      <w:r>
        <w:rPr>
          <w:i/>
          <w:spacing w:val="-3"/>
          <w:vertAlign w:val="baseline"/>
        </w:rPr>
        <w:t> </w:t>
      </w:r>
      <w:r>
        <w:rPr>
          <w:i/>
          <w:vertAlign w:val="baseline"/>
        </w:rPr>
        <w:t>Physiology</w:t>
      </w:r>
      <w:r>
        <w:rPr>
          <w:i/>
          <w:spacing w:val="-3"/>
          <w:vertAlign w:val="baseline"/>
        </w:rPr>
        <w:t> </w:t>
      </w:r>
      <w:r>
        <w:rPr>
          <w:vertAlign w:val="baseline"/>
        </w:rPr>
        <w:t>274:</w:t>
      </w:r>
      <w:r>
        <w:rPr>
          <w:spacing w:val="-3"/>
          <w:vertAlign w:val="baseline"/>
        </w:rPr>
        <w:t> </w:t>
      </w:r>
      <w:r>
        <w:rPr>
          <w:vertAlign w:val="baseline"/>
        </w:rPr>
        <w:t>C1466–C1475.</w:t>
      </w:r>
    </w:p>
    <w:p>
      <w:pPr>
        <w:pStyle w:val="BodyText"/>
        <w:spacing w:line="360" w:lineRule="auto" w:before="206"/>
        <w:ind w:left="1540" w:right="1444" w:hanging="720"/>
        <w:jc w:val="both"/>
      </w:pPr>
      <w:r>
        <w:rPr/>
        <w:t>Juwah, A.I., Nlemadim, A., and Kaine, W. (2003). Clinical Presentation of Severe Anemia in</w:t>
      </w:r>
      <w:r>
        <w:rPr>
          <w:spacing w:val="1"/>
        </w:rPr>
        <w:t> </w:t>
      </w:r>
      <w:r>
        <w:rPr/>
        <w:t>Pediatric Patients With Sickle Cell Anemia Seen in Enugu, Nigeria. </w:t>
      </w:r>
      <w:r>
        <w:rPr>
          <w:i/>
        </w:rPr>
        <w:t>American Journal of</w:t>
      </w:r>
      <w:r>
        <w:rPr>
          <w:i/>
          <w:spacing w:val="1"/>
        </w:rPr>
        <w:t> </w:t>
      </w:r>
      <w:r>
        <w:rPr>
          <w:i/>
        </w:rPr>
        <w:t>Haematology.</w:t>
      </w:r>
      <w:r>
        <w:rPr>
          <w:i/>
          <w:spacing w:val="5"/>
        </w:rPr>
        <w:t> </w:t>
      </w:r>
      <w:r>
        <w:rPr/>
        <w:t>72:185–191.</w:t>
      </w:r>
    </w:p>
    <w:p>
      <w:pPr>
        <w:pStyle w:val="BodyText"/>
        <w:spacing w:line="357" w:lineRule="auto" w:before="203"/>
        <w:ind w:left="1540" w:right="1439" w:hanging="720"/>
        <w:jc w:val="both"/>
      </w:pPr>
      <w:r>
        <w:rPr/>
        <w:t>Juwah, A.I, Nlemadim, E.U, and Kaine, W. (2004). Types of Anaemic Crises in Paediatric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Sickle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Anaemia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Enugu,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Archives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Disease</w:t>
      </w:r>
      <w:r>
        <w:rPr>
          <w:i/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Childhood</w:t>
      </w:r>
      <w:r>
        <w:rPr/>
        <w:t>.</w:t>
      </w:r>
      <w:r>
        <w:rPr>
          <w:spacing w:val="3"/>
        </w:rPr>
        <w:t> </w:t>
      </w:r>
      <w:r>
        <w:rPr/>
        <w:t>89:572-576.</w:t>
      </w:r>
    </w:p>
    <w:p>
      <w:pPr>
        <w:spacing w:line="355" w:lineRule="auto" w:before="206"/>
        <w:ind w:left="1540" w:right="1445" w:hanging="720"/>
        <w:jc w:val="both"/>
        <w:rPr>
          <w:sz w:val="24"/>
        </w:rPr>
      </w:pPr>
      <w:r>
        <w:rPr>
          <w:sz w:val="24"/>
        </w:rPr>
        <w:t>Kapil, U. (2009). Multiple Micronutrient Supplements will not reduce incidence of low Birth</w:t>
      </w:r>
      <w:r>
        <w:rPr>
          <w:spacing w:val="1"/>
          <w:sz w:val="24"/>
        </w:rPr>
        <w:t> </w:t>
      </w:r>
      <w:r>
        <w:rPr>
          <w:sz w:val="24"/>
        </w:rPr>
        <w:t>weight.</w:t>
      </w:r>
      <w:r>
        <w:rPr>
          <w:spacing w:val="4"/>
          <w:sz w:val="24"/>
        </w:rPr>
        <w:t> </w:t>
      </w:r>
      <w:r>
        <w:rPr>
          <w:i/>
          <w:sz w:val="24"/>
        </w:rPr>
        <w:t>Indian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Community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34(2):85-86.</w:t>
      </w:r>
    </w:p>
    <w:p>
      <w:pPr>
        <w:spacing w:line="355" w:lineRule="auto" w:before="211"/>
        <w:ind w:left="1540" w:right="1440" w:hanging="720"/>
        <w:jc w:val="both"/>
        <w:rPr>
          <w:sz w:val="24"/>
        </w:rPr>
      </w:pPr>
      <w:r>
        <w:rPr>
          <w:sz w:val="24"/>
        </w:rPr>
        <w:t>Kassim, A., Thabet, S., Al-Kabban, M., and Al-Nihari, K. (2012). Iron Deficiency in Yemeni</w:t>
      </w:r>
      <w:r>
        <w:rPr>
          <w:spacing w:val="1"/>
          <w:sz w:val="24"/>
        </w:rPr>
        <w:t> </w:t>
      </w:r>
      <w:r>
        <w:rPr>
          <w:sz w:val="24"/>
        </w:rPr>
        <w:t>Patients</w:t>
      </w:r>
      <w:r>
        <w:rPr>
          <w:spacing w:val="-5"/>
          <w:sz w:val="24"/>
        </w:rPr>
        <w:t> </w:t>
      </w:r>
      <w:r>
        <w:rPr>
          <w:sz w:val="24"/>
        </w:rPr>
        <w:t>with</w:t>
      </w:r>
      <w:r>
        <w:rPr>
          <w:spacing w:val="-7"/>
          <w:sz w:val="24"/>
        </w:rPr>
        <w:t> </w:t>
      </w:r>
      <w:r>
        <w:rPr>
          <w:sz w:val="24"/>
        </w:rPr>
        <w:t>Sickle</w:t>
      </w:r>
      <w:r>
        <w:rPr>
          <w:spacing w:val="-4"/>
          <w:sz w:val="24"/>
        </w:rPr>
        <w:t> </w:t>
      </w:r>
      <w:r>
        <w:rPr>
          <w:sz w:val="24"/>
        </w:rPr>
        <w:t>Cell</w:t>
      </w:r>
      <w:r>
        <w:rPr>
          <w:spacing w:val="-6"/>
          <w:sz w:val="24"/>
        </w:rPr>
        <w:t> </w:t>
      </w:r>
      <w:r>
        <w:rPr>
          <w:sz w:val="24"/>
        </w:rPr>
        <w:t>Disease. </w:t>
      </w:r>
      <w:r>
        <w:rPr>
          <w:i/>
          <w:sz w:val="24"/>
        </w:rPr>
        <w:t>Eastern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Mediterranean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Journal.</w:t>
      </w:r>
      <w:r>
        <w:rPr>
          <w:i/>
          <w:spacing w:val="3"/>
          <w:sz w:val="24"/>
        </w:rPr>
        <w:t> </w:t>
      </w:r>
      <w:r>
        <w:rPr>
          <w:sz w:val="24"/>
        </w:rPr>
        <w:t>18(3):241-245.</w:t>
      </w:r>
    </w:p>
    <w:p>
      <w:pPr>
        <w:spacing w:after="0" w:line="355" w:lineRule="auto"/>
        <w:jc w:val="both"/>
        <w:rPr>
          <w:sz w:val="24"/>
        </w:rPr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55" w:lineRule="auto" w:before="72"/>
        <w:ind w:left="1540" w:right="1443" w:hanging="720"/>
        <w:jc w:val="both"/>
      </w:pPr>
      <w:r>
        <w:rPr/>
        <w:t>Kenny,</w:t>
      </w:r>
      <w:r>
        <w:rPr>
          <w:spacing w:val="10"/>
        </w:rPr>
        <w:t> </w:t>
      </w:r>
      <w:r>
        <w:rPr/>
        <w:t>M.W.,</w:t>
      </w:r>
      <w:r>
        <w:rPr>
          <w:spacing w:val="11"/>
        </w:rPr>
        <w:t> </w:t>
      </w:r>
      <w:r>
        <w:rPr/>
        <w:t>George,</w:t>
      </w:r>
      <w:r>
        <w:rPr>
          <w:spacing w:val="10"/>
        </w:rPr>
        <w:t> </w:t>
      </w:r>
      <w:r>
        <w:rPr/>
        <w:t>A.J.,</w:t>
      </w:r>
      <w:r>
        <w:rPr>
          <w:spacing w:val="11"/>
        </w:rPr>
        <w:t> </w:t>
      </w:r>
      <w:r>
        <w:rPr/>
        <w:t>and</w:t>
      </w:r>
      <w:r>
        <w:rPr>
          <w:spacing w:val="8"/>
        </w:rPr>
        <w:t> </w:t>
      </w:r>
      <w:r>
        <w:rPr/>
        <w:t>Stuart,</w:t>
      </w:r>
      <w:r>
        <w:rPr>
          <w:spacing w:val="10"/>
        </w:rPr>
        <w:t> </w:t>
      </w:r>
      <w:r>
        <w:rPr/>
        <w:t>J.</w:t>
      </w:r>
      <w:r>
        <w:rPr>
          <w:spacing w:val="11"/>
        </w:rPr>
        <w:t> </w:t>
      </w:r>
      <w:r>
        <w:rPr/>
        <w:t>(1980).</w:t>
      </w:r>
      <w:r>
        <w:rPr>
          <w:spacing w:val="6"/>
        </w:rPr>
        <w:t> </w:t>
      </w:r>
      <w:r>
        <w:rPr/>
        <w:t>Platelet</w:t>
      </w:r>
      <w:r>
        <w:rPr>
          <w:spacing w:val="13"/>
        </w:rPr>
        <w:t> </w:t>
      </w:r>
      <w:r>
        <w:rPr/>
        <w:t>Hyperactivity</w:t>
      </w:r>
      <w:r>
        <w:rPr>
          <w:spacing w:val="9"/>
        </w:rPr>
        <w:t> </w:t>
      </w:r>
      <w:r>
        <w:rPr/>
        <w:t>in</w:t>
      </w:r>
      <w:r>
        <w:rPr>
          <w:spacing w:val="7"/>
        </w:rPr>
        <w:t> </w:t>
      </w:r>
      <w:r>
        <w:rPr/>
        <w:t>Sickle-Cell</w:t>
      </w:r>
      <w:r>
        <w:rPr>
          <w:spacing w:val="9"/>
        </w:rPr>
        <w:t> </w:t>
      </w:r>
      <w:r>
        <w:rPr/>
        <w:t>Disease:</w:t>
      </w:r>
      <w:r>
        <w:rPr>
          <w:spacing w:val="-57"/>
        </w:rPr>
        <w:t> </w:t>
      </w:r>
      <w:r>
        <w:rPr/>
        <w:t>a</w:t>
      </w:r>
      <w:r>
        <w:rPr>
          <w:spacing w:val="-1"/>
        </w:rPr>
        <w:t> </w:t>
      </w:r>
      <w:r>
        <w:rPr/>
        <w:t>consequence of</w:t>
      </w:r>
      <w:r>
        <w:rPr>
          <w:spacing w:val="-7"/>
        </w:rPr>
        <w:t> </w:t>
      </w:r>
      <w:r>
        <w:rPr/>
        <w:t>Hyposplenism.</w:t>
      </w:r>
      <w:r>
        <w:rPr>
          <w:spacing w:val="5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6"/>
        </w:rPr>
        <w:t> </w:t>
      </w:r>
      <w:r>
        <w:rPr>
          <w:i/>
        </w:rPr>
        <w:t>Clinical Pathology</w:t>
      </w:r>
      <w:r>
        <w:rPr/>
        <w:t>.</w:t>
      </w:r>
      <w:r>
        <w:rPr>
          <w:spacing w:val="3"/>
        </w:rPr>
        <w:t> </w:t>
      </w:r>
      <w:r>
        <w:rPr/>
        <w:t>33:622-625</w:t>
      </w:r>
    </w:p>
    <w:p>
      <w:pPr>
        <w:pStyle w:val="BodyText"/>
        <w:spacing w:line="360" w:lineRule="auto" w:before="210"/>
        <w:ind w:left="1540" w:right="1442" w:hanging="720"/>
        <w:jc w:val="both"/>
      </w:pPr>
      <w:r>
        <w:rPr/>
        <w:t>Kizito, M.E., Mworozi, E., Ndugwa, C., and Serjeant, G.R. (2007). Bacteraemia in Homozygous</w:t>
      </w:r>
      <w:r>
        <w:rPr>
          <w:spacing w:val="1"/>
        </w:rPr>
        <w:t> </w:t>
      </w:r>
      <w:r>
        <w:rPr/>
        <w:t>Sickle Cell Disease in Africa. Is pneumococcal prophylaxis justified? </w:t>
      </w:r>
      <w:r>
        <w:rPr>
          <w:i/>
        </w:rPr>
        <w:t>Archives of Disease</w:t>
      </w:r>
      <w:r>
        <w:rPr>
          <w:i/>
          <w:spacing w:val="-58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Childhood</w:t>
      </w:r>
      <w:r>
        <w:rPr/>
        <w:t>. 92:21-23.</w:t>
      </w:r>
    </w:p>
    <w:p>
      <w:pPr>
        <w:pStyle w:val="BodyText"/>
        <w:spacing w:line="355" w:lineRule="auto" w:before="203"/>
        <w:ind w:left="1540" w:right="1444" w:hanging="720"/>
        <w:jc w:val="both"/>
      </w:pPr>
      <w:r>
        <w:rPr/>
        <w:t>Klings, E.S. and Farber H.W. (2001). Role of Free Radicals in the Pathogenesis of Acute Chest</w:t>
      </w:r>
      <w:r>
        <w:rPr>
          <w:spacing w:val="1"/>
        </w:rPr>
        <w:t> </w:t>
      </w:r>
      <w:r>
        <w:rPr/>
        <w:t>Syndrome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Sickle Cell</w:t>
      </w:r>
      <w:r>
        <w:rPr>
          <w:spacing w:val="-3"/>
        </w:rPr>
        <w:t> </w:t>
      </w:r>
      <w:r>
        <w:rPr/>
        <w:t>Disease.</w:t>
      </w:r>
      <w:r>
        <w:rPr>
          <w:spacing w:val="5"/>
        </w:rPr>
        <w:t> </w:t>
      </w:r>
      <w:r>
        <w:rPr>
          <w:i/>
        </w:rPr>
        <w:t>Respiratory Research</w:t>
      </w:r>
      <w:r>
        <w:rPr/>
        <w:t>.</w:t>
      </w:r>
      <w:r>
        <w:rPr>
          <w:spacing w:val="3"/>
        </w:rPr>
        <w:t> </w:t>
      </w:r>
      <w:r>
        <w:rPr/>
        <w:t>2:280-285.</w:t>
      </w:r>
    </w:p>
    <w:p>
      <w:pPr>
        <w:spacing w:line="355" w:lineRule="auto" w:before="210"/>
        <w:ind w:left="1540" w:right="1444" w:hanging="720"/>
        <w:jc w:val="both"/>
        <w:rPr>
          <w:sz w:val="24"/>
        </w:rPr>
      </w:pPr>
      <w:r>
        <w:rPr>
          <w:sz w:val="24"/>
        </w:rPr>
        <w:t>Koduri, P. R. (2003). Iron in Sickle Cell Disease: A review why less is better. </w:t>
      </w:r>
      <w:r>
        <w:rPr>
          <w:i/>
          <w:sz w:val="24"/>
        </w:rPr>
        <w:t>American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Haematology</w:t>
      </w:r>
      <w:r>
        <w:rPr>
          <w:sz w:val="24"/>
        </w:rPr>
        <w:t>.</w:t>
      </w:r>
      <w:r>
        <w:rPr>
          <w:spacing w:val="4"/>
          <w:sz w:val="24"/>
        </w:rPr>
        <w:t> </w:t>
      </w:r>
      <w:r>
        <w:rPr>
          <w:sz w:val="24"/>
        </w:rPr>
        <w:t>73:59-63.</w:t>
      </w:r>
    </w:p>
    <w:p>
      <w:pPr>
        <w:spacing w:line="355" w:lineRule="auto" w:before="210"/>
        <w:ind w:left="1540" w:right="1442" w:hanging="720"/>
        <w:jc w:val="both"/>
        <w:rPr>
          <w:sz w:val="24"/>
        </w:rPr>
      </w:pPr>
      <w:r>
        <w:rPr>
          <w:sz w:val="24"/>
        </w:rPr>
        <w:t>Konotey-Ahulu,</w:t>
      </w:r>
      <w:r>
        <w:rPr>
          <w:spacing w:val="1"/>
          <w:sz w:val="24"/>
        </w:rPr>
        <w:t> </w:t>
      </w:r>
      <w:r>
        <w:rPr>
          <w:sz w:val="24"/>
        </w:rPr>
        <w:t>F.I.D.</w:t>
      </w:r>
      <w:r>
        <w:rPr>
          <w:spacing w:val="1"/>
          <w:sz w:val="24"/>
        </w:rPr>
        <w:t> </w:t>
      </w:r>
      <w:r>
        <w:rPr>
          <w:sz w:val="24"/>
        </w:rPr>
        <w:t>(1991).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Sickle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Disease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Patient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Macmillan</w:t>
      </w:r>
      <w:r>
        <w:rPr>
          <w:spacing w:val="1"/>
          <w:sz w:val="24"/>
        </w:rPr>
        <w:t> </w:t>
      </w:r>
      <w:r>
        <w:rPr>
          <w:sz w:val="24"/>
        </w:rPr>
        <w:t>Press</w:t>
      </w:r>
      <w:r>
        <w:rPr>
          <w:spacing w:val="1"/>
          <w:sz w:val="24"/>
        </w:rPr>
        <w:t> </w:t>
      </w:r>
      <w:r>
        <w:rPr>
          <w:sz w:val="24"/>
        </w:rPr>
        <w:t>Ltd,</w:t>
      </w:r>
      <w:r>
        <w:rPr>
          <w:spacing w:val="-57"/>
          <w:sz w:val="24"/>
        </w:rPr>
        <w:t> </w:t>
      </w:r>
      <w:r>
        <w:rPr>
          <w:sz w:val="24"/>
        </w:rPr>
        <w:t>London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Basingstoke.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3"/>
          <w:sz w:val="24"/>
        </w:rPr>
        <w:t> </w:t>
      </w:r>
      <w:r>
        <w:rPr>
          <w:sz w:val="24"/>
        </w:rPr>
        <w:t>5-6, 99-101,</w:t>
      </w:r>
      <w:r>
        <w:rPr>
          <w:spacing w:val="3"/>
          <w:sz w:val="24"/>
        </w:rPr>
        <w:t> </w:t>
      </w:r>
      <w:r>
        <w:rPr>
          <w:sz w:val="24"/>
        </w:rPr>
        <w:t>115-116,</w:t>
      </w:r>
      <w:r>
        <w:rPr>
          <w:spacing w:val="3"/>
          <w:sz w:val="24"/>
        </w:rPr>
        <w:t> </w:t>
      </w:r>
      <w:r>
        <w:rPr>
          <w:sz w:val="24"/>
        </w:rPr>
        <w:t>127,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131.</w:t>
      </w:r>
    </w:p>
    <w:p>
      <w:pPr>
        <w:pStyle w:val="BodyText"/>
        <w:spacing w:line="360" w:lineRule="auto" w:before="211"/>
        <w:ind w:left="1540" w:right="1440" w:hanging="720"/>
        <w:jc w:val="both"/>
      </w:pPr>
      <w:r>
        <w:rPr/>
        <w:t>Kreuels, B., Ehrhardt, S., Kreuzberg, C., Adjei,</w:t>
      </w:r>
      <w:r>
        <w:rPr>
          <w:spacing w:val="60"/>
        </w:rPr>
        <w:t> </w:t>
      </w:r>
      <w:r>
        <w:rPr/>
        <w:t>S., Kobbe, R., Burchard, G.D., Ehmen, C.,</w:t>
      </w:r>
      <w:r>
        <w:rPr>
          <w:spacing w:val="1"/>
        </w:rPr>
        <w:t> </w:t>
      </w:r>
      <w:r>
        <w:rPr/>
        <w:t>Ayim, M., Adjei, O., and May, J. (2009). Sickle Cell Trait (HbAS) and stunting in</w:t>
      </w:r>
      <w:r>
        <w:rPr>
          <w:spacing w:val="1"/>
        </w:rPr>
        <w:t> </w:t>
      </w:r>
      <w:r>
        <w:rPr/>
        <w:t>Children below two</w:t>
      </w:r>
      <w:r>
        <w:rPr>
          <w:spacing w:val="1"/>
        </w:rPr>
        <w:t> </w:t>
      </w:r>
      <w:r>
        <w:rPr/>
        <w:t>years of age</w:t>
      </w:r>
      <w:r>
        <w:rPr>
          <w:spacing w:val="1"/>
        </w:rPr>
        <w:t> </w:t>
      </w:r>
      <w:r>
        <w:rPr/>
        <w:t>in an area of high Malaria Transmission.</w:t>
      </w:r>
      <w:r>
        <w:rPr>
          <w:spacing w:val="1"/>
        </w:rPr>
        <w:t> </w:t>
      </w:r>
      <w:r>
        <w:rPr>
          <w:i/>
        </w:rPr>
        <w:t>Malaria</w:t>
      </w:r>
      <w:r>
        <w:rPr>
          <w:i/>
          <w:spacing w:val="1"/>
        </w:rPr>
        <w:t> </w:t>
      </w:r>
      <w:r>
        <w:rPr>
          <w:i/>
        </w:rPr>
        <w:t>Journal.</w:t>
      </w:r>
      <w:r>
        <w:rPr>
          <w:i/>
          <w:spacing w:val="4"/>
        </w:rPr>
        <w:t> </w:t>
      </w:r>
      <w:r>
        <w:rPr/>
        <w:t>8:16.</w:t>
      </w:r>
    </w:p>
    <w:p>
      <w:pPr>
        <w:spacing w:before="197"/>
        <w:ind w:left="820" w:right="0" w:firstLine="0"/>
        <w:jc w:val="both"/>
        <w:rPr>
          <w:sz w:val="24"/>
        </w:rPr>
      </w:pPr>
      <w:r>
        <w:rPr>
          <w:sz w:val="24"/>
        </w:rPr>
        <w:t>Lane,</w:t>
      </w:r>
      <w:r>
        <w:rPr>
          <w:spacing w:val="-1"/>
          <w:sz w:val="24"/>
        </w:rPr>
        <w:t> </w:t>
      </w:r>
      <w:r>
        <w:rPr>
          <w:sz w:val="24"/>
        </w:rPr>
        <w:t>P.A.</w:t>
      </w:r>
      <w:r>
        <w:rPr>
          <w:spacing w:val="-1"/>
          <w:sz w:val="24"/>
        </w:rPr>
        <w:t> </w:t>
      </w:r>
      <w:r>
        <w:rPr>
          <w:sz w:val="24"/>
        </w:rPr>
        <w:t>(1996).</w:t>
      </w:r>
      <w:r>
        <w:rPr>
          <w:spacing w:val="-4"/>
          <w:sz w:val="24"/>
        </w:rPr>
        <w:t> </w:t>
      </w:r>
      <w:r>
        <w:rPr>
          <w:sz w:val="24"/>
        </w:rPr>
        <w:t>Sickle</w:t>
      </w:r>
      <w:r>
        <w:rPr>
          <w:spacing w:val="-3"/>
          <w:sz w:val="24"/>
        </w:rPr>
        <w:t> </w:t>
      </w:r>
      <w:r>
        <w:rPr>
          <w:sz w:val="24"/>
        </w:rPr>
        <w:t>Cell</w:t>
      </w:r>
      <w:r>
        <w:rPr>
          <w:spacing w:val="-7"/>
          <w:sz w:val="24"/>
        </w:rPr>
        <w:t> </w:t>
      </w:r>
      <w:r>
        <w:rPr>
          <w:sz w:val="24"/>
        </w:rPr>
        <w:t>Disease.</w:t>
      </w:r>
      <w:r>
        <w:rPr>
          <w:spacing w:val="2"/>
          <w:sz w:val="24"/>
        </w:rPr>
        <w:t> </w:t>
      </w:r>
      <w:r>
        <w:rPr>
          <w:i/>
          <w:sz w:val="24"/>
        </w:rPr>
        <w:t>Paediatric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North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America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43:639-664.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ind w:left="820"/>
        <w:jc w:val="both"/>
      </w:pPr>
      <w:r>
        <w:rPr/>
        <w:t>Lanzkron,</w:t>
      </w:r>
      <w:r>
        <w:rPr>
          <w:spacing w:val="19"/>
        </w:rPr>
        <w:t> </w:t>
      </w:r>
      <w:r>
        <w:rPr/>
        <w:t>S.,</w:t>
      </w:r>
      <w:r>
        <w:rPr>
          <w:spacing w:val="19"/>
        </w:rPr>
        <w:t> </w:t>
      </w:r>
      <w:r>
        <w:rPr/>
        <w:t>Srouse,</w:t>
      </w:r>
      <w:r>
        <w:rPr>
          <w:spacing w:val="19"/>
        </w:rPr>
        <w:t> </w:t>
      </w:r>
      <w:r>
        <w:rPr/>
        <w:t>J.J.,</w:t>
      </w:r>
      <w:r>
        <w:rPr>
          <w:spacing w:val="19"/>
        </w:rPr>
        <w:t> </w:t>
      </w:r>
      <w:r>
        <w:rPr/>
        <w:t>Wilson,</w:t>
      </w:r>
      <w:r>
        <w:rPr>
          <w:spacing w:val="19"/>
        </w:rPr>
        <w:t> </w:t>
      </w:r>
      <w:r>
        <w:rPr/>
        <w:t>R.,</w:t>
      </w:r>
      <w:r>
        <w:rPr>
          <w:spacing w:val="22"/>
        </w:rPr>
        <w:t> </w:t>
      </w:r>
      <w:r>
        <w:rPr/>
        <w:t>Beach,</w:t>
      </w:r>
      <w:r>
        <w:rPr>
          <w:spacing w:val="20"/>
        </w:rPr>
        <w:t> </w:t>
      </w:r>
      <w:r>
        <w:rPr/>
        <w:t>M.C.,</w:t>
      </w:r>
      <w:r>
        <w:rPr>
          <w:spacing w:val="19"/>
        </w:rPr>
        <w:t> </w:t>
      </w:r>
      <w:r>
        <w:rPr/>
        <w:t>Haywood,</w:t>
      </w:r>
      <w:r>
        <w:rPr>
          <w:spacing w:val="19"/>
        </w:rPr>
        <w:t> </w:t>
      </w:r>
      <w:r>
        <w:rPr/>
        <w:t>C.,</w:t>
      </w:r>
      <w:r>
        <w:rPr>
          <w:spacing w:val="19"/>
        </w:rPr>
        <w:t> </w:t>
      </w:r>
      <w:r>
        <w:rPr/>
        <w:t>Park,</w:t>
      </w:r>
      <w:r>
        <w:rPr>
          <w:spacing w:val="19"/>
        </w:rPr>
        <w:t> </w:t>
      </w:r>
      <w:r>
        <w:rPr/>
        <w:t>H.,</w:t>
      </w:r>
      <w:r>
        <w:rPr>
          <w:spacing w:val="19"/>
        </w:rPr>
        <w:t> </w:t>
      </w:r>
      <w:r>
        <w:rPr/>
        <w:t>Witkop,</w:t>
      </w:r>
      <w:r>
        <w:rPr>
          <w:spacing w:val="19"/>
        </w:rPr>
        <w:t> </w:t>
      </w:r>
      <w:r>
        <w:rPr/>
        <w:t>C.,</w:t>
      </w:r>
      <w:r>
        <w:rPr>
          <w:spacing w:val="20"/>
        </w:rPr>
        <w:t> </w:t>
      </w:r>
      <w:r>
        <w:rPr/>
        <w:t>Bass,</w:t>
      </w:r>
    </w:p>
    <w:p>
      <w:pPr>
        <w:pStyle w:val="BodyText"/>
        <w:spacing w:line="355" w:lineRule="auto" w:before="137"/>
        <w:ind w:left="1540" w:right="1433"/>
      </w:pPr>
      <w:r>
        <w:rPr/>
        <w:t>E.B.</w:t>
      </w:r>
      <w:r>
        <w:rPr>
          <w:spacing w:val="58"/>
        </w:rPr>
        <w:t> </w:t>
      </w:r>
      <w:r>
        <w:rPr/>
        <w:t>and</w:t>
      </w:r>
      <w:r>
        <w:rPr>
          <w:spacing w:val="55"/>
        </w:rPr>
        <w:t> </w:t>
      </w:r>
      <w:r>
        <w:rPr/>
        <w:t>Segal,</w:t>
      </w:r>
      <w:r>
        <w:rPr>
          <w:spacing w:val="58"/>
        </w:rPr>
        <w:t> </w:t>
      </w:r>
      <w:r>
        <w:rPr/>
        <w:t>J.B.</w:t>
      </w:r>
      <w:r>
        <w:rPr>
          <w:spacing w:val="58"/>
        </w:rPr>
        <w:t> </w:t>
      </w:r>
      <w:r>
        <w:rPr/>
        <w:t>(2008).</w:t>
      </w:r>
      <w:r>
        <w:rPr>
          <w:spacing w:val="58"/>
        </w:rPr>
        <w:t> </w:t>
      </w:r>
      <w:r>
        <w:rPr/>
        <w:t>Systematic</w:t>
      </w:r>
      <w:r>
        <w:rPr>
          <w:spacing w:val="55"/>
        </w:rPr>
        <w:t> </w:t>
      </w:r>
      <w:r>
        <w:rPr/>
        <w:t>Review:</w:t>
      </w:r>
      <w:r>
        <w:rPr>
          <w:spacing w:val="56"/>
        </w:rPr>
        <w:t> </w:t>
      </w:r>
      <w:r>
        <w:rPr/>
        <w:t>Hydroxyurea</w:t>
      </w:r>
      <w:r>
        <w:rPr>
          <w:spacing w:val="59"/>
        </w:rPr>
        <w:t> </w:t>
      </w:r>
      <w:r>
        <w:rPr/>
        <w:t>for</w:t>
      </w:r>
      <w:r>
        <w:rPr>
          <w:spacing w:val="57"/>
        </w:rPr>
        <w:t> </w:t>
      </w:r>
      <w:r>
        <w:rPr/>
        <w:t>the</w:t>
      </w:r>
      <w:r>
        <w:rPr>
          <w:spacing w:val="56"/>
        </w:rPr>
        <w:t> </w:t>
      </w:r>
      <w:r>
        <w:rPr/>
        <w:t>Treatment</w:t>
      </w:r>
      <w:r>
        <w:rPr>
          <w:spacing w:val="2"/>
        </w:rPr>
        <w:t> </w:t>
      </w:r>
      <w:r>
        <w:rPr/>
        <w:t>of</w:t>
      </w:r>
      <w:r>
        <w:rPr>
          <w:spacing w:val="-57"/>
        </w:rPr>
        <w:t> </w:t>
      </w:r>
      <w:r>
        <w:rPr/>
        <w:t>Adults</w:t>
      </w:r>
      <w:r>
        <w:rPr>
          <w:spacing w:val="-2"/>
        </w:rPr>
        <w:t> </w:t>
      </w:r>
      <w:r>
        <w:rPr/>
        <w:t>with</w:t>
      </w:r>
      <w:r>
        <w:rPr>
          <w:spacing w:val="-4"/>
        </w:rPr>
        <w:t> </w:t>
      </w:r>
      <w:r>
        <w:rPr/>
        <w:t>Sickle Cell</w:t>
      </w:r>
      <w:r>
        <w:rPr>
          <w:spacing w:val="-3"/>
        </w:rPr>
        <w:t> </w:t>
      </w:r>
      <w:r>
        <w:rPr/>
        <w:t>Disease.</w:t>
      </w:r>
      <w:r>
        <w:rPr>
          <w:spacing w:val="4"/>
        </w:rPr>
        <w:t> </w:t>
      </w:r>
      <w:r>
        <w:rPr>
          <w:i/>
        </w:rPr>
        <w:t>Annals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Internal</w:t>
      </w:r>
      <w:r>
        <w:rPr>
          <w:i/>
          <w:spacing w:val="1"/>
        </w:rPr>
        <w:t> </w:t>
      </w:r>
      <w:r>
        <w:rPr>
          <w:i/>
        </w:rPr>
        <w:t>Medicine</w:t>
      </w:r>
      <w:r>
        <w:rPr/>
        <w:t>.</w:t>
      </w:r>
      <w:r>
        <w:rPr>
          <w:spacing w:val="-1"/>
        </w:rPr>
        <w:t> </w:t>
      </w:r>
      <w:r>
        <w:rPr/>
        <w:t>148(12):939-955.</w:t>
      </w:r>
    </w:p>
    <w:p>
      <w:pPr>
        <w:pStyle w:val="BodyText"/>
        <w:spacing w:line="355" w:lineRule="auto" w:before="211"/>
        <w:ind w:left="1540" w:right="1441" w:hanging="720"/>
        <w:jc w:val="both"/>
      </w:pPr>
      <w:r>
        <w:rPr/>
        <w:t>Lard, L.R., Mul, F.P.J., De Haas, M., Roos, D., and Duits, A.J. (1999). Neutrophil Activation in</w:t>
      </w:r>
      <w:r>
        <w:rPr>
          <w:spacing w:val="1"/>
        </w:rPr>
        <w:t> </w:t>
      </w:r>
      <w:r>
        <w:rPr/>
        <w:t>Sickle Cell</w:t>
      </w:r>
      <w:r>
        <w:rPr>
          <w:spacing w:val="-7"/>
        </w:rPr>
        <w:t> </w:t>
      </w:r>
      <w:r>
        <w:rPr/>
        <w:t>Disease.</w:t>
      </w:r>
      <w:r>
        <w:rPr>
          <w:spacing w:val="4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Leucocyte</w:t>
      </w:r>
      <w:r>
        <w:rPr>
          <w:i/>
          <w:spacing w:val="1"/>
        </w:rPr>
        <w:t> </w:t>
      </w:r>
      <w:r>
        <w:rPr>
          <w:i/>
        </w:rPr>
        <w:t>Biology</w:t>
      </w:r>
      <w:r>
        <w:rPr/>
        <w:t>. 66:411-415.</w:t>
      </w:r>
    </w:p>
    <w:p>
      <w:pPr>
        <w:pStyle w:val="BodyText"/>
        <w:spacing w:line="360" w:lineRule="auto" w:before="210"/>
        <w:ind w:left="1540" w:right="1444" w:hanging="720"/>
        <w:jc w:val="both"/>
      </w:pPr>
      <w:r>
        <w:rPr/>
        <w:t>Leonard, M.B., Zemel, B.S., Kawchak, D.A., Ohene-Frempong, K., and Stallings V.A. (1998).</w:t>
      </w:r>
      <w:r>
        <w:rPr>
          <w:spacing w:val="1"/>
        </w:rPr>
        <w:t> </w:t>
      </w:r>
      <w:r>
        <w:rPr/>
        <w:t>Plasma zinc status, growth, and maturation in children with Sickle Cell Disease.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Paediatrics and</w:t>
      </w:r>
      <w:r>
        <w:rPr>
          <w:i/>
          <w:spacing w:val="2"/>
        </w:rPr>
        <w:t> </w:t>
      </w:r>
      <w:r>
        <w:rPr>
          <w:i/>
        </w:rPr>
        <w:t>Child</w:t>
      </w:r>
      <w:r>
        <w:rPr>
          <w:i/>
          <w:spacing w:val="1"/>
        </w:rPr>
        <w:t> </w:t>
      </w:r>
      <w:r>
        <w:rPr>
          <w:i/>
        </w:rPr>
        <w:t>Health.</w:t>
      </w:r>
      <w:r>
        <w:rPr>
          <w:i/>
          <w:spacing w:val="8"/>
        </w:rPr>
        <w:t> </w:t>
      </w:r>
      <w:r>
        <w:rPr/>
        <w:t>132:467-71.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57" w:lineRule="auto" w:before="72"/>
        <w:ind w:left="1540" w:right="1436" w:hanging="720"/>
        <w:jc w:val="both"/>
      </w:pPr>
      <w:r>
        <w:rPr/>
        <w:t>Letvin,</w:t>
      </w:r>
      <w:r>
        <w:rPr>
          <w:spacing w:val="1"/>
        </w:rPr>
        <w:t> </w:t>
      </w:r>
      <w:r>
        <w:rPr/>
        <w:t>N.L.,</w:t>
      </w:r>
      <w:r>
        <w:rPr>
          <w:spacing w:val="1"/>
        </w:rPr>
        <w:t> </w:t>
      </w:r>
      <w:r>
        <w:rPr/>
        <w:t>Linch,</w:t>
      </w:r>
      <w:r>
        <w:rPr>
          <w:spacing w:val="1"/>
        </w:rPr>
        <w:t> </w:t>
      </w:r>
      <w:r>
        <w:rPr/>
        <w:t>D.C.,</w:t>
      </w:r>
      <w:r>
        <w:rPr>
          <w:spacing w:val="1"/>
        </w:rPr>
        <w:t> </w:t>
      </w:r>
      <w:r>
        <w:rPr/>
        <w:t>Beardsley,</w:t>
      </w:r>
      <w:r>
        <w:rPr>
          <w:spacing w:val="1"/>
        </w:rPr>
        <w:t> </w:t>
      </w:r>
      <w:r>
        <w:rPr/>
        <w:t>G.P.,</w:t>
      </w:r>
      <w:r>
        <w:rPr>
          <w:spacing w:val="1"/>
        </w:rPr>
        <w:t> </w:t>
      </w:r>
      <w:r>
        <w:rPr/>
        <w:t>McIntyre,</w:t>
      </w:r>
      <w:r>
        <w:rPr>
          <w:spacing w:val="1"/>
        </w:rPr>
        <w:t> </w:t>
      </w:r>
      <w:r>
        <w:rPr/>
        <w:t>K.W.,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Nathan,</w:t>
      </w:r>
      <w:r>
        <w:rPr>
          <w:spacing w:val="1"/>
        </w:rPr>
        <w:t> </w:t>
      </w:r>
      <w:r>
        <w:rPr/>
        <w:t>D.G.</w:t>
      </w:r>
      <w:r>
        <w:rPr>
          <w:spacing w:val="1"/>
        </w:rPr>
        <w:t> </w:t>
      </w:r>
      <w:r>
        <w:rPr/>
        <w:t>(1984).</w:t>
      </w:r>
      <w:r>
        <w:rPr>
          <w:spacing w:val="1"/>
        </w:rPr>
        <w:t> </w:t>
      </w:r>
      <w:r>
        <w:rPr/>
        <w:t>Augmentation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Foetal-haemoglobin</w:t>
      </w:r>
      <w:r>
        <w:rPr>
          <w:spacing w:val="1"/>
        </w:rPr>
        <w:t> </w:t>
      </w:r>
      <w:r>
        <w:rPr/>
        <w:t>production</w:t>
      </w:r>
      <w:r>
        <w:rPr>
          <w:spacing w:val="61"/>
        </w:rPr>
        <w:t> </w:t>
      </w:r>
      <w:r>
        <w:rPr/>
        <w:t>in</w:t>
      </w:r>
      <w:r>
        <w:rPr>
          <w:spacing w:val="61"/>
        </w:rPr>
        <w:t> </w:t>
      </w:r>
      <w:r>
        <w:rPr/>
        <w:t>anaemic</w:t>
      </w:r>
      <w:r>
        <w:rPr>
          <w:spacing w:val="61"/>
        </w:rPr>
        <w:t> </w:t>
      </w:r>
      <w:r>
        <w:rPr/>
        <w:t>Monkeys</w:t>
      </w:r>
      <w:r>
        <w:rPr>
          <w:spacing w:val="61"/>
        </w:rPr>
        <w:t> </w:t>
      </w:r>
      <w:r>
        <w:rPr/>
        <w:t>by</w:t>
      </w:r>
      <w:r>
        <w:rPr>
          <w:spacing w:val="1"/>
        </w:rPr>
        <w:t> </w:t>
      </w:r>
      <w:r>
        <w:rPr/>
        <w:t>Hydroxyurea.</w:t>
      </w:r>
      <w:r>
        <w:rPr>
          <w:spacing w:val="5"/>
        </w:rPr>
        <w:t> </w:t>
      </w:r>
      <w:r>
        <w:rPr>
          <w:i/>
        </w:rPr>
        <w:t>New</w:t>
      </w:r>
      <w:r>
        <w:rPr>
          <w:i/>
          <w:spacing w:val="-9"/>
        </w:rPr>
        <w:t> </w:t>
      </w:r>
      <w:r>
        <w:rPr>
          <w:i/>
        </w:rPr>
        <w:t>England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Medicine.</w:t>
      </w:r>
      <w:r>
        <w:rPr>
          <w:i/>
          <w:spacing w:val="-2"/>
        </w:rPr>
        <w:t> </w:t>
      </w:r>
      <w:r>
        <w:rPr/>
        <w:t>310:869-873.</w:t>
      </w:r>
    </w:p>
    <w:p>
      <w:pPr>
        <w:pStyle w:val="BodyText"/>
        <w:spacing w:line="360" w:lineRule="auto" w:before="206"/>
        <w:ind w:left="1540" w:right="1439" w:hanging="720"/>
        <w:jc w:val="both"/>
      </w:pPr>
      <w:r>
        <w:rPr/>
        <w:t>Lew, V.L. and Bookchin, R.M. (2005). Ion Transport Pathology in the Mechanism of Sickle Cell</w:t>
      </w:r>
      <w:r>
        <w:rPr>
          <w:spacing w:val="-57"/>
        </w:rPr>
        <w:t> </w:t>
      </w:r>
      <w:r>
        <w:rPr/>
        <w:t>Dehydration.</w:t>
      </w:r>
      <w:r>
        <w:rPr>
          <w:spacing w:val="4"/>
        </w:rPr>
        <w:t> </w:t>
      </w:r>
      <w:r>
        <w:rPr>
          <w:i/>
        </w:rPr>
        <w:t>Physiological</w:t>
      </w:r>
      <w:r>
        <w:rPr>
          <w:i/>
          <w:spacing w:val="2"/>
        </w:rPr>
        <w:t> </w:t>
      </w:r>
      <w:r>
        <w:rPr>
          <w:i/>
        </w:rPr>
        <w:t>Reviews</w:t>
      </w:r>
      <w:r>
        <w:rPr/>
        <w:t>.</w:t>
      </w:r>
      <w:r>
        <w:rPr>
          <w:spacing w:val="3"/>
        </w:rPr>
        <w:t> </w:t>
      </w:r>
      <w:r>
        <w:rPr/>
        <w:t>85:</w:t>
      </w:r>
      <w:r>
        <w:rPr>
          <w:spacing w:val="2"/>
        </w:rPr>
        <w:t> </w:t>
      </w:r>
      <w:r>
        <w:rPr/>
        <w:t>179-200.</w:t>
      </w:r>
    </w:p>
    <w:p>
      <w:pPr>
        <w:pStyle w:val="BodyText"/>
        <w:spacing w:line="355" w:lineRule="auto" w:before="204"/>
        <w:ind w:left="1540" w:right="1434" w:hanging="720"/>
        <w:jc w:val="both"/>
      </w:pPr>
      <w:r>
        <w:rPr/>
        <w:t>Lin, E.E., Rodgers, G.P., and Gladwin, M.T. (2005). Haemolytic Anaemia-associated pulmonary</w:t>
      </w:r>
      <w:r>
        <w:rPr>
          <w:spacing w:val="-57"/>
        </w:rPr>
        <w:t> </w:t>
      </w:r>
      <w:r>
        <w:rPr/>
        <w:t>Hypertension in</w:t>
      </w:r>
      <w:r>
        <w:rPr>
          <w:spacing w:val="-4"/>
        </w:rPr>
        <w:t> </w:t>
      </w:r>
      <w:r>
        <w:rPr/>
        <w:t>Sickle</w:t>
      </w:r>
      <w:r>
        <w:rPr>
          <w:spacing w:val="-1"/>
        </w:rPr>
        <w:t> </w:t>
      </w:r>
      <w:r>
        <w:rPr/>
        <w:t>Cell</w:t>
      </w:r>
      <w:r>
        <w:rPr>
          <w:spacing w:val="-3"/>
        </w:rPr>
        <w:t> </w:t>
      </w:r>
      <w:r>
        <w:rPr/>
        <w:t>Disease.</w:t>
      </w:r>
      <w:r>
        <w:rPr>
          <w:spacing w:val="3"/>
        </w:rPr>
        <w:t> </w:t>
      </w:r>
      <w:r>
        <w:rPr>
          <w:i/>
        </w:rPr>
        <w:t>Current</w:t>
      </w:r>
      <w:r>
        <w:rPr>
          <w:i/>
          <w:spacing w:val="1"/>
        </w:rPr>
        <w:t> </w:t>
      </w:r>
      <w:r>
        <w:rPr>
          <w:i/>
        </w:rPr>
        <w:t>Haematology</w:t>
      </w:r>
      <w:r>
        <w:rPr>
          <w:i/>
          <w:spacing w:val="-1"/>
        </w:rPr>
        <w:t> </w:t>
      </w:r>
      <w:r>
        <w:rPr>
          <w:i/>
        </w:rPr>
        <w:t>Reports.</w:t>
      </w:r>
      <w:r>
        <w:rPr>
          <w:i/>
          <w:spacing w:val="6"/>
        </w:rPr>
        <w:t> </w:t>
      </w:r>
      <w:r>
        <w:rPr/>
        <w:t>4:117–25</w:t>
      </w:r>
    </w:p>
    <w:p>
      <w:pPr>
        <w:pStyle w:val="BodyText"/>
        <w:spacing w:line="357" w:lineRule="auto" w:before="210"/>
        <w:ind w:left="1540" w:right="1441" w:hanging="720"/>
        <w:jc w:val="both"/>
      </w:pPr>
      <w:r>
        <w:rPr/>
        <w:t>Livrea, M.A., Tesoriere, L., Pintaudi, A.M., Calabrese, A., Maggio, A., Freisleben, H.J., D'Arpa,</w:t>
      </w:r>
      <w:r>
        <w:rPr>
          <w:spacing w:val="1"/>
        </w:rPr>
        <w:t> </w:t>
      </w:r>
      <w:r>
        <w:rPr/>
        <w:t>D., D'Anna, R., and Bongiorno, A. (1996). Oxidative stress and antioxidant status in β-</w:t>
      </w:r>
      <w:r>
        <w:rPr>
          <w:spacing w:val="1"/>
        </w:rPr>
        <w:t> </w:t>
      </w:r>
      <w:r>
        <w:rPr/>
        <w:t>thalassemia</w:t>
      </w:r>
      <w:r>
        <w:rPr>
          <w:spacing w:val="1"/>
        </w:rPr>
        <w:t> </w:t>
      </w:r>
      <w:r>
        <w:rPr/>
        <w:t>major:</w:t>
      </w:r>
      <w:r>
        <w:rPr>
          <w:spacing w:val="1"/>
        </w:rPr>
        <w:t> </w:t>
      </w:r>
      <w:r>
        <w:rPr/>
        <w:t>iron</w:t>
      </w:r>
      <w:r>
        <w:rPr>
          <w:spacing w:val="1"/>
        </w:rPr>
        <w:t> </w:t>
      </w:r>
      <w:r>
        <w:rPr/>
        <w:t>overload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depletion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lipid-soluble</w:t>
      </w:r>
      <w:r>
        <w:rPr>
          <w:spacing w:val="1"/>
        </w:rPr>
        <w:t> </w:t>
      </w:r>
      <w:r>
        <w:rPr/>
        <w:t>antioxidants.</w:t>
      </w:r>
      <w:r>
        <w:rPr>
          <w:spacing w:val="1"/>
        </w:rPr>
        <w:t> </w:t>
      </w:r>
      <w:r>
        <w:rPr>
          <w:i/>
        </w:rPr>
        <w:t>Blood.</w:t>
      </w:r>
      <w:r>
        <w:rPr>
          <w:i/>
          <w:spacing w:val="1"/>
        </w:rPr>
        <w:t> </w:t>
      </w:r>
      <w:r>
        <w:rPr/>
        <w:t>88(9):3608-14.</w:t>
      </w:r>
    </w:p>
    <w:p>
      <w:pPr>
        <w:pStyle w:val="BodyText"/>
        <w:spacing w:before="208"/>
        <w:ind w:left="820"/>
        <w:jc w:val="both"/>
      </w:pPr>
      <w:r>
        <w:rPr/>
        <w:t>Lonergan,</w:t>
      </w:r>
      <w:r>
        <w:rPr>
          <w:spacing w:val="89"/>
        </w:rPr>
        <w:t> </w:t>
      </w:r>
      <w:r>
        <w:rPr/>
        <w:t>G.L.,  </w:t>
      </w:r>
      <w:r>
        <w:rPr>
          <w:spacing w:val="27"/>
        </w:rPr>
        <w:t> </w:t>
      </w:r>
      <w:r>
        <w:rPr/>
        <w:t>Cline,  </w:t>
      </w:r>
      <w:r>
        <w:rPr>
          <w:spacing w:val="28"/>
        </w:rPr>
        <w:t> </w:t>
      </w:r>
      <w:r>
        <w:rPr/>
        <w:t>D.B.,  </w:t>
      </w:r>
      <w:r>
        <w:rPr>
          <w:spacing w:val="28"/>
        </w:rPr>
        <w:t> </w:t>
      </w:r>
      <w:r>
        <w:rPr/>
        <w:t>and  </w:t>
      </w:r>
      <w:r>
        <w:rPr>
          <w:spacing w:val="35"/>
        </w:rPr>
        <w:t> </w:t>
      </w:r>
      <w:r>
        <w:rPr/>
        <w:t>Abbondanzo,  </w:t>
      </w:r>
      <w:r>
        <w:rPr>
          <w:spacing w:val="28"/>
        </w:rPr>
        <w:t> </w:t>
      </w:r>
      <w:r>
        <w:rPr/>
        <w:t>S.L.  </w:t>
      </w:r>
      <w:r>
        <w:rPr>
          <w:spacing w:val="28"/>
        </w:rPr>
        <w:t> </w:t>
      </w:r>
      <w:r>
        <w:rPr/>
        <w:t>(2001).  </w:t>
      </w:r>
      <w:r>
        <w:rPr>
          <w:spacing w:val="28"/>
        </w:rPr>
        <w:t> </w:t>
      </w:r>
      <w:r>
        <w:rPr/>
        <w:t>Sickle  </w:t>
      </w:r>
      <w:r>
        <w:rPr>
          <w:spacing w:val="25"/>
        </w:rPr>
        <w:t> </w:t>
      </w:r>
      <w:r>
        <w:rPr/>
        <w:t>Cell  </w:t>
      </w:r>
      <w:r>
        <w:rPr>
          <w:spacing w:val="26"/>
        </w:rPr>
        <w:t> </w:t>
      </w:r>
      <w:r>
        <w:rPr/>
        <w:t>Anaemia.</w:t>
      </w:r>
    </w:p>
    <w:p>
      <w:pPr>
        <w:spacing w:before="137"/>
        <w:ind w:left="1540" w:right="0" w:firstLine="0"/>
        <w:jc w:val="both"/>
        <w:rPr>
          <w:sz w:val="24"/>
        </w:rPr>
      </w:pPr>
      <w:r>
        <w:rPr>
          <w:i/>
          <w:sz w:val="24"/>
        </w:rPr>
        <w:t>RadioGraphics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21,</w:t>
      </w:r>
      <w:r>
        <w:rPr>
          <w:spacing w:val="-2"/>
          <w:sz w:val="24"/>
        </w:rPr>
        <w:t> </w:t>
      </w:r>
      <w:r>
        <w:rPr>
          <w:sz w:val="24"/>
        </w:rPr>
        <w:t>971-994.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1540" w:right="1444" w:hanging="720"/>
        <w:jc w:val="both"/>
      </w:pPr>
      <w:r>
        <w:rPr/>
        <w:t>Lucarelli, G., Galimberti, M., Polchi, P., Angelucci, E., Baronciani, D., Giardini, C., Politi, P.,</w:t>
      </w:r>
      <w:r>
        <w:rPr>
          <w:spacing w:val="1"/>
        </w:rPr>
        <w:t> </w:t>
      </w:r>
      <w:r>
        <w:rPr/>
        <w:t>Durazzi, S.M.T., Muretto, P., and Albertini, F. (1990). Bone Marrow Transplantation in</w:t>
      </w:r>
      <w:r>
        <w:rPr>
          <w:spacing w:val="1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with</w:t>
      </w:r>
      <w:r>
        <w:rPr>
          <w:spacing w:val="-4"/>
        </w:rPr>
        <w:t> </w:t>
      </w:r>
      <w:r>
        <w:rPr/>
        <w:t>Thalassemia.</w:t>
      </w:r>
      <w:r>
        <w:rPr>
          <w:spacing w:val="5"/>
        </w:rPr>
        <w:t> </w:t>
      </w:r>
      <w:r>
        <w:rPr>
          <w:i/>
        </w:rPr>
        <w:t>New</w:t>
      </w:r>
      <w:r>
        <w:rPr>
          <w:i/>
          <w:spacing w:val="-5"/>
        </w:rPr>
        <w:t> </w:t>
      </w:r>
      <w:r>
        <w:rPr>
          <w:i/>
        </w:rPr>
        <w:t>England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Medicine</w:t>
      </w:r>
      <w:r>
        <w:rPr/>
        <w:t>.</w:t>
      </w:r>
      <w:r>
        <w:rPr>
          <w:spacing w:val="-1"/>
        </w:rPr>
        <w:t> </w:t>
      </w:r>
      <w:r>
        <w:rPr/>
        <w:t>322:417-421.</w:t>
      </w:r>
    </w:p>
    <w:p>
      <w:pPr>
        <w:spacing w:line="355" w:lineRule="auto" w:before="203"/>
        <w:ind w:left="1540" w:right="1442" w:hanging="720"/>
        <w:jc w:val="both"/>
        <w:rPr>
          <w:sz w:val="24"/>
        </w:rPr>
      </w:pPr>
      <w:r>
        <w:rPr>
          <w:sz w:val="24"/>
        </w:rPr>
        <w:t>Machado,</w:t>
      </w:r>
      <w:r>
        <w:rPr>
          <w:spacing w:val="1"/>
          <w:sz w:val="24"/>
        </w:rPr>
        <w:t> </w:t>
      </w:r>
      <w:r>
        <w:rPr>
          <w:sz w:val="24"/>
        </w:rPr>
        <w:t>R.F.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Pulmonary Vascular</w:t>
      </w:r>
      <w:r>
        <w:rPr>
          <w:spacing w:val="1"/>
          <w:sz w:val="24"/>
        </w:rPr>
        <w:t> </w:t>
      </w:r>
      <w:r>
        <w:rPr>
          <w:sz w:val="24"/>
        </w:rPr>
        <w:t>Diseases</w:t>
      </w:r>
      <w:r>
        <w:rPr>
          <w:spacing w:val="1"/>
          <w:sz w:val="24"/>
        </w:rPr>
        <w:t> </w:t>
      </w:r>
      <w:r>
        <w:rPr>
          <w:sz w:val="24"/>
        </w:rPr>
        <w:t>in the Developing</w:t>
      </w:r>
      <w:r>
        <w:rPr>
          <w:spacing w:val="1"/>
          <w:sz w:val="24"/>
        </w:rPr>
        <w:t> </w:t>
      </w:r>
      <w:r>
        <w:rPr>
          <w:sz w:val="24"/>
        </w:rPr>
        <w:t>World.</w:t>
      </w:r>
      <w:r>
        <w:rPr>
          <w:spacing w:val="1"/>
          <w:sz w:val="24"/>
        </w:rPr>
        <w:t> </w:t>
      </w:r>
      <w:r>
        <w:rPr>
          <w:i/>
          <w:sz w:val="24"/>
        </w:rPr>
        <w:t>Pulmonary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Vascular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Institute</w:t>
      </w:r>
      <w:r>
        <w:rPr>
          <w:sz w:val="24"/>
        </w:rPr>
        <w:t>.</w:t>
      </w:r>
      <w:r>
        <w:rPr>
          <w:spacing w:val="4"/>
          <w:sz w:val="24"/>
        </w:rPr>
        <w:t> </w:t>
      </w:r>
      <w:r>
        <w:rPr>
          <w:sz w:val="24"/>
        </w:rPr>
        <w:t>1(1):6-12.</w:t>
      </w:r>
    </w:p>
    <w:p>
      <w:pPr>
        <w:spacing w:line="355" w:lineRule="auto" w:before="210"/>
        <w:ind w:left="1540" w:right="1438" w:hanging="720"/>
        <w:jc w:val="both"/>
        <w:rPr>
          <w:sz w:val="24"/>
        </w:rPr>
      </w:pPr>
      <w:r>
        <w:rPr>
          <w:sz w:val="24"/>
        </w:rPr>
        <w:t>Majekodunmi, S.A., and Akinyanju, O.O. (1978). Ocular findings in homozygous Sickle Cell</w:t>
      </w:r>
      <w:r>
        <w:rPr>
          <w:spacing w:val="1"/>
          <w:sz w:val="24"/>
        </w:rPr>
        <w:t> </w:t>
      </w:r>
      <w:r>
        <w:rPr>
          <w:sz w:val="24"/>
        </w:rPr>
        <w:t>Disease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Nigeria.</w:t>
      </w:r>
      <w:r>
        <w:rPr>
          <w:spacing w:val="4"/>
          <w:sz w:val="24"/>
        </w:rPr>
        <w:t> </w:t>
      </w:r>
      <w:r>
        <w:rPr>
          <w:i/>
          <w:sz w:val="24"/>
        </w:rPr>
        <w:t>Canadian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Ophthalmology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13(3):160-2.</w:t>
      </w:r>
    </w:p>
    <w:p>
      <w:pPr>
        <w:pStyle w:val="BodyText"/>
        <w:spacing w:line="360" w:lineRule="auto" w:before="211"/>
        <w:ind w:left="1540" w:right="1442" w:hanging="720"/>
        <w:jc w:val="both"/>
      </w:pPr>
      <w:r>
        <w:rPr/>
        <w:t>Mamman, A.I. and Durosinmi, M.A. (2004). The Prevalence of Hepatitis B Surface Antigen and</w:t>
      </w:r>
      <w:r>
        <w:rPr>
          <w:spacing w:val="1"/>
        </w:rPr>
        <w:t> </w:t>
      </w:r>
      <w:r>
        <w:rPr/>
        <w:t>Human Immunodeficiency Virus Antibodies among persons with Sickle Cell Anaemia in</w:t>
      </w:r>
      <w:r>
        <w:rPr>
          <w:spacing w:val="1"/>
        </w:rPr>
        <w:t> </w:t>
      </w:r>
      <w:r>
        <w:rPr/>
        <w:t>Zaria.</w:t>
      </w:r>
      <w:r>
        <w:rPr>
          <w:spacing w:val="3"/>
        </w:rPr>
        <w:t> </w:t>
      </w:r>
      <w:r>
        <w:rPr/>
        <w:t>Highland</w:t>
      </w:r>
      <w:r>
        <w:rPr>
          <w:spacing w:val="2"/>
        </w:rPr>
        <w:t> </w:t>
      </w:r>
      <w:r>
        <w:rPr/>
        <w:t>Medical</w:t>
      </w:r>
      <w:r>
        <w:rPr>
          <w:spacing w:val="-3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Journal.</w:t>
      </w:r>
      <w:r>
        <w:rPr>
          <w:spacing w:val="3"/>
        </w:rPr>
        <w:t> </w:t>
      </w:r>
      <w:r>
        <w:rPr/>
        <w:t>2(1):</w:t>
      </w:r>
      <w:r>
        <w:rPr>
          <w:spacing w:val="2"/>
        </w:rPr>
        <w:t> </w:t>
      </w:r>
      <w:r>
        <w:rPr/>
        <w:t>28.</w:t>
      </w:r>
    </w:p>
    <w:p>
      <w:pPr>
        <w:pStyle w:val="BodyText"/>
        <w:spacing w:before="203"/>
        <w:ind w:left="820"/>
        <w:jc w:val="both"/>
      </w:pPr>
      <w:r>
        <w:rPr/>
        <w:t>Mason,</w:t>
      </w:r>
      <w:r>
        <w:rPr>
          <w:spacing w:val="30"/>
        </w:rPr>
        <w:t> </w:t>
      </w:r>
      <w:r>
        <w:rPr/>
        <w:t>A.,</w:t>
      </w:r>
      <w:r>
        <w:rPr>
          <w:spacing w:val="27"/>
        </w:rPr>
        <w:t> </w:t>
      </w:r>
      <w:r>
        <w:rPr/>
        <w:t>Mannar,</w:t>
      </w:r>
      <w:r>
        <w:rPr>
          <w:spacing w:val="26"/>
        </w:rPr>
        <w:t> </w:t>
      </w:r>
      <w:r>
        <w:rPr/>
        <w:t>V.</w:t>
      </w:r>
      <w:r>
        <w:rPr>
          <w:spacing w:val="26"/>
        </w:rPr>
        <w:t> </w:t>
      </w:r>
      <w:r>
        <w:rPr/>
        <w:t>and</w:t>
      </w:r>
      <w:r>
        <w:rPr>
          <w:spacing w:val="25"/>
        </w:rPr>
        <w:t> </w:t>
      </w:r>
      <w:r>
        <w:rPr/>
        <w:t>Mock,</w:t>
      </w:r>
      <w:r>
        <w:rPr>
          <w:spacing w:val="26"/>
        </w:rPr>
        <w:t> </w:t>
      </w:r>
      <w:r>
        <w:rPr/>
        <w:t>N.</w:t>
      </w:r>
      <w:r>
        <w:rPr>
          <w:spacing w:val="26"/>
        </w:rPr>
        <w:t> </w:t>
      </w:r>
      <w:r>
        <w:rPr/>
        <w:t>(1999).</w:t>
      </w:r>
      <w:r>
        <w:rPr>
          <w:spacing w:val="27"/>
        </w:rPr>
        <w:t> </w:t>
      </w:r>
      <w:r>
        <w:rPr/>
        <w:t>Controlling</w:t>
      </w:r>
      <w:r>
        <w:rPr>
          <w:spacing w:val="28"/>
        </w:rPr>
        <w:t> </w:t>
      </w:r>
      <w:r>
        <w:rPr/>
        <w:t>Micronutrient</w:t>
      </w:r>
      <w:r>
        <w:rPr>
          <w:spacing w:val="29"/>
        </w:rPr>
        <w:t> </w:t>
      </w:r>
      <w:r>
        <w:rPr/>
        <w:t>Deficiencies</w:t>
      </w:r>
      <w:r>
        <w:rPr>
          <w:spacing w:val="26"/>
        </w:rPr>
        <w:t> </w:t>
      </w:r>
      <w:r>
        <w:rPr/>
        <w:t>in</w:t>
      </w:r>
      <w:r>
        <w:rPr>
          <w:spacing w:val="29"/>
        </w:rPr>
        <w:t> </w:t>
      </w:r>
      <w:r>
        <w:rPr/>
        <w:t>Asia.</w:t>
      </w:r>
    </w:p>
    <w:p>
      <w:pPr>
        <w:spacing w:before="132"/>
        <w:ind w:left="1540" w:right="0" w:firstLine="0"/>
        <w:jc w:val="both"/>
        <w:rPr>
          <w:sz w:val="24"/>
        </w:rPr>
      </w:pPr>
      <w:r>
        <w:rPr>
          <w:i/>
          <w:sz w:val="24"/>
        </w:rPr>
        <w:t>Asian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Review</w:t>
      </w:r>
      <w:r>
        <w:rPr>
          <w:sz w:val="24"/>
        </w:rPr>
        <w:t>.17</w:t>
      </w:r>
      <w:r>
        <w:rPr>
          <w:spacing w:val="-2"/>
          <w:sz w:val="24"/>
        </w:rPr>
        <w:t> </w:t>
      </w:r>
      <w:r>
        <w:rPr>
          <w:sz w:val="24"/>
        </w:rPr>
        <w:t>(1-2):66-95.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7" w:top="1360" w:bottom="1200" w:left="620" w:right="0"/>
        </w:sectPr>
      </w:pPr>
    </w:p>
    <w:p>
      <w:pPr>
        <w:spacing w:line="357" w:lineRule="auto" w:before="72"/>
        <w:ind w:left="1540" w:right="1446" w:hanging="720"/>
        <w:jc w:val="both"/>
        <w:rPr>
          <w:sz w:val="24"/>
        </w:rPr>
      </w:pPr>
      <w:r>
        <w:rPr>
          <w:sz w:val="24"/>
        </w:rPr>
        <w:t>Mava, Y., Timothy, S.Y., Zailani, S.B., and Ambe, J.P. (2012). Significance of Pyruvia in the</w:t>
      </w:r>
      <w:r>
        <w:rPr>
          <w:spacing w:val="1"/>
          <w:sz w:val="24"/>
        </w:rPr>
        <w:t> </w:t>
      </w:r>
      <w:r>
        <w:rPr>
          <w:sz w:val="24"/>
        </w:rPr>
        <w:t>Diagnosis of Urinary Tract Infection in Children with Sickle Cell Anaemia in Maiduguri.</w:t>
      </w:r>
      <w:r>
        <w:rPr>
          <w:spacing w:val="-57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Experimental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Microbiology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13</w:t>
      </w:r>
      <w:r>
        <w:rPr>
          <w:spacing w:val="-3"/>
          <w:sz w:val="24"/>
        </w:rPr>
        <w:t> </w:t>
      </w:r>
      <w:r>
        <w:rPr>
          <w:sz w:val="24"/>
        </w:rPr>
        <w:t>(2):99-105.</w:t>
      </w:r>
    </w:p>
    <w:p>
      <w:pPr>
        <w:pStyle w:val="BodyText"/>
        <w:spacing w:line="360" w:lineRule="auto" w:before="206"/>
        <w:ind w:left="1540" w:right="1441" w:hanging="720"/>
        <w:jc w:val="both"/>
      </w:pPr>
      <w:r>
        <w:rPr/>
        <w:t>McClish, D.K., Smith, W.R., Dahman, B.A., Levenson, J.L., Roberts, J.D., Penberthy, L.T.,</w:t>
      </w:r>
      <w:r>
        <w:rPr>
          <w:spacing w:val="1"/>
        </w:rPr>
        <w:t> </w:t>
      </w:r>
      <w:r>
        <w:rPr>
          <w:spacing w:val="-1"/>
        </w:rPr>
        <w:t>Aisiku, I.P., Roseff, S.D. and Bovbjerg, V.E. (2009). Pain Site </w:t>
      </w:r>
      <w:r>
        <w:rPr/>
        <w:t>Frequency and Location in</w:t>
      </w:r>
      <w:r>
        <w:rPr>
          <w:spacing w:val="1"/>
        </w:rPr>
        <w:t> </w:t>
      </w:r>
      <w:r>
        <w:rPr/>
        <w:t>Sickle Cell</w:t>
      </w:r>
      <w:r>
        <w:rPr>
          <w:spacing w:val="-8"/>
        </w:rPr>
        <w:t> </w:t>
      </w:r>
      <w:r>
        <w:rPr/>
        <w:t>Disease:</w:t>
      </w:r>
      <w:r>
        <w:rPr>
          <w:spacing w:val="2"/>
        </w:rPr>
        <w:t> </w:t>
      </w:r>
      <w:r>
        <w:rPr/>
        <w:t>the PiSCES</w:t>
      </w:r>
      <w:r>
        <w:rPr>
          <w:spacing w:val="3"/>
        </w:rPr>
        <w:t> </w:t>
      </w:r>
      <w:r>
        <w:rPr/>
        <w:t>Project.</w:t>
      </w:r>
      <w:r>
        <w:rPr>
          <w:spacing w:val="4"/>
        </w:rPr>
        <w:t> </w:t>
      </w:r>
      <w:r>
        <w:rPr>
          <w:i/>
        </w:rPr>
        <w:t>Pain</w:t>
      </w:r>
      <w:r>
        <w:rPr/>
        <w:t>.</w:t>
      </w:r>
      <w:r>
        <w:rPr>
          <w:spacing w:val="-1"/>
        </w:rPr>
        <w:t> </w:t>
      </w:r>
      <w:r>
        <w:rPr/>
        <w:t>145(1-2):</w:t>
      </w:r>
      <w:r>
        <w:rPr>
          <w:spacing w:val="-2"/>
        </w:rPr>
        <w:t> </w:t>
      </w:r>
      <w:r>
        <w:rPr/>
        <w:t>246–251.</w:t>
      </w:r>
    </w:p>
    <w:p>
      <w:pPr>
        <w:pStyle w:val="BodyText"/>
        <w:spacing w:line="357" w:lineRule="auto" w:before="203"/>
        <w:ind w:left="1540" w:right="1440" w:hanging="720"/>
        <w:jc w:val="both"/>
      </w:pPr>
      <w:r>
        <w:rPr/>
        <w:t>McLeod,</w:t>
      </w:r>
      <w:r>
        <w:rPr>
          <w:spacing w:val="1"/>
        </w:rPr>
        <w:t> </w:t>
      </w:r>
      <w:r>
        <w:rPr/>
        <w:t>D.S.,</w:t>
      </w:r>
      <w:r>
        <w:rPr>
          <w:spacing w:val="1"/>
        </w:rPr>
        <w:t> </w:t>
      </w:r>
      <w:r>
        <w:rPr/>
        <w:t>Merges,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Fukushima,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Goldberg,</w:t>
      </w:r>
      <w:r>
        <w:rPr>
          <w:spacing w:val="1"/>
        </w:rPr>
        <w:t> </w:t>
      </w:r>
      <w:r>
        <w:rPr/>
        <w:t>M.F.,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Lutty,</w:t>
      </w:r>
      <w:r>
        <w:rPr>
          <w:spacing w:val="1"/>
        </w:rPr>
        <w:t> </w:t>
      </w:r>
      <w:r>
        <w:rPr/>
        <w:t>G.A.</w:t>
      </w:r>
      <w:r>
        <w:rPr>
          <w:spacing w:val="1"/>
        </w:rPr>
        <w:t> </w:t>
      </w:r>
      <w:r>
        <w:rPr/>
        <w:t>(1997).</w:t>
      </w:r>
      <w:r>
        <w:rPr>
          <w:spacing w:val="1"/>
        </w:rPr>
        <w:t> </w:t>
      </w:r>
      <w:r>
        <w:rPr/>
        <w:t>Histopathologic Features of Neovascularization in Sickle Cell Retinopathy. </w:t>
      </w:r>
      <w:r>
        <w:rPr>
          <w:i/>
        </w:rPr>
        <w:t>American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Ophthalmol</w:t>
      </w:r>
      <w:r>
        <w:rPr/>
        <w:t>ogy.</w:t>
      </w:r>
      <w:r>
        <w:rPr>
          <w:spacing w:val="4"/>
        </w:rPr>
        <w:t> </w:t>
      </w:r>
      <w:r>
        <w:rPr/>
        <w:t>124(4):455-72.</w:t>
      </w:r>
    </w:p>
    <w:p>
      <w:pPr>
        <w:pStyle w:val="BodyText"/>
        <w:spacing w:before="206"/>
        <w:ind w:left="820"/>
        <w:jc w:val="both"/>
      </w:pPr>
      <w:r>
        <w:rPr/>
        <w:t>Meshikhes,</w:t>
      </w:r>
      <w:r>
        <w:rPr>
          <w:spacing w:val="53"/>
        </w:rPr>
        <w:t> </w:t>
      </w:r>
      <w:r>
        <w:rPr/>
        <w:t>W.N.</w:t>
      </w:r>
      <w:r>
        <w:rPr>
          <w:spacing w:val="48"/>
        </w:rPr>
        <w:t> </w:t>
      </w:r>
      <w:r>
        <w:rPr/>
        <w:t>and</w:t>
      </w:r>
      <w:r>
        <w:rPr>
          <w:spacing w:val="55"/>
        </w:rPr>
        <w:t> </w:t>
      </w:r>
      <w:r>
        <w:rPr/>
        <w:t>Al-Faraj,</w:t>
      </w:r>
      <w:r>
        <w:rPr>
          <w:spacing w:val="53"/>
        </w:rPr>
        <w:t> </w:t>
      </w:r>
      <w:r>
        <w:rPr/>
        <w:t>A.A.</w:t>
      </w:r>
      <w:r>
        <w:rPr>
          <w:spacing w:val="48"/>
        </w:rPr>
        <w:t> </w:t>
      </w:r>
      <w:r>
        <w:rPr/>
        <w:t>(1998).</w:t>
      </w:r>
      <w:r>
        <w:rPr>
          <w:spacing w:val="49"/>
        </w:rPr>
        <w:t> </w:t>
      </w:r>
      <w:r>
        <w:rPr/>
        <w:t>Sickle</w:t>
      </w:r>
      <w:r>
        <w:rPr>
          <w:spacing w:val="50"/>
        </w:rPr>
        <w:t> </w:t>
      </w:r>
      <w:r>
        <w:rPr/>
        <w:t>Cell</w:t>
      </w:r>
      <w:r>
        <w:rPr>
          <w:spacing w:val="46"/>
        </w:rPr>
        <w:t> </w:t>
      </w:r>
      <w:r>
        <w:rPr/>
        <w:t>Disease</w:t>
      </w:r>
      <w:r>
        <w:rPr>
          <w:spacing w:val="46"/>
        </w:rPr>
        <w:t> </w:t>
      </w:r>
      <w:r>
        <w:rPr/>
        <w:t>and</w:t>
      </w:r>
      <w:r>
        <w:rPr>
          <w:spacing w:val="50"/>
        </w:rPr>
        <w:t> </w:t>
      </w:r>
      <w:r>
        <w:rPr/>
        <w:t>the</w:t>
      </w:r>
      <w:r>
        <w:rPr>
          <w:spacing w:val="45"/>
        </w:rPr>
        <w:t> </w:t>
      </w:r>
      <w:r>
        <w:rPr/>
        <w:t>General</w:t>
      </w:r>
      <w:r>
        <w:rPr>
          <w:spacing w:val="43"/>
        </w:rPr>
        <w:t> </w:t>
      </w:r>
      <w:r>
        <w:rPr/>
        <w:t>Surgeon.</w:t>
      </w:r>
    </w:p>
    <w:p>
      <w:pPr>
        <w:spacing w:before="132"/>
        <w:ind w:left="1540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Royal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College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Edinburgh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43:73-79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360" w:lineRule="auto"/>
        <w:ind w:left="1540" w:right="1435" w:hanging="720"/>
        <w:jc w:val="both"/>
      </w:pPr>
      <w:r>
        <w:rPr/>
        <w:t>Miller, F.A., Robert, J.S. and Hayeems, R.Z. (2009).</w:t>
      </w:r>
      <w:r>
        <w:rPr>
          <w:spacing w:val="1"/>
        </w:rPr>
        <w:t> </w:t>
      </w:r>
      <w:r>
        <w:rPr/>
        <w:t>Questioning the Consensus: Managing</w:t>
      </w:r>
      <w:r>
        <w:rPr>
          <w:spacing w:val="1"/>
        </w:rPr>
        <w:t> </w:t>
      </w:r>
      <w:r>
        <w:rPr/>
        <w:t>Carrier Status Results Generated by Newborn Screening. </w:t>
      </w:r>
      <w:r>
        <w:rPr>
          <w:i/>
        </w:rPr>
        <w:t>American Journal of Public</w:t>
      </w:r>
      <w:r>
        <w:rPr>
          <w:i/>
          <w:spacing w:val="1"/>
        </w:rPr>
        <w:t> </w:t>
      </w:r>
      <w:r>
        <w:rPr>
          <w:i/>
        </w:rPr>
        <w:t>Health.</w:t>
      </w:r>
      <w:r>
        <w:rPr>
          <w:i/>
          <w:spacing w:val="4"/>
        </w:rPr>
        <w:t> </w:t>
      </w:r>
      <w:r>
        <w:rPr/>
        <w:t>99(2):</w:t>
      </w:r>
      <w:r>
        <w:rPr>
          <w:spacing w:val="2"/>
        </w:rPr>
        <w:t> </w:t>
      </w:r>
      <w:r>
        <w:rPr/>
        <w:t>210–215.</w:t>
      </w:r>
    </w:p>
    <w:p>
      <w:pPr>
        <w:spacing w:before="198"/>
        <w:ind w:left="820" w:right="0" w:firstLine="0"/>
        <w:jc w:val="both"/>
        <w:rPr>
          <w:sz w:val="24"/>
        </w:rPr>
      </w:pPr>
      <w:r>
        <w:rPr>
          <w:sz w:val="24"/>
        </w:rPr>
        <w:t>Miyata</w:t>
      </w:r>
      <w:r>
        <w:rPr>
          <w:spacing w:val="-4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(2007).</w:t>
      </w:r>
      <w:r>
        <w:rPr>
          <w:spacing w:val="-5"/>
          <w:sz w:val="24"/>
        </w:rPr>
        <w:t> </w:t>
      </w:r>
      <w:r>
        <w:rPr>
          <w:sz w:val="24"/>
        </w:rPr>
        <w:t>Zinc</w:t>
      </w:r>
      <w:r>
        <w:rPr>
          <w:spacing w:val="-3"/>
          <w:sz w:val="24"/>
        </w:rPr>
        <w:t> </w:t>
      </w:r>
      <w:r>
        <w:rPr>
          <w:sz w:val="24"/>
        </w:rPr>
        <w:t>deficiency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Elderly.</w:t>
      </w:r>
      <w:r>
        <w:rPr>
          <w:spacing w:val="2"/>
          <w:sz w:val="24"/>
        </w:rPr>
        <w:t> </w:t>
      </w:r>
      <w:r>
        <w:rPr>
          <w:i/>
          <w:sz w:val="24"/>
        </w:rPr>
        <w:t>Japanese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Geriatrics.</w:t>
      </w:r>
      <w:r>
        <w:rPr>
          <w:i/>
          <w:spacing w:val="1"/>
          <w:sz w:val="24"/>
        </w:rPr>
        <w:t> </w:t>
      </w:r>
      <w:r>
        <w:rPr>
          <w:sz w:val="24"/>
        </w:rPr>
        <w:t>44(6):677-89..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357" w:lineRule="auto"/>
        <w:ind w:left="1540" w:right="1440" w:hanging="720"/>
        <w:jc w:val="both"/>
      </w:pPr>
      <w:r>
        <w:rPr/>
        <w:t>Mohanty, D., Mukherjee, M.B., Colah, R. B., Wadia, M., Ghosh, K., Chottray, G. P., Jain, D.,</w:t>
      </w:r>
      <w:r>
        <w:rPr>
          <w:spacing w:val="1"/>
        </w:rPr>
        <w:t> </w:t>
      </w:r>
      <w:r>
        <w:rPr/>
        <w:t>Italia,</w:t>
      </w:r>
      <w:r>
        <w:rPr>
          <w:spacing w:val="1"/>
        </w:rPr>
        <w:t> </w:t>
      </w:r>
      <w:r>
        <w:rPr/>
        <w:t>Y.,</w:t>
      </w:r>
      <w:r>
        <w:rPr>
          <w:spacing w:val="1"/>
        </w:rPr>
        <w:t> </w:t>
      </w:r>
      <w:r>
        <w:rPr/>
        <w:t>Ashokan,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Kaul,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Shukla,</w:t>
      </w:r>
      <w:r>
        <w:rPr>
          <w:spacing w:val="1"/>
        </w:rPr>
        <w:t> </w:t>
      </w:r>
      <w:r>
        <w:rPr/>
        <w:t>D.K.,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Muthuswamy,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Iron</w:t>
      </w:r>
      <w:r>
        <w:rPr>
          <w:spacing w:val="-57"/>
        </w:rPr>
        <w:t> </w:t>
      </w:r>
      <w:r>
        <w:rPr/>
        <w:t>Deficiency</w:t>
      </w:r>
      <w:r>
        <w:rPr>
          <w:spacing w:val="1"/>
        </w:rPr>
        <w:t> </w:t>
      </w:r>
      <w:r>
        <w:rPr/>
        <w:t>Anaemia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Sickle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India.</w:t>
      </w:r>
      <w:r>
        <w:rPr>
          <w:spacing w:val="1"/>
        </w:rPr>
        <w:t> </w:t>
      </w:r>
      <w:r>
        <w:rPr>
          <w:i/>
        </w:rPr>
        <w:t>Indian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Medical</w:t>
      </w:r>
      <w:r>
        <w:rPr>
          <w:i/>
          <w:spacing w:val="1"/>
        </w:rPr>
        <w:t> </w:t>
      </w:r>
      <w:r>
        <w:rPr>
          <w:i/>
        </w:rPr>
        <w:t>Research</w:t>
      </w:r>
      <w:r>
        <w:rPr>
          <w:i/>
          <w:spacing w:val="1"/>
        </w:rPr>
        <w:t> </w:t>
      </w:r>
      <w:r>
        <w:rPr>
          <w:i/>
        </w:rPr>
        <w:t>Articles</w:t>
      </w:r>
      <w:r>
        <w:rPr/>
        <w:t>.</w:t>
      </w:r>
      <w:r>
        <w:rPr>
          <w:spacing w:val="4"/>
        </w:rPr>
        <w:t> </w:t>
      </w:r>
      <w:r>
        <w:rPr/>
        <w:t>127:366-369.</w:t>
      </w:r>
    </w:p>
    <w:p>
      <w:pPr>
        <w:spacing w:line="360" w:lineRule="auto" w:before="208"/>
        <w:ind w:left="1540" w:right="1440" w:hanging="720"/>
        <w:jc w:val="both"/>
        <w:rPr>
          <w:sz w:val="24"/>
        </w:rPr>
      </w:pPr>
      <w:r>
        <w:rPr>
          <w:sz w:val="24"/>
        </w:rPr>
        <w:t>Mukherjee, M.B. and Gangakhedkar, R.R. (2004). Physical Growth of Children with Sickle Cell</w:t>
      </w:r>
      <w:r>
        <w:rPr>
          <w:spacing w:val="1"/>
          <w:sz w:val="24"/>
        </w:rPr>
        <w:t> </w:t>
      </w:r>
      <w:r>
        <w:rPr>
          <w:sz w:val="24"/>
        </w:rPr>
        <w:t>Disease.</w:t>
      </w:r>
      <w:r>
        <w:rPr>
          <w:spacing w:val="3"/>
          <w:sz w:val="24"/>
        </w:rPr>
        <w:t> </w:t>
      </w:r>
      <w:r>
        <w:rPr>
          <w:i/>
          <w:sz w:val="24"/>
        </w:rPr>
        <w:t>Indian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Genetics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10:70-2.</w:t>
      </w:r>
    </w:p>
    <w:p>
      <w:pPr>
        <w:spacing w:line="360" w:lineRule="auto" w:before="199"/>
        <w:ind w:left="1540" w:right="1439" w:hanging="720"/>
        <w:jc w:val="both"/>
        <w:rPr>
          <w:sz w:val="24"/>
        </w:rPr>
      </w:pPr>
      <w:r>
        <w:rPr>
          <w:sz w:val="24"/>
        </w:rPr>
        <w:t>Muller, B.U., and Brugnara, C. (2001). Prevention of Red Cell Dehydration: A possible New</w:t>
      </w:r>
      <w:r>
        <w:rPr>
          <w:spacing w:val="1"/>
          <w:sz w:val="24"/>
        </w:rPr>
        <w:t> </w:t>
      </w:r>
      <w:r>
        <w:rPr>
          <w:sz w:val="24"/>
        </w:rPr>
        <w:t>Treatment for Sickle Cell Disease. </w:t>
      </w:r>
      <w:r>
        <w:rPr>
          <w:i/>
          <w:sz w:val="24"/>
        </w:rPr>
        <w:t>Paediatric Pathology and Molecular Medicine. </w:t>
      </w:r>
      <w:r>
        <w:rPr>
          <w:sz w:val="24"/>
        </w:rPr>
        <w:t>20:15-</w:t>
      </w:r>
      <w:r>
        <w:rPr>
          <w:spacing w:val="-57"/>
          <w:sz w:val="24"/>
        </w:rPr>
        <w:t> </w:t>
      </w:r>
      <w:r>
        <w:rPr>
          <w:sz w:val="24"/>
        </w:rPr>
        <w:t>25.</w:t>
      </w:r>
    </w:p>
    <w:p>
      <w:pPr>
        <w:spacing w:line="355" w:lineRule="auto" w:before="203"/>
        <w:ind w:left="1540" w:right="1447" w:hanging="720"/>
        <w:jc w:val="both"/>
        <w:rPr>
          <w:sz w:val="24"/>
        </w:rPr>
      </w:pPr>
      <w:r>
        <w:rPr>
          <w:sz w:val="24"/>
        </w:rPr>
        <w:t>Narasinga, R.B. (2003). Anaemia and Micronutrient Deficiency. </w:t>
      </w:r>
      <w:r>
        <w:rPr>
          <w:i/>
          <w:sz w:val="24"/>
        </w:rPr>
        <w:t>National Medical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India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16(2):46-50.</w:t>
      </w:r>
    </w:p>
    <w:p>
      <w:pPr>
        <w:spacing w:after="0" w:line="355" w:lineRule="auto"/>
        <w:jc w:val="both"/>
        <w:rPr>
          <w:sz w:val="24"/>
        </w:rPr>
        <w:sectPr>
          <w:pgSz w:w="12240" w:h="15840"/>
          <w:pgMar w:header="0" w:footer="1017" w:top="1360" w:bottom="1200" w:left="620" w:right="0"/>
        </w:sectPr>
      </w:pPr>
    </w:p>
    <w:p>
      <w:pPr>
        <w:spacing w:line="357" w:lineRule="auto" w:before="72"/>
        <w:ind w:left="1540" w:right="1439" w:hanging="720"/>
        <w:jc w:val="both"/>
        <w:rPr>
          <w:sz w:val="24"/>
        </w:rPr>
      </w:pPr>
      <w:r>
        <w:rPr>
          <w:sz w:val="24"/>
        </w:rPr>
        <w:t>Natta, C.L., Machlin, L.J., and Brin, M. (1980). A decrease in Irreversibly Sickled Erythrocytes</w:t>
      </w:r>
      <w:r>
        <w:rPr>
          <w:spacing w:val="1"/>
          <w:sz w:val="24"/>
        </w:rPr>
        <w:t> </w:t>
      </w:r>
      <w:r>
        <w:rPr>
          <w:sz w:val="24"/>
        </w:rPr>
        <w:t>in Sickle Cell Anaemia Patients given Vitamin E. </w:t>
      </w:r>
      <w:r>
        <w:rPr>
          <w:i/>
          <w:sz w:val="24"/>
        </w:rPr>
        <w:t>American Journal of Clinical Nutrition.</w:t>
      </w:r>
      <w:r>
        <w:rPr>
          <w:i/>
          <w:spacing w:val="-58"/>
          <w:sz w:val="24"/>
        </w:rPr>
        <w:t> </w:t>
      </w:r>
      <w:r>
        <w:rPr>
          <w:sz w:val="24"/>
        </w:rPr>
        <w:t>33:968-71.</w:t>
      </w:r>
    </w:p>
    <w:p>
      <w:pPr>
        <w:pStyle w:val="BodyText"/>
        <w:spacing w:line="360" w:lineRule="auto" w:before="206"/>
        <w:ind w:left="1540" w:right="1444" w:hanging="720"/>
        <w:jc w:val="both"/>
      </w:pPr>
      <w:r>
        <w:rPr/>
        <w:t>Nolan, V.G., Adewoye,</w:t>
      </w:r>
      <w:r>
        <w:rPr>
          <w:spacing w:val="1"/>
        </w:rPr>
        <w:t> </w:t>
      </w:r>
      <w:r>
        <w:rPr/>
        <w:t>A., Baldwin,</w:t>
      </w:r>
      <w:r>
        <w:rPr>
          <w:spacing w:val="1"/>
        </w:rPr>
        <w:t> </w:t>
      </w:r>
      <w:r>
        <w:rPr/>
        <w:t>C., Wang, L., Ma, Q., Wyszinsky, D.F., Farrell,</w:t>
      </w:r>
      <w:r>
        <w:rPr>
          <w:spacing w:val="1"/>
        </w:rPr>
        <w:t> </w:t>
      </w:r>
      <w:r>
        <w:rPr/>
        <w:t>J.J.,</w:t>
      </w:r>
      <w:r>
        <w:rPr>
          <w:spacing w:val="1"/>
        </w:rPr>
        <w:t> </w:t>
      </w:r>
      <w:r>
        <w:rPr/>
        <w:t>Sebastiani,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Farrer,</w:t>
      </w:r>
      <w:r>
        <w:rPr>
          <w:spacing w:val="1"/>
        </w:rPr>
        <w:t> </w:t>
      </w:r>
      <w:r>
        <w:rPr/>
        <w:t>A.L.,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Steinberg,</w:t>
      </w:r>
      <w:r>
        <w:rPr>
          <w:spacing w:val="1"/>
        </w:rPr>
        <w:t> </w:t>
      </w:r>
      <w:r>
        <w:rPr/>
        <w:t>M.H.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Sickle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Leg</w:t>
      </w:r>
      <w:r>
        <w:rPr>
          <w:spacing w:val="1"/>
        </w:rPr>
        <w:t> </w:t>
      </w:r>
      <w:r>
        <w:rPr/>
        <w:t>Ulcers:</w:t>
      </w:r>
      <w:r>
        <w:rPr>
          <w:spacing w:val="1"/>
        </w:rPr>
        <w:t> </w:t>
      </w:r>
      <w:r>
        <w:rPr/>
        <w:t>Associations with Haemolysis and SNPs in Klotho, TEK and genes of the TGF-β/BMP</w:t>
      </w:r>
      <w:r>
        <w:rPr>
          <w:spacing w:val="1"/>
        </w:rPr>
        <w:t> </w:t>
      </w:r>
      <w:r>
        <w:rPr/>
        <w:t>pathway-Sickle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Leg</w:t>
      </w:r>
      <w:r>
        <w:rPr>
          <w:spacing w:val="1"/>
        </w:rPr>
        <w:t> </w:t>
      </w:r>
      <w:r>
        <w:rPr/>
        <w:t>Ulcers,</w:t>
      </w:r>
      <w:r>
        <w:rPr>
          <w:spacing w:val="1"/>
        </w:rPr>
        <w:t> </w:t>
      </w:r>
      <w:r>
        <w:rPr/>
        <w:t>Genetics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Haemolysis.</w:t>
      </w:r>
      <w:r>
        <w:rPr>
          <w:spacing w:val="1"/>
        </w:rPr>
        <w:t> </w:t>
      </w:r>
      <w:r>
        <w:rPr>
          <w:i/>
        </w:rPr>
        <w:t>British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Haematology.</w:t>
      </w:r>
      <w:r>
        <w:rPr>
          <w:i/>
          <w:spacing w:val="5"/>
        </w:rPr>
        <w:t> </w:t>
      </w:r>
      <w:r>
        <w:rPr/>
        <w:t>133(5):570-578.</w:t>
      </w:r>
    </w:p>
    <w:p>
      <w:pPr>
        <w:pStyle w:val="BodyText"/>
        <w:spacing w:line="360" w:lineRule="auto" w:before="201"/>
        <w:ind w:left="1540" w:right="1443" w:hanging="720"/>
        <w:jc w:val="both"/>
      </w:pPr>
      <w:r>
        <w:rPr/>
        <w:t>Nwadiaro, H.C., Ugwu, B.T., and Legbo, J.N. (2000). Chronic Osteomyelitis in Patients with</w:t>
      </w:r>
      <w:r>
        <w:rPr>
          <w:spacing w:val="1"/>
        </w:rPr>
        <w:t> </w:t>
      </w:r>
      <w:r>
        <w:rPr/>
        <w:t>Sickle Cell</w:t>
      </w:r>
      <w:r>
        <w:rPr>
          <w:spacing w:val="-7"/>
        </w:rPr>
        <w:t> </w:t>
      </w:r>
      <w:r>
        <w:rPr/>
        <w:t>Disease.</w:t>
      </w:r>
      <w:r>
        <w:rPr>
          <w:spacing w:val="4"/>
        </w:rPr>
        <w:t> </w:t>
      </w:r>
      <w:r>
        <w:rPr>
          <w:i/>
        </w:rPr>
        <w:t>East</w:t>
      </w:r>
      <w:r>
        <w:rPr>
          <w:i/>
          <w:spacing w:val="2"/>
        </w:rPr>
        <w:t> </w:t>
      </w:r>
      <w:r>
        <w:rPr>
          <w:i/>
        </w:rPr>
        <w:t>African</w:t>
      </w:r>
      <w:r>
        <w:rPr>
          <w:i/>
          <w:spacing w:val="-4"/>
        </w:rPr>
        <w:t> </w:t>
      </w:r>
      <w:r>
        <w:rPr>
          <w:i/>
        </w:rPr>
        <w:t>Medical</w:t>
      </w:r>
      <w:r>
        <w:rPr>
          <w:i/>
          <w:spacing w:val="2"/>
        </w:rPr>
        <w:t> </w:t>
      </w:r>
      <w:r>
        <w:rPr>
          <w:i/>
        </w:rPr>
        <w:t>Journal.</w:t>
      </w:r>
      <w:r>
        <w:rPr>
          <w:i/>
          <w:spacing w:val="1"/>
        </w:rPr>
        <w:t> </w:t>
      </w:r>
      <w:r>
        <w:rPr/>
        <w:t>77(1):23.</w:t>
      </w:r>
    </w:p>
    <w:p>
      <w:pPr>
        <w:pStyle w:val="BodyText"/>
        <w:spacing w:line="360" w:lineRule="auto" w:before="199"/>
        <w:ind w:left="1540" w:right="1446" w:hanging="720"/>
        <w:jc w:val="both"/>
      </w:pPr>
      <w:r>
        <w:rPr/>
        <w:t>Ogunrinde, G.O., Keshinro, M.I., and Ige, S.O. (2005). HIV Seropositivity in Children with</w:t>
      </w:r>
      <w:r>
        <w:rPr>
          <w:spacing w:val="1"/>
        </w:rPr>
        <w:t> </w:t>
      </w:r>
      <w:r>
        <w:rPr/>
        <w:t>Sickle Cell</w:t>
      </w:r>
      <w:r>
        <w:rPr>
          <w:spacing w:val="-8"/>
        </w:rPr>
        <w:t> </w:t>
      </w:r>
      <w:r>
        <w:rPr/>
        <w:t>Disease.</w:t>
      </w:r>
      <w:r>
        <w:rPr>
          <w:spacing w:val="5"/>
        </w:rPr>
        <w:t> </w:t>
      </w:r>
      <w:r>
        <w:rPr>
          <w:i/>
        </w:rPr>
        <w:t>Annals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African</w:t>
      </w:r>
      <w:r>
        <w:rPr>
          <w:i/>
          <w:spacing w:val="1"/>
        </w:rPr>
        <w:t> </w:t>
      </w:r>
      <w:r>
        <w:rPr>
          <w:i/>
        </w:rPr>
        <w:t>Medicine</w:t>
      </w:r>
      <w:r>
        <w:rPr/>
        <w:t>.</w:t>
      </w:r>
      <w:r>
        <w:rPr>
          <w:spacing w:val="3"/>
        </w:rPr>
        <w:t> </w:t>
      </w:r>
      <w:r>
        <w:rPr/>
        <w:t>4(3):104-106.</w:t>
      </w:r>
    </w:p>
    <w:p>
      <w:pPr>
        <w:pStyle w:val="BodyText"/>
        <w:spacing w:line="357" w:lineRule="auto" w:before="204"/>
        <w:ind w:left="1540" w:right="1436" w:hanging="720"/>
        <w:jc w:val="both"/>
      </w:pPr>
      <w:r>
        <w:rPr/>
        <w:t>Okochi, V. I. and Okpuzor, J. (2005). Micronutrients as therapeutic tools in the Management of</w:t>
      </w:r>
      <w:r>
        <w:rPr>
          <w:spacing w:val="1"/>
        </w:rPr>
        <w:t> </w:t>
      </w:r>
      <w:r>
        <w:rPr/>
        <w:t>Sickle Cell Disease, Malaria and Diabetes. </w:t>
      </w:r>
      <w:r>
        <w:rPr>
          <w:i/>
        </w:rPr>
        <w:t>African Journal of Biotechnology</w:t>
      </w:r>
      <w:r>
        <w:rPr/>
        <w:t>. 4 (13)</w:t>
      </w:r>
      <w:r>
        <w:rPr>
          <w:spacing w:val="1"/>
        </w:rPr>
        <w:t> </w:t>
      </w:r>
      <w:r>
        <w:rPr/>
        <w:t>1568-1579.</w:t>
      </w:r>
    </w:p>
    <w:p>
      <w:pPr>
        <w:spacing w:line="355" w:lineRule="auto" w:before="206"/>
        <w:ind w:left="1540" w:right="1446" w:hanging="720"/>
        <w:jc w:val="both"/>
        <w:rPr>
          <w:sz w:val="24"/>
        </w:rPr>
      </w:pPr>
      <w:r>
        <w:rPr>
          <w:sz w:val="24"/>
        </w:rPr>
        <w:t>Okpala. I. (1998). The Management</w:t>
      </w:r>
      <w:r>
        <w:rPr>
          <w:spacing w:val="1"/>
          <w:sz w:val="24"/>
        </w:rPr>
        <w:t> </w:t>
      </w:r>
      <w:r>
        <w:rPr>
          <w:sz w:val="24"/>
        </w:rPr>
        <w:t>of Crisis</w:t>
      </w:r>
      <w:r>
        <w:rPr>
          <w:spacing w:val="1"/>
          <w:sz w:val="24"/>
        </w:rPr>
        <w:t> </w:t>
      </w:r>
      <w:r>
        <w:rPr>
          <w:sz w:val="24"/>
        </w:rPr>
        <w:t>in Sickle</w:t>
      </w:r>
      <w:r>
        <w:rPr>
          <w:spacing w:val="1"/>
          <w:sz w:val="24"/>
        </w:rPr>
        <w:t> </w:t>
      </w:r>
      <w:r>
        <w:rPr>
          <w:sz w:val="24"/>
        </w:rPr>
        <w:t>Cell Disease.</w:t>
      </w:r>
      <w:r>
        <w:rPr>
          <w:spacing w:val="1"/>
          <w:sz w:val="24"/>
        </w:rPr>
        <w:t> </w:t>
      </w:r>
      <w:r>
        <w:rPr>
          <w:i/>
          <w:sz w:val="24"/>
        </w:rPr>
        <w:t>European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Haematology</w:t>
      </w:r>
      <w:r>
        <w:rPr>
          <w:sz w:val="24"/>
        </w:rPr>
        <w:t>;</w:t>
      </w:r>
      <w:r>
        <w:rPr>
          <w:spacing w:val="-3"/>
          <w:sz w:val="24"/>
        </w:rPr>
        <w:t> </w:t>
      </w:r>
      <w:r>
        <w:rPr>
          <w:sz w:val="24"/>
        </w:rPr>
        <w:t>60:1-6.</w:t>
      </w:r>
    </w:p>
    <w:p>
      <w:pPr>
        <w:pStyle w:val="BodyText"/>
        <w:spacing w:line="360" w:lineRule="auto" w:before="211"/>
        <w:ind w:left="1540" w:right="1438" w:hanging="720"/>
        <w:jc w:val="both"/>
      </w:pPr>
      <w:r>
        <w:rPr/>
        <w:t>Oladipo,</w:t>
      </w:r>
      <w:r>
        <w:rPr>
          <w:spacing w:val="1"/>
        </w:rPr>
        <w:t> </w:t>
      </w:r>
      <w:r>
        <w:rPr/>
        <w:t>O.O.,</w:t>
      </w:r>
      <w:r>
        <w:rPr>
          <w:spacing w:val="1"/>
        </w:rPr>
        <w:t> </w:t>
      </w:r>
      <w:r>
        <w:rPr/>
        <w:t>Temiye,</w:t>
      </w:r>
      <w:r>
        <w:rPr>
          <w:spacing w:val="1"/>
        </w:rPr>
        <w:t> </w:t>
      </w:r>
      <w:r>
        <w:rPr/>
        <w:t>E.O.,</w:t>
      </w:r>
      <w:r>
        <w:rPr>
          <w:spacing w:val="1"/>
        </w:rPr>
        <w:t> </w:t>
      </w:r>
      <w:r>
        <w:rPr/>
        <w:t>Ezeaka,</w:t>
      </w:r>
      <w:r>
        <w:rPr>
          <w:spacing w:val="1"/>
        </w:rPr>
        <w:t> </w:t>
      </w:r>
      <w:r>
        <w:rPr/>
        <w:t>V.C.,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Obomanu,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Serum Magnesium,</w:t>
      </w:r>
      <w:r>
        <w:rPr>
          <w:spacing w:val="1"/>
        </w:rPr>
        <w:t> </w:t>
      </w:r>
      <w:r>
        <w:rPr/>
        <w:t>Phosphate, and Calcium in Nigerian Children with Sickle Cell Disease. </w:t>
      </w:r>
      <w:r>
        <w:rPr>
          <w:i/>
        </w:rPr>
        <w:t>West African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Medicine.</w:t>
      </w:r>
      <w:r>
        <w:rPr>
          <w:i/>
          <w:spacing w:val="2"/>
        </w:rPr>
        <w:t> </w:t>
      </w:r>
      <w:r>
        <w:rPr/>
        <w:t>24(2):120-123.</w:t>
      </w:r>
    </w:p>
    <w:p>
      <w:pPr>
        <w:pStyle w:val="BodyText"/>
        <w:spacing w:line="357" w:lineRule="auto" w:before="203"/>
        <w:ind w:left="1540" w:right="1438" w:hanging="720"/>
        <w:jc w:val="both"/>
      </w:pPr>
      <w:r>
        <w:rPr/>
        <w:t>Olaniyi,</w:t>
      </w:r>
      <w:r>
        <w:rPr>
          <w:spacing w:val="1"/>
        </w:rPr>
        <w:t> </w:t>
      </w:r>
      <w:r>
        <w:rPr/>
        <w:t>J.A.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Abjah,</w:t>
      </w:r>
      <w:r>
        <w:rPr>
          <w:spacing w:val="1"/>
        </w:rPr>
        <w:t> </w:t>
      </w:r>
      <w:r>
        <w:rPr/>
        <w:t>U.M.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Hepatomegaly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Splenomegaly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Sickle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Disease.</w:t>
      </w:r>
      <w:r>
        <w:rPr>
          <w:spacing w:val="1"/>
        </w:rPr>
        <w:t> </w:t>
      </w:r>
      <w:r>
        <w:rPr>
          <w:i/>
        </w:rPr>
        <w:t>West</w:t>
      </w:r>
      <w:r>
        <w:rPr>
          <w:i/>
          <w:spacing w:val="1"/>
        </w:rPr>
        <w:t> </w:t>
      </w:r>
      <w:r>
        <w:rPr>
          <w:i/>
        </w:rPr>
        <w:t>African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Medicine</w:t>
      </w:r>
      <w:r>
        <w:rPr/>
        <w:t>.</w:t>
      </w:r>
      <w:r>
        <w:rPr>
          <w:spacing w:val="1"/>
        </w:rPr>
        <w:t> </w:t>
      </w:r>
      <w:r>
        <w:rPr/>
        <w:t>26</w:t>
      </w:r>
      <w:r>
        <w:rPr>
          <w:spacing w:val="1"/>
        </w:rPr>
        <w:t> </w:t>
      </w:r>
      <w:r>
        <w:rPr/>
        <w:t>(4):274-277.</w:t>
      </w:r>
    </w:p>
    <w:p>
      <w:pPr>
        <w:spacing w:line="355" w:lineRule="auto" w:before="206"/>
        <w:ind w:left="1540" w:right="1439" w:hanging="720"/>
        <w:jc w:val="both"/>
        <w:rPr>
          <w:sz w:val="24"/>
        </w:rPr>
      </w:pPr>
      <w:r>
        <w:rPr>
          <w:sz w:val="24"/>
        </w:rPr>
        <w:t>Olayemi, E.E. and Bazuaye, G.N. (2009). Lupus Anticoagulant and Leg Ulcers in Sickle Cell</w:t>
      </w:r>
      <w:r>
        <w:rPr>
          <w:spacing w:val="1"/>
          <w:sz w:val="24"/>
        </w:rPr>
        <w:t> </w:t>
      </w:r>
      <w:r>
        <w:rPr>
          <w:sz w:val="24"/>
        </w:rPr>
        <w:t>Anaemia.</w:t>
      </w:r>
      <w:r>
        <w:rPr>
          <w:spacing w:val="3"/>
          <w:sz w:val="24"/>
        </w:rPr>
        <w:t> </w:t>
      </w:r>
      <w:r>
        <w:rPr>
          <w:i/>
          <w:sz w:val="24"/>
        </w:rPr>
        <w:t>Indian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Dermatology</w:t>
      </w:r>
      <w:r>
        <w:rPr>
          <w:sz w:val="24"/>
        </w:rPr>
        <w:t>.</w:t>
      </w:r>
      <w:r>
        <w:rPr>
          <w:spacing w:val="4"/>
          <w:sz w:val="24"/>
        </w:rPr>
        <w:t> </w:t>
      </w:r>
      <w:r>
        <w:rPr>
          <w:sz w:val="24"/>
        </w:rPr>
        <w:t>54:</w:t>
      </w:r>
      <w:r>
        <w:rPr>
          <w:spacing w:val="-3"/>
          <w:sz w:val="24"/>
        </w:rPr>
        <w:t> </w:t>
      </w:r>
      <w:r>
        <w:rPr>
          <w:sz w:val="24"/>
        </w:rPr>
        <w:t>251-4.</w:t>
      </w:r>
    </w:p>
    <w:p>
      <w:pPr>
        <w:pStyle w:val="BodyText"/>
        <w:spacing w:line="355" w:lineRule="auto" w:before="210"/>
        <w:ind w:left="1540" w:right="1449" w:hanging="720"/>
        <w:jc w:val="both"/>
      </w:pPr>
      <w:r>
        <w:rPr/>
        <w:t>Olukoga, A.O., Adewoye, H.O., Erasmus, R.T., and Adedoyin, M.A. (1990). Erythrocyte and</w:t>
      </w:r>
      <w:r>
        <w:rPr>
          <w:spacing w:val="1"/>
        </w:rPr>
        <w:t> </w:t>
      </w:r>
      <w:r>
        <w:rPr/>
        <w:t>Plasma</w:t>
      </w:r>
      <w:r>
        <w:rPr>
          <w:spacing w:val="-2"/>
        </w:rPr>
        <w:t> </w:t>
      </w:r>
      <w:r>
        <w:rPr/>
        <w:t>Magnesium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Sickle</w:t>
      </w:r>
      <w:r>
        <w:rPr>
          <w:spacing w:val="-1"/>
        </w:rPr>
        <w:t> </w:t>
      </w:r>
      <w:r>
        <w:rPr/>
        <w:t>Cell</w:t>
      </w:r>
      <w:r>
        <w:rPr>
          <w:spacing w:val="-5"/>
        </w:rPr>
        <w:t> </w:t>
      </w:r>
      <w:r>
        <w:rPr/>
        <w:t>Anaemia.</w:t>
      </w:r>
      <w:r>
        <w:rPr>
          <w:spacing w:val="2"/>
        </w:rPr>
        <w:t> </w:t>
      </w:r>
      <w:r>
        <w:rPr>
          <w:i/>
        </w:rPr>
        <w:t>East</w:t>
      </w:r>
      <w:r>
        <w:rPr>
          <w:i/>
          <w:spacing w:val="-1"/>
        </w:rPr>
        <w:t> </w:t>
      </w:r>
      <w:r>
        <w:rPr>
          <w:i/>
        </w:rPr>
        <w:t>African Medical</w:t>
      </w:r>
      <w:r>
        <w:rPr>
          <w:i/>
          <w:spacing w:val="-1"/>
        </w:rPr>
        <w:t> </w:t>
      </w:r>
      <w:r>
        <w:rPr>
          <w:i/>
        </w:rPr>
        <w:t>Journal</w:t>
      </w:r>
      <w:r>
        <w:rPr/>
        <w:t>.</w:t>
      </w:r>
      <w:r>
        <w:rPr>
          <w:spacing w:val="-3"/>
        </w:rPr>
        <w:t> </w:t>
      </w:r>
      <w:r>
        <w:rPr/>
        <w:t>67:348-54.</w:t>
      </w:r>
    </w:p>
    <w:p>
      <w:pPr>
        <w:spacing w:after="0" w:line="355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spacing w:line="355" w:lineRule="auto" w:before="72"/>
        <w:ind w:left="1540" w:right="1442" w:hanging="720"/>
        <w:jc w:val="both"/>
        <w:rPr>
          <w:sz w:val="24"/>
        </w:rPr>
      </w:pPr>
      <w:r>
        <w:rPr>
          <w:sz w:val="24"/>
        </w:rPr>
        <w:t>Olowoyeye, A. and Okwundu, C.L. (2010). Gene Therapy for Sickle Cell Disease. </w:t>
      </w:r>
      <w:r>
        <w:rPr>
          <w:i/>
          <w:sz w:val="24"/>
        </w:rPr>
        <w:t>Cochrane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Database of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Systematic Reviews.</w:t>
      </w:r>
      <w:r>
        <w:rPr>
          <w:i/>
          <w:spacing w:val="7"/>
          <w:sz w:val="24"/>
        </w:rPr>
        <w:t> </w:t>
      </w:r>
      <w:r>
        <w:rPr>
          <w:sz w:val="24"/>
        </w:rPr>
        <w:t>4(8):CD007652.</w:t>
      </w:r>
    </w:p>
    <w:p>
      <w:pPr>
        <w:spacing w:line="355" w:lineRule="auto" w:before="210"/>
        <w:ind w:left="1540" w:right="1439" w:hanging="720"/>
        <w:jc w:val="both"/>
        <w:rPr>
          <w:sz w:val="24"/>
        </w:rPr>
      </w:pPr>
      <w:r>
        <w:rPr>
          <w:sz w:val="24"/>
        </w:rPr>
        <w:t>Onuba, O. (1993). Bone Disorders in Sickle Cell Disease. </w:t>
      </w:r>
      <w:r>
        <w:rPr>
          <w:i/>
          <w:sz w:val="24"/>
        </w:rPr>
        <w:t>International orthopaedics</w:t>
      </w:r>
      <w:r>
        <w:rPr>
          <w:sz w:val="24"/>
        </w:rPr>
        <w:t>. 17:397-</w:t>
      </w:r>
      <w:r>
        <w:rPr>
          <w:spacing w:val="1"/>
          <w:sz w:val="24"/>
        </w:rPr>
        <w:t> </w:t>
      </w:r>
      <w:r>
        <w:rPr>
          <w:sz w:val="24"/>
        </w:rPr>
        <w:t>399.</w:t>
      </w:r>
    </w:p>
    <w:p>
      <w:pPr>
        <w:spacing w:line="360" w:lineRule="auto" w:before="210"/>
        <w:ind w:left="1540" w:right="1448" w:hanging="720"/>
        <w:jc w:val="both"/>
        <w:rPr>
          <w:sz w:val="24"/>
        </w:rPr>
      </w:pPr>
      <w:r>
        <w:rPr>
          <w:sz w:val="24"/>
        </w:rPr>
        <w:t>Oniyangi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Omari,</w:t>
      </w:r>
      <w:r>
        <w:rPr>
          <w:spacing w:val="1"/>
          <w:sz w:val="24"/>
        </w:rPr>
        <w:t> </w:t>
      </w:r>
      <w:r>
        <w:rPr>
          <w:sz w:val="24"/>
        </w:rPr>
        <w:t>A.A.A.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Malaria</w:t>
      </w:r>
      <w:r>
        <w:rPr>
          <w:spacing w:val="1"/>
          <w:sz w:val="24"/>
        </w:rPr>
        <w:t> </w:t>
      </w:r>
      <w:r>
        <w:rPr>
          <w:sz w:val="24"/>
        </w:rPr>
        <w:t>Chemoprophylaxis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Sickle</w:t>
      </w:r>
      <w:r>
        <w:rPr>
          <w:spacing w:val="1"/>
          <w:sz w:val="24"/>
        </w:rPr>
        <w:t> </w:t>
      </w:r>
      <w:r>
        <w:rPr>
          <w:sz w:val="24"/>
        </w:rPr>
        <w:t>Cell</w:t>
      </w:r>
      <w:r>
        <w:rPr>
          <w:spacing w:val="1"/>
          <w:sz w:val="24"/>
        </w:rPr>
        <w:t> </w:t>
      </w:r>
      <w:r>
        <w:rPr>
          <w:sz w:val="24"/>
        </w:rPr>
        <w:t>Disease</w:t>
      </w:r>
      <w:r>
        <w:rPr>
          <w:spacing w:val="-57"/>
          <w:sz w:val="24"/>
        </w:rPr>
        <w:t> </w:t>
      </w:r>
      <w:r>
        <w:rPr>
          <w:sz w:val="24"/>
        </w:rPr>
        <w:t>(Review).</w:t>
      </w:r>
      <w:r>
        <w:rPr>
          <w:spacing w:val="3"/>
          <w:sz w:val="24"/>
        </w:rPr>
        <w:t> </w:t>
      </w:r>
      <w:r>
        <w:rPr>
          <w:i/>
          <w:sz w:val="24"/>
        </w:rPr>
        <w:t>Cochrane Database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Systematic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Reviews.</w:t>
      </w:r>
      <w:r>
        <w:rPr>
          <w:i/>
          <w:spacing w:val="6"/>
          <w:sz w:val="24"/>
        </w:rPr>
        <w:t> </w:t>
      </w:r>
      <w:r>
        <w:rPr>
          <w:sz w:val="24"/>
        </w:rPr>
        <w:t>4:CD003489.</w:t>
      </w:r>
    </w:p>
    <w:p>
      <w:pPr>
        <w:pStyle w:val="BodyText"/>
        <w:spacing w:line="360" w:lineRule="auto" w:before="200"/>
        <w:ind w:left="1540" w:right="1442" w:hanging="720"/>
        <w:jc w:val="both"/>
      </w:pPr>
      <w:r>
        <w:rPr/>
        <w:t>Oredugba, F.A. and Savage, K.O. (2004). Oral Health Status and Anthropometric findings in</w:t>
      </w:r>
      <w:r>
        <w:rPr>
          <w:spacing w:val="1"/>
        </w:rPr>
        <w:t> </w:t>
      </w:r>
      <w:r>
        <w:rPr/>
        <w:t>Sickle Cell Disease. </w:t>
      </w:r>
      <w:r>
        <w:rPr>
          <w:i/>
        </w:rPr>
        <w:t>Focus on Sickle Cell Research. </w:t>
      </w:r>
      <w:r>
        <w:rPr/>
        <w:t>Nova Science Publishers, Inc. PP.</w:t>
      </w:r>
      <w:r>
        <w:rPr>
          <w:spacing w:val="1"/>
        </w:rPr>
        <w:t> </w:t>
      </w:r>
      <w:r>
        <w:rPr/>
        <w:t>231-244.</w:t>
      </w:r>
    </w:p>
    <w:p>
      <w:pPr>
        <w:spacing w:line="355" w:lineRule="auto" w:before="202"/>
        <w:ind w:left="1540" w:right="1450" w:hanging="720"/>
        <w:jc w:val="both"/>
        <w:rPr>
          <w:sz w:val="24"/>
        </w:rPr>
      </w:pPr>
      <w:r>
        <w:rPr>
          <w:sz w:val="24"/>
        </w:rPr>
        <w:t>Oyejide,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(1991).</w:t>
      </w:r>
      <w:r>
        <w:rPr>
          <w:spacing w:val="1"/>
          <w:sz w:val="24"/>
        </w:rPr>
        <w:t> </w:t>
      </w:r>
      <w:r>
        <w:rPr>
          <w:i/>
          <w:sz w:val="24"/>
        </w:rPr>
        <w:t>Sample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Size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Estimation.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Country Scientist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Codat</w:t>
      </w:r>
      <w:r>
        <w:rPr>
          <w:spacing w:val="2"/>
          <w:sz w:val="24"/>
        </w:rPr>
        <w:t> </w:t>
      </w:r>
      <w:r>
        <w:rPr>
          <w:sz w:val="24"/>
        </w:rPr>
        <w:t>Publication,</w:t>
      </w:r>
      <w:r>
        <w:rPr>
          <w:spacing w:val="3"/>
          <w:sz w:val="24"/>
        </w:rPr>
        <w:t> </w:t>
      </w:r>
      <w:r>
        <w:rPr>
          <w:sz w:val="24"/>
        </w:rPr>
        <w:t>Ilorin,</w:t>
      </w:r>
      <w:r>
        <w:rPr>
          <w:spacing w:val="3"/>
          <w:sz w:val="24"/>
        </w:rPr>
        <w:t> </w:t>
      </w:r>
      <w:r>
        <w:rPr>
          <w:sz w:val="24"/>
        </w:rPr>
        <w:t>Nigeria.</w:t>
      </w:r>
      <w:r>
        <w:rPr>
          <w:spacing w:val="3"/>
          <w:sz w:val="24"/>
        </w:rPr>
        <w:t> </w:t>
      </w:r>
      <w:r>
        <w:rPr>
          <w:sz w:val="24"/>
        </w:rPr>
        <w:t>PP</w:t>
      </w:r>
      <w:r>
        <w:rPr>
          <w:spacing w:val="-3"/>
          <w:sz w:val="24"/>
        </w:rPr>
        <w:t> </w:t>
      </w:r>
      <w:r>
        <w:rPr>
          <w:sz w:val="24"/>
        </w:rPr>
        <w:t>59-63.</w:t>
      </w:r>
    </w:p>
    <w:p>
      <w:pPr>
        <w:spacing w:line="357" w:lineRule="auto" w:before="211"/>
        <w:ind w:left="1540" w:right="1444" w:hanging="720"/>
        <w:jc w:val="both"/>
        <w:rPr>
          <w:sz w:val="24"/>
        </w:rPr>
      </w:pPr>
      <w:r>
        <w:rPr>
          <w:sz w:val="24"/>
        </w:rPr>
        <w:t>Palermo, T.M., Platt-Houston, C., Kista, R.E. and Berman, B. (2005). Headache Symptoms in</w:t>
      </w:r>
      <w:r>
        <w:rPr>
          <w:spacing w:val="1"/>
          <w:sz w:val="24"/>
        </w:rPr>
        <w:t> </w:t>
      </w:r>
      <w:r>
        <w:rPr>
          <w:sz w:val="24"/>
        </w:rPr>
        <w:t>Pediatric Sickle Cell Patients. </w:t>
      </w:r>
      <w:r>
        <w:rPr>
          <w:i/>
          <w:sz w:val="24"/>
        </w:rPr>
        <w:t>Journal of Paediatric Haematology and Oncology</w:t>
      </w:r>
      <w:r>
        <w:rPr>
          <w:sz w:val="24"/>
        </w:rPr>
        <w:t>. 27(8):</w:t>
      </w:r>
      <w:r>
        <w:rPr>
          <w:spacing w:val="1"/>
          <w:sz w:val="24"/>
        </w:rPr>
        <w:t> </w:t>
      </w:r>
      <w:r>
        <w:rPr>
          <w:sz w:val="24"/>
        </w:rPr>
        <w:t>420–424.</w:t>
      </w:r>
    </w:p>
    <w:p>
      <w:pPr>
        <w:pStyle w:val="BodyText"/>
        <w:spacing w:line="360" w:lineRule="auto" w:before="206"/>
        <w:ind w:left="1540" w:right="1445" w:hanging="720"/>
        <w:jc w:val="both"/>
      </w:pPr>
      <w:r>
        <w:rPr/>
        <w:t>Pauling, L., Itano, H., Singer, S.J., and Wells, I.C. (1949). Sickle Cell Anaemia: a Molecular</w:t>
      </w:r>
      <w:r>
        <w:rPr>
          <w:spacing w:val="1"/>
        </w:rPr>
        <w:t> </w:t>
      </w:r>
      <w:r>
        <w:rPr/>
        <w:t>Disease.</w:t>
      </w:r>
      <w:r>
        <w:rPr>
          <w:spacing w:val="3"/>
        </w:rPr>
        <w:t> </w:t>
      </w:r>
      <w:r>
        <w:rPr>
          <w:i/>
        </w:rPr>
        <w:t>Science.</w:t>
      </w:r>
      <w:r>
        <w:rPr>
          <w:i/>
          <w:spacing w:val="5"/>
        </w:rPr>
        <w:t> </w:t>
      </w:r>
      <w:r>
        <w:rPr/>
        <w:t>110:</w:t>
      </w:r>
      <w:r>
        <w:rPr>
          <w:spacing w:val="2"/>
        </w:rPr>
        <w:t> </w:t>
      </w:r>
      <w:r>
        <w:rPr/>
        <w:t>543–548.</w:t>
      </w:r>
    </w:p>
    <w:p>
      <w:pPr>
        <w:spacing w:line="355" w:lineRule="auto" w:before="204"/>
        <w:ind w:left="1540" w:right="1442" w:hanging="720"/>
        <w:jc w:val="both"/>
        <w:rPr>
          <w:sz w:val="24"/>
        </w:rPr>
      </w:pPr>
      <w:r>
        <w:rPr>
          <w:sz w:val="24"/>
        </w:rPr>
        <w:t>Patrick,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(1999).</w:t>
      </w:r>
      <w:r>
        <w:rPr>
          <w:spacing w:val="1"/>
          <w:sz w:val="24"/>
        </w:rPr>
        <w:t> </w:t>
      </w:r>
      <w:r>
        <w:rPr>
          <w:sz w:val="24"/>
        </w:rPr>
        <w:t>Nutrients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HIV:</w:t>
      </w:r>
      <w:r>
        <w:rPr>
          <w:spacing w:val="1"/>
          <w:sz w:val="24"/>
        </w:rPr>
        <w:t> </w:t>
      </w:r>
      <w:r>
        <w:rPr>
          <w:sz w:val="24"/>
        </w:rPr>
        <w:t>Part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Beta</w:t>
      </w:r>
      <w:r>
        <w:rPr>
          <w:spacing w:val="1"/>
          <w:sz w:val="24"/>
        </w:rPr>
        <w:t> </w:t>
      </w:r>
      <w:r>
        <w:rPr>
          <w:sz w:val="24"/>
        </w:rPr>
        <w:t>Carotene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Selenium.</w:t>
      </w:r>
      <w:r>
        <w:rPr>
          <w:spacing w:val="1"/>
          <w:sz w:val="24"/>
        </w:rPr>
        <w:t> </w:t>
      </w:r>
      <w:r>
        <w:rPr>
          <w:i/>
          <w:sz w:val="24"/>
        </w:rPr>
        <w:t>Alternative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 Review</w:t>
      </w:r>
      <w:r>
        <w:rPr>
          <w:sz w:val="24"/>
        </w:rPr>
        <w:t>.</w:t>
      </w:r>
      <w:r>
        <w:rPr>
          <w:spacing w:val="4"/>
          <w:sz w:val="24"/>
        </w:rPr>
        <w:t> </w:t>
      </w:r>
      <w:r>
        <w:rPr>
          <w:sz w:val="24"/>
        </w:rPr>
        <w:t>4(6):403-413.</w:t>
      </w:r>
    </w:p>
    <w:p>
      <w:pPr>
        <w:spacing w:line="355" w:lineRule="auto" w:before="211"/>
        <w:ind w:left="1540" w:right="1446" w:hanging="720"/>
        <w:jc w:val="both"/>
        <w:rPr>
          <w:sz w:val="24"/>
        </w:rPr>
      </w:pPr>
      <w:r>
        <w:rPr>
          <w:sz w:val="24"/>
        </w:rPr>
        <w:t>Penman,</w:t>
      </w:r>
      <w:r>
        <w:rPr>
          <w:spacing w:val="-2"/>
          <w:sz w:val="24"/>
        </w:rPr>
        <w:t> </w:t>
      </w:r>
      <w:r>
        <w:rPr>
          <w:sz w:val="24"/>
        </w:rPr>
        <w:t>A.D.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Serjeant,</w:t>
      </w:r>
      <w:r>
        <w:rPr>
          <w:spacing w:val="-2"/>
          <w:sz w:val="24"/>
        </w:rPr>
        <w:t> </w:t>
      </w:r>
      <w:r>
        <w:rPr>
          <w:sz w:val="24"/>
        </w:rPr>
        <w:t>G.R.</w:t>
      </w:r>
      <w:r>
        <w:rPr>
          <w:spacing w:val="-5"/>
          <w:sz w:val="24"/>
        </w:rPr>
        <w:t> </w:t>
      </w:r>
      <w:r>
        <w:rPr>
          <w:sz w:val="24"/>
        </w:rPr>
        <w:t>(1992).</w:t>
      </w:r>
      <w:r>
        <w:rPr>
          <w:spacing w:val="-1"/>
          <w:sz w:val="24"/>
        </w:rPr>
        <w:t> </w:t>
      </w:r>
      <w:r>
        <w:rPr>
          <w:sz w:val="24"/>
        </w:rPr>
        <w:t>Recent</w:t>
      </w:r>
      <w:r>
        <w:rPr>
          <w:spacing w:val="1"/>
          <w:sz w:val="24"/>
        </w:rPr>
        <w:t> </w:t>
      </w:r>
      <w:r>
        <w:rPr>
          <w:sz w:val="24"/>
        </w:rPr>
        <w:t>advances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treatment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Proliferative</w:t>
      </w:r>
      <w:r>
        <w:rPr>
          <w:spacing w:val="-4"/>
          <w:sz w:val="24"/>
        </w:rPr>
        <w:t> </w:t>
      </w:r>
      <w:r>
        <w:rPr>
          <w:sz w:val="24"/>
        </w:rPr>
        <w:t>Sickle</w:t>
      </w:r>
      <w:r>
        <w:rPr>
          <w:spacing w:val="-58"/>
          <w:sz w:val="24"/>
        </w:rPr>
        <w:t> </w:t>
      </w:r>
      <w:r>
        <w:rPr>
          <w:sz w:val="24"/>
        </w:rPr>
        <w:t>Cell</w:t>
      </w:r>
      <w:r>
        <w:rPr>
          <w:spacing w:val="-3"/>
          <w:sz w:val="24"/>
        </w:rPr>
        <w:t> </w:t>
      </w:r>
      <w:r>
        <w:rPr>
          <w:sz w:val="24"/>
        </w:rPr>
        <w:t>Retinopathy.</w:t>
      </w:r>
      <w:r>
        <w:rPr>
          <w:spacing w:val="4"/>
          <w:sz w:val="24"/>
        </w:rPr>
        <w:t> </w:t>
      </w:r>
      <w:r>
        <w:rPr>
          <w:i/>
          <w:sz w:val="24"/>
        </w:rPr>
        <w:t>Current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Opinion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Ophthalmology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3:3.</w:t>
      </w:r>
    </w:p>
    <w:p>
      <w:pPr>
        <w:pStyle w:val="BodyText"/>
        <w:spacing w:line="357" w:lineRule="auto" w:before="210"/>
        <w:ind w:left="1540" w:right="1437" w:hanging="720"/>
        <w:jc w:val="both"/>
      </w:pPr>
      <w:r>
        <w:rPr/>
        <w:t>Platt, O.S., Orkin, S.H., Dover, G., Beardsley,</w:t>
      </w:r>
      <w:r>
        <w:rPr>
          <w:spacing w:val="1"/>
        </w:rPr>
        <w:t> </w:t>
      </w:r>
      <w:r>
        <w:rPr/>
        <w:t>G.P., Miller, B., and Nathan, D.G.</w:t>
      </w:r>
      <w:r>
        <w:rPr>
          <w:spacing w:val="1"/>
        </w:rPr>
        <w:t> </w:t>
      </w:r>
      <w:r>
        <w:rPr/>
        <w:t>(1984).</w:t>
      </w:r>
      <w:r>
        <w:rPr>
          <w:spacing w:val="1"/>
        </w:rPr>
        <w:t> </w:t>
      </w:r>
      <w:r>
        <w:rPr/>
        <w:t>Hydroxyurea enhances Foetal Haemoglobin production in Sickle Cell Anaemia.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Clinical</w:t>
      </w:r>
      <w:r>
        <w:rPr>
          <w:i/>
          <w:spacing w:val="2"/>
        </w:rPr>
        <w:t> </w:t>
      </w:r>
      <w:r>
        <w:rPr>
          <w:i/>
        </w:rPr>
        <w:t>Investigation</w:t>
      </w:r>
      <w:r>
        <w:rPr/>
        <w:t>.</w:t>
      </w:r>
      <w:r>
        <w:rPr>
          <w:spacing w:val="4"/>
        </w:rPr>
        <w:t> </w:t>
      </w:r>
      <w:r>
        <w:rPr/>
        <w:t>74:652-656.</w:t>
      </w:r>
    </w:p>
    <w:p>
      <w:pPr>
        <w:pStyle w:val="BodyText"/>
        <w:spacing w:before="206"/>
        <w:ind w:left="820"/>
      </w:pPr>
      <w:r>
        <w:rPr/>
        <w:t>Platt,</w:t>
      </w:r>
      <w:r>
        <w:rPr>
          <w:spacing w:val="18"/>
        </w:rPr>
        <w:t> </w:t>
      </w:r>
      <w:r>
        <w:rPr/>
        <w:t>O.S.,</w:t>
      </w:r>
      <w:r>
        <w:rPr>
          <w:spacing w:val="19"/>
        </w:rPr>
        <w:t> </w:t>
      </w:r>
      <w:r>
        <w:rPr/>
        <w:t>Brambilla,</w:t>
      </w:r>
      <w:r>
        <w:rPr>
          <w:spacing w:val="19"/>
        </w:rPr>
        <w:t> </w:t>
      </w:r>
      <w:r>
        <w:rPr/>
        <w:t>D,</w:t>
      </w:r>
      <w:r>
        <w:rPr>
          <w:spacing w:val="19"/>
        </w:rPr>
        <w:t> </w:t>
      </w:r>
      <w:r>
        <w:rPr/>
        <w:t>J.,</w:t>
      </w:r>
      <w:r>
        <w:rPr>
          <w:spacing w:val="18"/>
        </w:rPr>
        <w:t> </w:t>
      </w:r>
      <w:r>
        <w:rPr/>
        <w:t>Rosse,</w:t>
      </w:r>
      <w:r>
        <w:rPr>
          <w:spacing w:val="24"/>
        </w:rPr>
        <w:t> </w:t>
      </w:r>
      <w:r>
        <w:rPr/>
        <w:t>W.F.,</w:t>
      </w:r>
      <w:r>
        <w:rPr>
          <w:spacing w:val="19"/>
        </w:rPr>
        <w:t> </w:t>
      </w:r>
      <w:r>
        <w:rPr/>
        <w:t>Milner,</w:t>
      </w:r>
      <w:r>
        <w:rPr>
          <w:spacing w:val="18"/>
        </w:rPr>
        <w:t> </w:t>
      </w:r>
      <w:r>
        <w:rPr/>
        <w:t>P.F.,</w:t>
      </w:r>
      <w:r>
        <w:rPr>
          <w:spacing w:val="19"/>
        </w:rPr>
        <w:t> </w:t>
      </w:r>
      <w:r>
        <w:rPr/>
        <w:t>Castro,</w:t>
      </w:r>
      <w:r>
        <w:rPr>
          <w:spacing w:val="19"/>
        </w:rPr>
        <w:t> </w:t>
      </w:r>
      <w:r>
        <w:rPr/>
        <w:t>O.,</w:t>
      </w:r>
      <w:r>
        <w:rPr>
          <w:spacing w:val="19"/>
        </w:rPr>
        <w:t> </w:t>
      </w:r>
      <w:r>
        <w:rPr/>
        <w:t>Steinberg,</w:t>
      </w:r>
      <w:r>
        <w:rPr>
          <w:spacing w:val="19"/>
        </w:rPr>
        <w:t> </w:t>
      </w:r>
      <w:r>
        <w:rPr/>
        <w:t>M.H.,</w:t>
      </w:r>
      <w:r>
        <w:rPr>
          <w:spacing w:val="18"/>
        </w:rPr>
        <w:t> </w:t>
      </w:r>
      <w:r>
        <w:rPr/>
        <w:t>and</w:t>
      </w:r>
      <w:r>
        <w:rPr>
          <w:spacing w:val="22"/>
        </w:rPr>
        <w:t> </w:t>
      </w:r>
      <w:r>
        <w:rPr/>
        <w:t>Klug,</w:t>
      </w:r>
    </w:p>
    <w:p>
      <w:pPr>
        <w:pStyle w:val="BodyText"/>
        <w:spacing w:line="360" w:lineRule="auto" w:before="137"/>
        <w:ind w:left="1540" w:right="1433"/>
      </w:pPr>
      <w:r>
        <w:rPr/>
        <w:t>P.P.</w:t>
      </w:r>
      <w:r>
        <w:rPr>
          <w:spacing w:val="17"/>
        </w:rPr>
        <w:t> </w:t>
      </w:r>
      <w:r>
        <w:rPr/>
        <w:t>(1994).</w:t>
      </w:r>
      <w:r>
        <w:rPr>
          <w:spacing w:val="20"/>
        </w:rPr>
        <w:t> </w:t>
      </w:r>
      <w:r>
        <w:rPr/>
        <w:t>Mortality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Sickle</w:t>
      </w:r>
      <w:r>
        <w:rPr>
          <w:spacing w:val="18"/>
        </w:rPr>
        <w:t> </w:t>
      </w:r>
      <w:r>
        <w:rPr/>
        <w:t>Cell</w:t>
      </w:r>
      <w:r>
        <w:rPr>
          <w:spacing w:val="15"/>
        </w:rPr>
        <w:t> </w:t>
      </w:r>
      <w:r>
        <w:rPr/>
        <w:t>Disease.</w:t>
      </w:r>
      <w:r>
        <w:rPr>
          <w:spacing w:val="21"/>
        </w:rPr>
        <w:t> </w:t>
      </w:r>
      <w:r>
        <w:rPr/>
        <w:t>Life</w:t>
      </w:r>
      <w:r>
        <w:rPr>
          <w:spacing w:val="18"/>
        </w:rPr>
        <w:t> </w:t>
      </w:r>
      <w:r>
        <w:rPr/>
        <w:t>expectancy</w:t>
      </w:r>
      <w:r>
        <w:rPr>
          <w:spacing w:val="14"/>
        </w:rPr>
        <w:t> </w:t>
      </w:r>
      <w:r>
        <w:rPr/>
        <w:t>and</w:t>
      </w:r>
      <w:r>
        <w:rPr>
          <w:spacing w:val="19"/>
        </w:rPr>
        <w:t> </w:t>
      </w:r>
      <w:r>
        <w:rPr/>
        <w:t>risk</w:t>
      </w:r>
      <w:r>
        <w:rPr>
          <w:spacing w:val="24"/>
        </w:rPr>
        <w:t> </w:t>
      </w:r>
      <w:r>
        <w:rPr/>
        <w:t>factors</w:t>
      </w:r>
      <w:r>
        <w:rPr>
          <w:spacing w:val="17"/>
        </w:rPr>
        <w:t> </w:t>
      </w:r>
      <w:r>
        <w:rPr/>
        <w:t>for</w:t>
      </w:r>
      <w:r>
        <w:rPr>
          <w:spacing w:val="21"/>
        </w:rPr>
        <w:t> </w:t>
      </w:r>
      <w:r>
        <w:rPr/>
        <w:t>early</w:t>
      </w:r>
      <w:r>
        <w:rPr>
          <w:spacing w:val="-57"/>
        </w:rPr>
        <w:t> </w:t>
      </w:r>
      <w:r>
        <w:rPr/>
        <w:t>death.</w:t>
      </w:r>
      <w:r>
        <w:rPr>
          <w:spacing w:val="4"/>
        </w:rPr>
        <w:t> </w:t>
      </w:r>
      <w:r>
        <w:rPr>
          <w:i/>
        </w:rPr>
        <w:t>New</w:t>
      </w:r>
      <w:r>
        <w:rPr>
          <w:i/>
          <w:spacing w:val="-9"/>
        </w:rPr>
        <w:t> </w:t>
      </w:r>
      <w:r>
        <w:rPr>
          <w:i/>
        </w:rPr>
        <w:t>England</w:t>
      </w:r>
      <w:r>
        <w:rPr>
          <w:i/>
          <w:spacing w:val="2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Medicine</w:t>
      </w:r>
      <w:r>
        <w:rPr/>
        <w:t>.</w:t>
      </w:r>
      <w:r>
        <w:rPr>
          <w:spacing w:val="4"/>
        </w:rPr>
        <w:t> </w:t>
      </w:r>
      <w:r>
        <w:rPr/>
        <w:t>330:1639-1644.</w:t>
      </w:r>
    </w:p>
    <w:p>
      <w:pPr>
        <w:spacing w:after="0" w:line="360" w:lineRule="auto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55" w:lineRule="auto" w:before="72"/>
        <w:ind w:left="1540" w:hanging="720"/>
      </w:pPr>
      <w:r>
        <w:rPr/>
        <w:t>Porter,</w:t>
      </w:r>
      <w:r>
        <w:rPr>
          <w:spacing w:val="9"/>
        </w:rPr>
        <w:t> </w:t>
      </w:r>
      <w:r>
        <w:rPr/>
        <w:t>L.</w:t>
      </w:r>
      <w:r>
        <w:rPr>
          <w:spacing w:val="5"/>
        </w:rPr>
        <w:t> </w:t>
      </w:r>
      <w:r>
        <w:rPr/>
        <w:t>(2011).</w:t>
      </w:r>
      <w:r>
        <w:rPr>
          <w:spacing w:val="9"/>
        </w:rPr>
        <w:t> </w:t>
      </w:r>
      <w:r>
        <w:rPr/>
        <w:t>The</w:t>
      </w:r>
      <w:r>
        <w:rPr>
          <w:spacing w:val="6"/>
        </w:rPr>
        <w:t> </w:t>
      </w:r>
      <w:r>
        <w:rPr/>
        <w:t>Best</w:t>
      </w:r>
      <w:r>
        <w:rPr>
          <w:spacing w:val="12"/>
        </w:rPr>
        <w:t> </w:t>
      </w:r>
      <w:r>
        <w:rPr/>
        <w:t>Absorbed</w:t>
      </w:r>
      <w:r>
        <w:rPr>
          <w:spacing w:val="7"/>
        </w:rPr>
        <w:t> </w:t>
      </w:r>
      <w:r>
        <w:rPr/>
        <w:t>Iron</w:t>
      </w:r>
      <w:r>
        <w:rPr>
          <w:spacing w:val="3"/>
        </w:rPr>
        <w:t> </w:t>
      </w:r>
      <w:r>
        <w:rPr/>
        <w:t>Supplements.</w:t>
      </w:r>
      <w:r>
        <w:rPr>
          <w:spacing w:val="9"/>
        </w:rPr>
        <w:t> </w:t>
      </w:r>
      <w:r>
        <w:rPr/>
        <w:t>Retrieved</w:t>
      </w:r>
      <w:r>
        <w:rPr>
          <w:spacing w:val="7"/>
        </w:rPr>
        <w:t> </w:t>
      </w:r>
      <w:r>
        <w:rPr/>
        <w:t>on</w:t>
      </w:r>
      <w:r>
        <w:rPr>
          <w:spacing w:val="3"/>
        </w:rPr>
        <w:t> </w:t>
      </w:r>
      <w:r>
        <w:rPr/>
        <w:t>July</w:t>
      </w:r>
      <w:r>
        <w:rPr>
          <w:spacing w:val="3"/>
        </w:rPr>
        <w:t> </w:t>
      </w:r>
      <w:r>
        <w:rPr/>
        <w:t>3,</w:t>
      </w:r>
      <w:r>
        <w:rPr>
          <w:spacing w:val="9"/>
        </w:rPr>
        <w:t> </w:t>
      </w:r>
      <w:r>
        <w:rPr/>
        <w:t>2011</w:t>
      </w:r>
      <w:r>
        <w:rPr>
          <w:spacing w:val="12"/>
        </w:rPr>
        <w:t> </w:t>
      </w:r>
      <w:r>
        <w:rPr/>
        <w:t>from</w:t>
      </w:r>
      <w:r>
        <w:rPr>
          <w:spacing w:val="-57"/>
        </w:rPr>
        <w:t> </w:t>
      </w:r>
      <w:hyperlink r:id="rId78">
        <w:r>
          <w:rPr>
            <w:color w:val="0000FF"/>
            <w:u w:val="single" w:color="0000FF"/>
          </w:rPr>
          <w:t>http://www.livesrong.com/</w:t>
        </w:r>
        <w:r>
          <w:rPr/>
          <w:t>.</w:t>
        </w:r>
      </w:hyperlink>
    </w:p>
    <w:p>
      <w:pPr>
        <w:pStyle w:val="BodyText"/>
        <w:spacing w:before="5"/>
        <w:rPr>
          <w:sz w:val="10"/>
        </w:rPr>
      </w:pPr>
    </w:p>
    <w:p>
      <w:pPr>
        <w:spacing w:line="355" w:lineRule="auto" w:before="90"/>
        <w:ind w:left="1540" w:right="1433" w:hanging="720"/>
        <w:jc w:val="left"/>
        <w:rPr>
          <w:sz w:val="24"/>
        </w:rPr>
      </w:pPr>
      <w:r>
        <w:rPr>
          <w:sz w:val="24"/>
        </w:rPr>
        <w:t>Prasad,</w:t>
      </w:r>
      <w:r>
        <w:rPr>
          <w:spacing w:val="14"/>
          <w:sz w:val="24"/>
        </w:rPr>
        <w:t> </w:t>
      </w:r>
      <w:r>
        <w:rPr>
          <w:sz w:val="24"/>
        </w:rPr>
        <w:t>A.S.</w:t>
      </w:r>
      <w:r>
        <w:rPr>
          <w:spacing w:val="15"/>
          <w:sz w:val="24"/>
        </w:rPr>
        <w:t> </w:t>
      </w:r>
      <w:r>
        <w:rPr>
          <w:sz w:val="24"/>
        </w:rPr>
        <w:t>(1997).</w:t>
      </w:r>
      <w:r>
        <w:rPr>
          <w:spacing w:val="14"/>
          <w:sz w:val="24"/>
        </w:rPr>
        <w:t> </w:t>
      </w:r>
      <w:r>
        <w:rPr>
          <w:sz w:val="24"/>
        </w:rPr>
        <w:t>Malnutrition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12"/>
          <w:sz w:val="24"/>
        </w:rPr>
        <w:t> </w:t>
      </w:r>
      <w:r>
        <w:rPr>
          <w:sz w:val="24"/>
        </w:rPr>
        <w:t>Sickle</w:t>
      </w:r>
      <w:r>
        <w:rPr>
          <w:spacing w:val="15"/>
          <w:sz w:val="24"/>
        </w:rPr>
        <w:t> </w:t>
      </w:r>
      <w:r>
        <w:rPr>
          <w:sz w:val="24"/>
        </w:rPr>
        <w:t>Cell</w:t>
      </w:r>
      <w:r>
        <w:rPr>
          <w:spacing w:val="13"/>
          <w:sz w:val="24"/>
        </w:rPr>
        <w:t> </w:t>
      </w:r>
      <w:r>
        <w:rPr>
          <w:sz w:val="24"/>
        </w:rPr>
        <w:t>Disease</w:t>
      </w:r>
      <w:r>
        <w:rPr>
          <w:spacing w:val="16"/>
          <w:sz w:val="24"/>
        </w:rPr>
        <w:t> </w:t>
      </w:r>
      <w:r>
        <w:rPr>
          <w:sz w:val="24"/>
        </w:rPr>
        <w:t>Patients.</w:t>
      </w:r>
      <w:r>
        <w:rPr>
          <w:spacing w:val="18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Nutrition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66:423-4.</w:t>
      </w:r>
    </w:p>
    <w:p>
      <w:pPr>
        <w:spacing w:line="360" w:lineRule="auto" w:before="210"/>
        <w:ind w:left="1540" w:right="1433" w:hanging="720"/>
        <w:jc w:val="left"/>
        <w:rPr>
          <w:sz w:val="24"/>
        </w:rPr>
      </w:pPr>
      <w:r>
        <w:rPr>
          <w:sz w:val="24"/>
        </w:rPr>
        <w:t>Prasad, A.S. (1998). Zinc Deficiency in Humans: A Neglected Problem. </w:t>
      </w:r>
      <w:r>
        <w:rPr>
          <w:i/>
          <w:sz w:val="24"/>
        </w:rPr>
        <w:t>Journal of the American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College 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Nutrition</w:t>
      </w:r>
      <w:r>
        <w:rPr>
          <w:sz w:val="24"/>
        </w:rPr>
        <w:t>.</w:t>
      </w:r>
      <w:r>
        <w:rPr>
          <w:spacing w:val="4"/>
          <w:sz w:val="24"/>
        </w:rPr>
        <w:t> </w:t>
      </w:r>
      <w:r>
        <w:rPr>
          <w:sz w:val="24"/>
        </w:rPr>
        <w:t>17</w:t>
      </w:r>
      <w:r>
        <w:rPr>
          <w:spacing w:val="-3"/>
          <w:sz w:val="24"/>
        </w:rPr>
        <w:t> </w:t>
      </w:r>
      <w:r>
        <w:rPr>
          <w:sz w:val="24"/>
        </w:rPr>
        <w:t>(6)</w:t>
      </w:r>
      <w:r>
        <w:rPr>
          <w:spacing w:val="2"/>
          <w:sz w:val="24"/>
        </w:rPr>
        <w:t> </w:t>
      </w:r>
      <w:r>
        <w:rPr>
          <w:sz w:val="24"/>
        </w:rPr>
        <w:t>542–543.</w:t>
      </w:r>
    </w:p>
    <w:p>
      <w:pPr>
        <w:spacing w:line="360" w:lineRule="auto" w:before="200"/>
        <w:ind w:left="1540" w:right="1433" w:hanging="720"/>
        <w:jc w:val="left"/>
        <w:rPr>
          <w:sz w:val="24"/>
        </w:rPr>
      </w:pPr>
      <w:r>
        <w:rPr>
          <w:sz w:val="24"/>
        </w:rPr>
        <w:t>Prasad,</w:t>
      </w:r>
      <w:r>
        <w:rPr>
          <w:spacing w:val="19"/>
          <w:sz w:val="24"/>
        </w:rPr>
        <w:t> </w:t>
      </w:r>
      <w:r>
        <w:rPr>
          <w:sz w:val="24"/>
        </w:rPr>
        <w:t>A.S.</w:t>
      </w:r>
      <w:r>
        <w:rPr>
          <w:spacing w:val="20"/>
          <w:sz w:val="24"/>
        </w:rPr>
        <w:t> </w:t>
      </w:r>
      <w:r>
        <w:rPr>
          <w:sz w:val="24"/>
        </w:rPr>
        <w:t>(2002).</w:t>
      </w:r>
      <w:r>
        <w:rPr>
          <w:spacing w:val="20"/>
          <w:sz w:val="24"/>
        </w:rPr>
        <w:t> </w:t>
      </w:r>
      <w:r>
        <w:rPr>
          <w:sz w:val="24"/>
        </w:rPr>
        <w:t>Zinc</w:t>
      </w:r>
      <w:r>
        <w:rPr>
          <w:spacing w:val="17"/>
          <w:sz w:val="24"/>
        </w:rPr>
        <w:t> </w:t>
      </w:r>
      <w:r>
        <w:rPr>
          <w:sz w:val="24"/>
        </w:rPr>
        <w:t>deficiency</w:t>
      </w:r>
      <w:r>
        <w:rPr>
          <w:spacing w:val="18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patients</w:t>
      </w:r>
      <w:r>
        <w:rPr>
          <w:spacing w:val="21"/>
          <w:sz w:val="24"/>
        </w:rPr>
        <w:t> </w:t>
      </w:r>
      <w:r>
        <w:rPr>
          <w:sz w:val="24"/>
        </w:rPr>
        <w:t>with</w:t>
      </w:r>
      <w:r>
        <w:rPr>
          <w:spacing w:val="13"/>
          <w:sz w:val="24"/>
        </w:rPr>
        <w:t> </w:t>
      </w:r>
      <w:r>
        <w:rPr>
          <w:sz w:val="24"/>
        </w:rPr>
        <w:t>Sickle</w:t>
      </w:r>
      <w:r>
        <w:rPr>
          <w:spacing w:val="17"/>
          <w:sz w:val="24"/>
        </w:rPr>
        <w:t> </w:t>
      </w:r>
      <w:r>
        <w:rPr>
          <w:sz w:val="24"/>
        </w:rPr>
        <w:t>Cell</w:t>
      </w:r>
      <w:r>
        <w:rPr>
          <w:spacing w:val="15"/>
          <w:sz w:val="24"/>
        </w:rPr>
        <w:t> </w:t>
      </w:r>
      <w:r>
        <w:rPr>
          <w:sz w:val="24"/>
        </w:rPr>
        <w:t>Disease.</w:t>
      </w:r>
      <w:r>
        <w:rPr>
          <w:spacing w:val="24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Nutrition.</w:t>
      </w:r>
      <w:r>
        <w:rPr>
          <w:i/>
          <w:spacing w:val="6"/>
          <w:sz w:val="24"/>
        </w:rPr>
        <w:t> </w:t>
      </w:r>
      <w:r>
        <w:rPr>
          <w:sz w:val="24"/>
        </w:rPr>
        <w:t>75:181-2.</w:t>
      </w:r>
    </w:p>
    <w:p>
      <w:pPr>
        <w:pStyle w:val="BodyText"/>
        <w:spacing w:line="355" w:lineRule="auto" w:before="204"/>
        <w:ind w:left="1540" w:right="1433" w:hanging="720"/>
      </w:pPr>
      <w:r>
        <w:rPr/>
        <w:t>Prasad,</w:t>
      </w:r>
      <w:r>
        <w:rPr>
          <w:spacing w:val="23"/>
        </w:rPr>
        <w:t> </w:t>
      </w:r>
      <w:r>
        <w:rPr/>
        <w:t>A.S.,</w:t>
      </w:r>
      <w:r>
        <w:rPr>
          <w:spacing w:val="24"/>
        </w:rPr>
        <w:t> </w:t>
      </w:r>
      <w:r>
        <w:rPr/>
        <w:t>Schoomaker</w:t>
      </w:r>
      <w:r>
        <w:rPr>
          <w:spacing w:val="23"/>
        </w:rPr>
        <w:t> </w:t>
      </w:r>
      <w:r>
        <w:rPr/>
        <w:t>E.B.,</w:t>
      </w:r>
      <w:r>
        <w:rPr>
          <w:spacing w:val="24"/>
        </w:rPr>
        <w:t> </w:t>
      </w:r>
      <w:r>
        <w:rPr/>
        <w:t>Ortega,</w:t>
      </w:r>
      <w:r>
        <w:rPr>
          <w:spacing w:val="24"/>
        </w:rPr>
        <w:t> </w:t>
      </w:r>
      <w:r>
        <w:rPr/>
        <w:t>J.,</w:t>
      </w:r>
      <w:r>
        <w:rPr>
          <w:spacing w:val="24"/>
        </w:rPr>
        <w:t> </w:t>
      </w:r>
      <w:r>
        <w:rPr/>
        <w:t>Brewer,</w:t>
      </w:r>
      <w:r>
        <w:rPr>
          <w:spacing w:val="23"/>
        </w:rPr>
        <w:t> </w:t>
      </w:r>
      <w:r>
        <w:rPr/>
        <w:t>G.J.,</w:t>
      </w:r>
      <w:r>
        <w:rPr>
          <w:spacing w:val="24"/>
        </w:rPr>
        <w:t> </w:t>
      </w:r>
      <w:r>
        <w:rPr/>
        <w:t>Oberleas,</w:t>
      </w:r>
      <w:r>
        <w:rPr>
          <w:spacing w:val="24"/>
        </w:rPr>
        <w:t> </w:t>
      </w:r>
      <w:r>
        <w:rPr/>
        <w:t>D.,</w:t>
      </w:r>
      <w:r>
        <w:rPr>
          <w:spacing w:val="24"/>
        </w:rPr>
        <w:t> </w:t>
      </w:r>
      <w:r>
        <w:rPr/>
        <w:t>and</w:t>
      </w:r>
      <w:r>
        <w:rPr>
          <w:spacing w:val="22"/>
        </w:rPr>
        <w:t> </w:t>
      </w:r>
      <w:r>
        <w:rPr/>
        <w:t>Oelshlegel</w:t>
      </w:r>
      <w:r>
        <w:rPr>
          <w:spacing w:val="23"/>
        </w:rPr>
        <w:t> </w:t>
      </w:r>
      <w:r>
        <w:rPr/>
        <w:t>Jr.,</w:t>
      </w:r>
      <w:r>
        <w:rPr>
          <w:spacing w:val="24"/>
        </w:rPr>
        <w:t> </w:t>
      </w:r>
      <w:r>
        <w:rPr/>
        <w:t>F.J.</w:t>
      </w:r>
      <w:r>
        <w:rPr>
          <w:spacing w:val="-57"/>
        </w:rPr>
        <w:t> </w:t>
      </w:r>
      <w:r>
        <w:rPr/>
        <w:t>(1975).</w:t>
      </w:r>
      <w:r>
        <w:rPr>
          <w:spacing w:val="-2"/>
        </w:rPr>
        <w:t> </w:t>
      </w:r>
      <w:r>
        <w:rPr/>
        <w:t>Zinc</w:t>
      </w:r>
      <w:r>
        <w:rPr>
          <w:spacing w:val="-1"/>
        </w:rPr>
        <w:t> </w:t>
      </w:r>
      <w:r>
        <w:rPr/>
        <w:t>Deficiency</w:t>
      </w:r>
      <w:r>
        <w:rPr>
          <w:spacing w:val="-4"/>
        </w:rPr>
        <w:t> </w:t>
      </w:r>
      <w:r>
        <w:rPr/>
        <w:t>in Sickle</w:t>
      </w:r>
      <w:r>
        <w:rPr>
          <w:spacing w:val="-1"/>
        </w:rPr>
        <w:t> </w:t>
      </w:r>
      <w:r>
        <w:rPr/>
        <w:t>Cell</w:t>
      </w:r>
      <w:r>
        <w:rPr>
          <w:spacing w:val="-3"/>
        </w:rPr>
        <w:t> </w:t>
      </w:r>
      <w:r>
        <w:rPr/>
        <w:t>Disease.</w:t>
      </w:r>
      <w:r>
        <w:rPr>
          <w:spacing w:val="4"/>
        </w:rPr>
        <w:t> </w:t>
      </w:r>
      <w:r>
        <w:rPr>
          <w:i/>
        </w:rPr>
        <w:t>Clinical Chemistry </w:t>
      </w:r>
      <w:r>
        <w:rPr/>
        <w:t>21:</w:t>
      </w:r>
      <w:r>
        <w:rPr>
          <w:spacing w:val="1"/>
        </w:rPr>
        <w:t> </w:t>
      </w:r>
      <w:r>
        <w:rPr/>
        <w:t>582-587.</w:t>
      </w:r>
    </w:p>
    <w:p>
      <w:pPr>
        <w:spacing w:line="357" w:lineRule="auto" w:before="210"/>
        <w:ind w:left="1540" w:right="1440" w:hanging="720"/>
        <w:jc w:val="both"/>
        <w:rPr>
          <w:sz w:val="24"/>
        </w:rPr>
      </w:pPr>
      <w:r>
        <w:rPr>
          <w:sz w:val="24"/>
        </w:rPr>
        <w:t>Prasad,</w:t>
      </w:r>
      <w:r>
        <w:rPr>
          <w:spacing w:val="1"/>
          <w:sz w:val="24"/>
        </w:rPr>
        <w:t> </w:t>
      </w:r>
      <w:r>
        <w:rPr>
          <w:sz w:val="24"/>
        </w:rPr>
        <w:t>A.S.,</w:t>
      </w:r>
      <w:r>
        <w:rPr>
          <w:spacing w:val="1"/>
          <w:sz w:val="24"/>
        </w:rPr>
        <w:t> </w:t>
      </w:r>
      <w:r>
        <w:rPr>
          <w:sz w:val="24"/>
        </w:rPr>
        <w:t>Ortega,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Brewer,</w:t>
      </w:r>
      <w:r>
        <w:rPr>
          <w:spacing w:val="1"/>
          <w:sz w:val="24"/>
        </w:rPr>
        <w:t> </w:t>
      </w:r>
      <w:r>
        <w:rPr>
          <w:sz w:val="24"/>
        </w:rPr>
        <w:t>G.J.,</w:t>
      </w:r>
      <w:r>
        <w:rPr>
          <w:spacing w:val="1"/>
          <w:sz w:val="24"/>
        </w:rPr>
        <w:t> </w:t>
      </w:r>
      <w:r>
        <w:rPr>
          <w:sz w:val="24"/>
        </w:rPr>
        <w:t>Oberleas,</w:t>
      </w:r>
      <w:r>
        <w:rPr>
          <w:spacing w:val="1"/>
          <w:sz w:val="24"/>
        </w:rPr>
        <w:t> </w:t>
      </w:r>
      <w:r>
        <w:rPr>
          <w:sz w:val="24"/>
        </w:rPr>
        <w:t>D.,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Schoomaker,</w:t>
      </w:r>
      <w:r>
        <w:rPr>
          <w:spacing w:val="1"/>
          <w:sz w:val="24"/>
        </w:rPr>
        <w:t> </w:t>
      </w:r>
      <w:r>
        <w:rPr>
          <w:sz w:val="24"/>
        </w:rPr>
        <w:t>E.B.</w:t>
      </w:r>
      <w:r>
        <w:rPr>
          <w:spacing w:val="1"/>
          <w:sz w:val="24"/>
        </w:rPr>
        <w:t> </w:t>
      </w:r>
      <w:r>
        <w:rPr>
          <w:sz w:val="24"/>
        </w:rPr>
        <w:t>(1976).</w:t>
      </w:r>
      <w:r>
        <w:rPr>
          <w:spacing w:val="1"/>
          <w:sz w:val="24"/>
        </w:rPr>
        <w:t> </w:t>
      </w:r>
      <w:r>
        <w:rPr>
          <w:sz w:val="24"/>
        </w:rPr>
        <w:t>Trace</w:t>
      </w:r>
      <w:r>
        <w:rPr>
          <w:spacing w:val="1"/>
          <w:sz w:val="24"/>
        </w:rPr>
        <w:t> </w:t>
      </w:r>
      <w:r>
        <w:rPr>
          <w:sz w:val="24"/>
        </w:rPr>
        <w:t>Elements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Sickle</w:t>
      </w:r>
      <w:r>
        <w:rPr>
          <w:spacing w:val="1"/>
          <w:sz w:val="24"/>
        </w:rPr>
        <w:t> </w:t>
      </w:r>
      <w:r>
        <w:rPr>
          <w:sz w:val="24"/>
        </w:rPr>
        <w:t>Cell</w:t>
      </w:r>
      <w:r>
        <w:rPr>
          <w:spacing w:val="1"/>
          <w:sz w:val="24"/>
        </w:rPr>
        <w:t> </w:t>
      </w:r>
      <w:r>
        <w:rPr>
          <w:sz w:val="24"/>
        </w:rPr>
        <w:t>Disease.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Association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235:2396-2398.</w:t>
      </w:r>
    </w:p>
    <w:p>
      <w:pPr>
        <w:pStyle w:val="BodyText"/>
        <w:spacing w:line="360" w:lineRule="auto" w:before="206"/>
        <w:ind w:left="1540" w:right="1441" w:hanging="720"/>
        <w:jc w:val="both"/>
      </w:pPr>
      <w:r>
        <w:rPr/>
        <w:t>Prasad, A.S., Abbasi, A.A., and Rabbani, P. (1981). Effect of Zinc Supplementation on Serum</w:t>
      </w:r>
      <w:r>
        <w:rPr>
          <w:spacing w:val="1"/>
        </w:rPr>
        <w:t> </w:t>
      </w:r>
      <w:r>
        <w:rPr/>
        <w:t>Testosterone levels in adult male Sickle Cell Anaemia Subjects. </w:t>
      </w:r>
      <w:r>
        <w:rPr>
          <w:i/>
        </w:rPr>
        <w:t>American Journal of</w:t>
      </w:r>
      <w:r>
        <w:rPr>
          <w:i/>
          <w:spacing w:val="1"/>
        </w:rPr>
        <w:t> </w:t>
      </w:r>
      <w:r>
        <w:rPr>
          <w:i/>
        </w:rPr>
        <w:t>Hematology.</w:t>
      </w:r>
      <w:r>
        <w:rPr>
          <w:i/>
          <w:spacing w:val="4"/>
        </w:rPr>
        <w:t> </w:t>
      </w:r>
      <w:r>
        <w:rPr/>
        <w:t>10:119-27.</w:t>
      </w:r>
    </w:p>
    <w:p>
      <w:pPr>
        <w:pStyle w:val="BodyText"/>
        <w:spacing w:line="357" w:lineRule="auto" w:before="203"/>
        <w:ind w:left="1540" w:right="1435" w:hanging="720"/>
        <w:jc w:val="both"/>
      </w:pPr>
      <w:r>
        <w:rPr/>
        <w:t>Prasad,</w:t>
      </w:r>
      <w:r>
        <w:rPr>
          <w:spacing w:val="1"/>
        </w:rPr>
        <w:t> </w:t>
      </w:r>
      <w:r>
        <w:rPr/>
        <w:t>A.S.,</w:t>
      </w:r>
      <w:r>
        <w:rPr>
          <w:spacing w:val="1"/>
        </w:rPr>
        <w:t> </w:t>
      </w:r>
      <w:r>
        <w:rPr/>
        <w:t>Beck,</w:t>
      </w:r>
      <w:r>
        <w:rPr>
          <w:spacing w:val="1"/>
        </w:rPr>
        <w:t> </w:t>
      </w:r>
      <w:r>
        <w:rPr/>
        <w:t>F.W.,</w:t>
      </w:r>
      <w:r>
        <w:rPr>
          <w:spacing w:val="1"/>
        </w:rPr>
        <w:t> </w:t>
      </w:r>
      <w:r>
        <w:rPr/>
        <w:t>Kaplan,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Chandrasekar,</w:t>
      </w:r>
      <w:r>
        <w:rPr>
          <w:spacing w:val="1"/>
        </w:rPr>
        <w:t> </w:t>
      </w:r>
      <w:r>
        <w:rPr/>
        <w:t>P.H.,</w:t>
      </w:r>
      <w:r>
        <w:rPr>
          <w:spacing w:val="1"/>
        </w:rPr>
        <w:t> </w:t>
      </w:r>
      <w:r>
        <w:rPr/>
        <w:t>Ortega,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Fitzgerald,</w:t>
      </w:r>
      <w:r>
        <w:rPr>
          <w:spacing w:val="1"/>
        </w:rPr>
        <w:t> </w:t>
      </w:r>
      <w:r>
        <w:rPr/>
        <w:t>J.T.,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Swerdlow, P. (1999). Effect of Zinc Supplementation on Incidence of Infections and</w:t>
      </w:r>
      <w:r>
        <w:rPr>
          <w:spacing w:val="1"/>
        </w:rPr>
        <w:t> </w:t>
      </w:r>
      <w:r>
        <w:rPr/>
        <w:t>Hospital Admissions in Sickle Cell Disease (SCD). </w:t>
      </w:r>
      <w:r>
        <w:rPr>
          <w:i/>
        </w:rPr>
        <w:t>American Journal of Haematology</w:t>
      </w:r>
      <w:r>
        <w:rPr/>
        <w:t>.</w:t>
      </w:r>
      <w:r>
        <w:rPr>
          <w:spacing w:val="1"/>
        </w:rPr>
        <w:t> </w:t>
      </w:r>
      <w:r>
        <w:rPr/>
        <w:t>61(3):194-202.</w:t>
      </w:r>
    </w:p>
    <w:p>
      <w:pPr>
        <w:pStyle w:val="BodyText"/>
        <w:spacing w:before="208"/>
        <w:ind w:left="820"/>
      </w:pPr>
      <w:r>
        <w:rPr/>
        <w:t>Quinn,</w:t>
      </w:r>
      <w:r>
        <w:rPr>
          <w:spacing w:val="34"/>
        </w:rPr>
        <w:t> </w:t>
      </w:r>
      <w:r>
        <w:rPr/>
        <w:t>C.T.</w:t>
      </w:r>
      <w:r>
        <w:rPr>
          <w:spacing w:val="34"/>
        </w:rPr>
        <w:t> </w:t>
      </w:r>
      <w:r>
        <w:rPr/>
        <w:t>and</w:t>
      </w:r>
      <w:r>
        <w:rPr>
          <w:spacing w:val="36"/>
        </w:rPr>
        <w:t> </w:t>
      </w:r>
      <w:r>
        <w:rPr/>
        <w:t>Buchanan,</w:t>
      </w:r>
      <w:r>
        <w:rPr>
          <w:spacing w:val="34"/>
        </w:rPr>
        <w:t> </w:t>
      </w:r>
      <w:r>
        <w:rPr/>
        <w:t>G.R.</w:t>
      </w:r>
      <w:r>
        <w:rPr>
          <w:spacing w:val="34"/>
        </w:rPr>
        <w:t> </w:t>
      </w:r>
      <w:r>
        <w:rPr/>
        <w:t>(1999).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Acute</w:t>
      </w:r>
      <w:r>
        <w:rPr>
          <w:spacing w:val="32"/>
        </w:rPr>
        <w:t> </w:t>
      </w:r>
      <w:r>
        <w:rPr/>
        <w:t>Chest</w:t>
      </w:r>
      <w:r>
        <w:rPr>
          <w:spacing w:val="37"/>
        </w:rPr>
        <w:t> </w:t>
      </w:r>
      <w:r>
        <w:rPr/>
        <w:t>Syndrome</w:t>
      </w:r>
      <w:r>
        <w:rPr>
          <w:spacing w:val="35"/>
        </w:rPr>
        <w:t> </w:t>
      </w:r>
      <w:r>
        <w:rPr/>
        <w:t>of</w:t>
      </w:r>
      <w:r>
        <w:rPr>
          <w:spacing w:val="28"/>
        </w:rPr>
        <w:t> </w:t>
      </w:r>
      <w:r>
        <w:rPr/>
        <w:t>Sickle</w:t>
      </w:r>
      <w:r>
        <w:rPr>
          <w:spacing w:val="35"/>
        </w:rPr>
        <w:t> </w:t>
      </w:r>
      <w:r>
        <w:rPr/>
        <w:t>Cell</w:t>
      </w:r>
      <w:r>
        <w:rPr>
          <w:spacing w:val="32"/>
        </w:rPr>
        <w:t> </w:t>
      </w:r>
      <w:r>
        <w:rPr/>
        <w:t>Disease.</w:t>
      </w:r>
    </w:p>
    <w:p>
      <w:pPr>
        <w:spacing w:before="132"/>
        <w:ind w:left="1540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Paediatrics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135:416-22.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360" w:lineRule="auto"/>
        <w:ind w:left="1540" w:right="1444" w:hanging="720"/>
        <w:jc w:val="both"/>
      </w:pPr>
      <w:r>
        <w:rPr/>
        <w:t>Rao, S., Solomon, N., Miller, S. and Dunn, E. (1985). Scintigraphic differentiation of Bone</w:t>
      </w:r>
      <w:r>
        <w:rPr>
          <w:spacing w:val="1"/>
        </w:rPr>
        <w:t> </w:t>
      </w:r>
      <w:r>
        <w:rPr/>
        <w:t>Infarction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Osteomyelitis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Sickle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Disease.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60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Pediatrics</w:t>
      </w:r>
      <w:r>
        <w:rPr/>
        <w:t>.</w:t>
      </w:r>
      <w:r>
        <w:rPr>
          <w:spacing w:val="3"/>
        </w:rPr>
        <w:t> </w:t>
      </w:r>
      <w:r>
        <w:rPr/>
        <w:t>107:685–688.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57" w:lineRule="auto" w:before="72"/>
        <w:ind w:left="1540" w:right="1438" w:hanging="720"/>
        <w:jc w:val="both"/>
      </w:pPr>
      <w:r>
        <w:rPr/>
        <w:t>Roberts, I. and De Montalembert, M. (2007). Sickle Cell Disease as a Paradigm of Immigration</w:t>
      </w:r>
      <w:r>
        <w:rPr>
          <w:spacing w:val="1"/>
        </w:rPr>
        <w:t> </w:t>
      </w:r>
      <w:r>
        <w:rPr/>
        <w:t>Haematology: New Challenges for Hematologists in Europe. </w:t>
      </w:r>
      <w:r>
        <w:rPr>
          <w:i/>
        </w:rPr>
        <w:t>Haematologica </w:t>
      </w:r>
      <w:r>
        <w:rPr/>
        <w:t>92 (7): 865–</w:t>
      </w:r>
      <w:r>
        <w:rPr>
          <w:spacing w:val="-57"/>
        </w:rPr>
        <w:t> </w:t>
      </w:r>
      <w:r>
        <w:rPr/>
        <w:t>71.</w:t>
      </w:r>
    </w:p>
    <w:p>
      <w:pPr>
        <w:spacing w:line="360" w:lineRule="auto" w:before="206"/>
        <w:ind w:left="1540" w:right="1440" w:hanging="720"/>
        <w:jc w:val="both"/>
        <w:rPr>
          <w:sz w:val="24"/>
        </w:rPr>
      </w:pPr>
      <w:r>
        <w:rPr>
          <w:sz w:val="24"/>
        </w:rPr>
        <w:t>Romero, C.D., Sanchez, P.H., Blanco, F.L., Rodriguez, E.R. and Majem, L.S (2000). Serum</w:t>
      </w:r>
      <w:r>
        <w:rPr>
          <w:spacing w:val="1"/>
          <w:sz w:val="24"/>
        </w:rPr>
        <w:t> </w:t>
      </w:r>
      <w:r>
        <w:rPr>
          <w:sz w:val="24"/>
        </w:rPr>
        <w:t>Copper and Zinc Concentrations in a representative sample of the Canarian Population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Trace Elements in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Biology.</w:t>
      </w:r>
      <w:r>
        <w:rPr>
          <w:i/>
          <w:spacing w:val="9"/>
          <w:sz w:val="24"/>
        </w:rPr>
        <w:t> </w:t>
      </w:r>
      <w:r>
        <w:rPr>
          <w:sz w:val="24"/>
        </w:rPr>
        <w:t>16:75-81.</w:t>
      </w:r>
    </w:p>
    <w:p>
      <w:pPr>
        <w:pStyle w:val="BodyText"/>
        <w:spacing w:line="360" w:lineRule="auto" w:before="203"/>
        <w:ind w:left="1540" w:right="1448" w:hanging="720"/>
        <w:jc w:val="both"/>
      </w:pPr>
      <w:r>
        <w:rPr/>
        <w:t>Roy, S. K., Tomkins, A. M., Haider, R., Behrens, R. H., Akramuzzaman, S. M., Mahalanabis, D.</w:t>
      </w:r>
      <w:r>
        <w:rPr>
          <w:spacing w:val="-57"/>
        </w:rPr>
        <w:t> </w:t>
      </w:r>
      <w:r>
        <w:rPr/>
        <w:t>and Fuchs, G. J. (1999). Impact of Zinc Supplementation on Subsequent Growth and</w:t>
      </w:r>
      <w:r>
        <w:rPr>
          <w:spacing w:val="1"/>
        </w:rPr>
        <w:t> </w:t>
      </w:r>
      <w:r>
        <w:rPr/>
        <w:t>Morbidity in Bangladeshi children with Acute Diarrhoea. </w:t>
      </w:r>
      <w:r>
        <w:rPr>
          <w:i/>
        </w:rPr>
        <w:t>European Journal of Clinical</w:t>
      </w:r>
      <w:r>
        <w:rPr>
          <w:i/>
          <w:spacing w:val="1"/>
        </w:rPr>
        <w:t> </w:t>
      </w:r>
      <w:r>
        <w:rPr>
          <w:i/>
        </w:rPr>
        <w:t>Nutrition.</w:t>
      </w:r>
      <w:r>
        <w:rPr>
          <w:i/>
          <w:spacing w:val="4"/>
        </w:rPr>
        <w:t> </w:t>
      </w:r>
      <w:r>
        <w:rPr/>
        <w:t>53:</w:t>
      </w:r>
      <w:r>
        <w:rPr>
          <w:spacing w:val="3"/>
        </w:rPr>
        <w:t> </w:t>
      </w:r>
      <w:r>
        <w:rPr/>
        <w:t>529–534.</w:t>
      </w:r>
    </w:p>
    <w:p>
      <w:pPr>
        <w:spacing w:line="360" w:lineRule="auto" w:before="197"/>
        <w:ind w:left="1540" w:right="1444" w:hanging="720"/>
        <w:jc w:val="both"/>
        <w:rPr>
          <w:sz w:val="24"/>
        </w:rPr>
      </w:pPr>
      <w:r>
        <w:rPr>
          <w:sz w:val="24"/>
        </w:rPr>
        <w:t>Rude, R.K. (1993). Magnesium Metabolism and Deficiency. </w:t>
      </w:r>
      <w:r>
        <w:rPr>
          <w:i/>
          <w:sz w:val="24"/>
        </w:rPr>
        <w:t>Endocrinology Metabolism Clinics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North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America</w:t>
      </w:r>
      <w:r>
        <w:rPr>
          <w:sz w:val="24"/>
        </w:rPr>
        <w:t>.</w:t>
      </w:r>
      <w:r>
        <w:rPr>
          <w:spacing w:val="4"/>
          <w:sz w:val="24"/>
        </w:rPr>
        <w:t> </w:t>
      </w:r>
      <w:r>
        <w:rPr>
          <w:sz w:val="24"/>
        </w:rPr>
        <w:t>22:377-95.</w:t>
      </w:r>
    </w:p>
    <w:p>
      <w:pPr>
        <w:pStyle w:val="BodyText"/>
        <w:spacing w:line="355" w:lineRule="auto" w:before="204"/>
        <w:ind w:left="1540" w:right="1448" w:hanging="720"/>
        <w:jc w:val="both"/>
      </w:pPr>
      <w:r>
        <w:rPr/>
        <w:t>Rude,</w:t>
      </w:r>
      <w:r>
        <w:rPr>
          <w:spacing w:val="1"/>
        </w:rPr>
        <w:t> </w:t>
      </w:r>
      <w:r>
        <w:rPr/>
        <w:t>R.K.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Olerich,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(1996).</w:t>
      </w:r>
      <w:r>
        <w:rPr>
          <w:spacing w:val="1"/>
        </w:rPr>
        <w:t> </w:t>
      </w:r>
      <w:r>
        <w:rPr/>
        <w:t>Magnesium Deficiency: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Osteoporosis</w:t>
      </w:r>
      <w:r>
        <w:rPr>
          <w:spacing w:val="1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with</w:t>
      </w:r>
      <w:r>
        <w:rPr>
          <w:spacing w:val="-5"/>
        </w:rPr>
        <w:t> </w:t>
      </w:r>
      <w:r>
        <w:rPr/>
        <w:t>Gluten-Sensitive</w:t>
      </w:r>
      <w:r>
        <w:rPr>
          <w:spacing w:val="-1"/>
        </w:rPr>
        <w:t> </w:t>
      </w:r>
      <w:r>
        <w:rPr/>
        <w:t>Enteropathy.</w:t>
      </w:r>
      <w:r>
        <w:rPr>
          <w:spacing w:val="3"/>
        </w:rPr>
        <w:t> </w:t>
      </w:r>
      <w:r>
        <w:rPr>
          <w:i/>
        </w:rPr>
        <w:t>Osteoporosis</w:t>
      </w:r>
      <w:r>
        <w:rPr>
          <w:i/>
          <w:spacing w:val="-2"/>
        </w:rPr>
        <w:t> </w:t>
      </w:r>
      <w:r>
        <w:rPr>
          <w:i/>
        </w:rPr>
        <w:t>International</w:t>
      </w:r>
      <w:r>
        <w:rPr/>
        <w:t>.</w:t>
      </w:r>
      <w:r>
        <w:rPr>
          <w:spacing w:val="2"/>
        </w:rPr>
        <w:t> </w:t>
      </w:r>
      <w:r>
        <w:rPr/>
        <w:t>6:453-61.</w:t>
      </w:r>
    </w:p>
    <w:p>
      <w:pPr>
        <w:pStyle w:val="BodyText"/>
        <w:spacing w:line="355" w:lineRule="auto" w:before="210"/>
        <w:ind w:left="1540" w:right="1439" w:hanging="720"/>
        <w:jc w:val="both"/>
      </w:pPr>
      <w:r>
        <w:rPr/>
        <w:t>Sadelain, M. (2006). Recent Advances in Globin Gene Transfer for the Treatment of Beta-</w:t>
      </w:r>
      <w:r>
        <w:rPr>
          <w:spacing w:val="1"/>
        </w:rPr>
        <w:t> </w:t>
      </w:r>
      <w:r>
        <w:rPr/>
        <w:t>thalassaemia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Sickle</w:t>
      </w:r>
      <w:r>
        <w:rPr>
          <w:spacing w:val="-3"/>
        </w:rPr>
        <w:t> </w:t>
      </w:r>
      <w:r>
        <w:rPr/>
        <w:t>Cell</w:t>
      </w:r>
      <w:r>
        <w:rPr>
          <w:spacing w:val="-1"/>
        </w:rPr>
        <w:t> </w:t>
      </w:r>
      <w:r>
        <w:rPr/>
        <w:t>Anaemia.</w:t>
      </w:r>
      <w:r>
        <w:rPr>
          <w:spacing w:val="1"/>
        </w:rPr>
        <w:t> </w:t>
      </w:r>
      <w:r>
        <w:rPr>
          <w:i/>
        </w:rPr>
        <w:t>Current</w:t>
      </w:r>
      <w:r>
        <w:rPr>
          <w:i/>
          <w:spacing w:val="-1"/>
        </w:rPr>
        <w:t> </w:t>
      </w:r>
      <w:r>
        <w:rPr>
          <w:i/>
        </w:rPr>
        <w:t>Opinion</w:t>
      </w:r>
      <w:r>
        <w:rPr>
          <w:i/>
          <w:spacing w:val="-2"/>
        </w:rPr>
        <w:t> </w:t>
      </w:r>
      <w:r>
        <w:rPr>
          <w:i/>
        </w:rPr>
        <w:t>in</w:t>
      </w:r>
      <w:r>
        <w:rPr>
          <w:i/>
          <w:spacing w:val="-2"/>
        </w:rPr>
        <w:t> </w:t>
      </w:r>
      <w:r>
        <w:rPr>
          <w:i/>
        </w:rPr>
        <w:t>Haematology.</w:t>
      </w:r>
      <w:r>
        <w:rPr>
          <w:i/>
          <w:spacing w:val="3"/>
        </w:rPr>
        <w:t> </w:t>
      </w:r>
      <w:r>
        <w:rPr/>
        <w:t>13:142-148.</w:t>
      </w:r>
    </w:p>
    <w:p>
      <w:pPr>
        <w:pStyle w:val="BodyText"/>
        <w:spacing w:line="357" w:lineRule="auto" w:before="211"/>
        <w:ind w:left="1540" w:right="1444" w:hanging="720"/>
        <w:jc w:val="both"/>
      </w:pPr>
      <w:r>
        <w:rPr/>
        <w:t>Saito,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Nadgir,</w:t>
      </w:r>
      <w:r>
        <w:rPr>
          <w:spacing w:val="1"/>
        </w:rPr>
        <w:t> </w:t>
      </w:r>
      <w:r>
        <w:rPr/>
        <w:t>R.N.,</w:t>
      </w:r>
      <w:r>
        <w:rPr>
          <w:spacing w:val="1"/>
        </w:rPr>
        <w:t> </w:t>
      </w:r>
      <w:r>
        <w:rPr/>
        <w:t>Flower,</w:t>
      </w:r>
      <w:r>
        <w:rPr>
          <w:spacing w:val="1"/>
        </w:rPr>
        <w:t> </w:t>
      </w:r>
      <w:r>
        <w:rPr/>
        <w:t>E.N.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Sakai,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Radiologic</w:t>
      </w:r>
      <w:r>
        <w:rPr>
          <w:spacing w:val="1"/>
        </w:rPr>
        <w:t> </w:t>
      </w:r>
      <w:r>
        <w:rPr/>
        <w:t>Manifestations of Sickle Cell Disease in the Head and Neck. </w:t>
      </w:r>
      <w:r>
        <w:rPr>
          <w:i/>
        </w:rPr>
        <w:t>Radiographics</w:t>
      </w:r>
      <w:r>
        <w:rPr/>
        <w:t>. 30:1021-</w:t>
      </w:r>
      <w:r>
        <w:rPr>
          <w:spacing w:val="1"/>
        </w:rPr>
        <w:t> </w:t>
      </w:r>
      <w:r>
        <w:rPr/>
        <w:t>1034.</w:t>
      </w:r>
    </w:p>
    <w:p>
      <w:pPr>
        <w:spacing w:before="206"/>
        <w:ind w:left="820" w:right="0" w:firstLine="0"/>
        <w:jc w:val="left"/>
        <w:rPr>
          <w:i/>
          <w:sz w:val="24"/>
        </w:rPr>
      </w:pPr>
      <w:r>
        <w:rPr>
          <w:sz w:val="24"/>
        </w:rPr>
        <w:t>Saper,</w:t>
      </w:r>
      <w:r>
        <w:rPr>
          <w:spacing w:val="18"/>
          <w:sz w:val="24"/>
        </w:rPr>
        <w:t> </w:t>
      </w:r>
      <w:r>
        <w:rPr>
          <w:sz w:val="24"/>
        </w:rPr>
        <w:t>R.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Rash,</w:t>
      </w:r>
      <w:r>
        <w:rPr>
          <w:spacing w:val="19"/>
          <w:sz w:val="24"/>
        </w:rPr>
        <w:t> </w:t>
      </w:r>
      <w:r>
        <w:rPr>
          <w:sz w:val="24"/>
        </w:rPr>
        <w:t>R.</w:t>
      </w:r>
      <w:r>
        <w:rPr>
          <w:spacing w:val="19"/>
          <w:sz w:val="24"/>
        </w:rPr>
        <w:t> </w:t>
      </w:r>
      <w:r>
        <w:rPr>
          <w:sz w:val="24"/>
        </w:rPr>
        <w:t>(2008).</w:t>
      </w:r>
      <w:r>
        <w:rPr>
          <w:spacing w:val="19"/>
          <w:sz w:val="24"/>
        </w:rPr>
        <w:t> </w:t>
      </w:r>
      <w:r>
        <w:rPr>
          <w:sz w:val="24"/>
        </w:rPr>
        <w:t>Zinc:</w:t>
      </w:r>
      <w:r>
        <w:rPr>
          <w:spacing w:val="22"/>
          <w:sz w:val="24"/>
        </w:rPr>
        <w:t> </w:t>
      </w:r>
      <w:r>
        <w:rPr>
          <w:sz w:val="24"/>
        </w:rPr>
        <w:t>An</w:t>
      </w:r>
      <w:r>
        <w:rPr>
          <w:spacing w:val="12"/>
          <w:sz w:val="24"/>
        </w:rPr>
        <w:t> </w:t>
      </w:r>
      <w:r>
        <w:rPr>
          <w:sz w:val="24"/>
        </w:rPr>
        <w:t>Essential</w:t>
      </w:r>
      <w:r>
        <w:rPr>
          <w:spacing w:val="13"/>
          <w:sz w:val="24"/>
        </w:rPr>
        <w:t> </w:t>
      </w:r>
      <w:r>
        <w:rPr>
          <w:sz w:val="24"/>
        </w:rPr>
        <w:t>Micronutrient.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Family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Physicians.</w:t>
      </w:r>
    </w:p>
    <w:p>
      <w:pPr>
        <w:pStyle w:val="BodyText"/>
        <w:spacing w:before="137"/>
        <w:ind w:left="1540"/>
      </w:pPr>
      <w:r>
        <w:rPr/>
        <w:t>79:9.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1540" w:right="1433" w:hanging="720"/>
        <w:jc w:val="both"/>
      </w:pPr>
      <w:r>
        <w:rPr/>
        <w:t>Saris,</w:t>
      </w:r>
      <w:r>
        <w:rPr>
          <w:spacing w:val="1"/>
        </w:rPr>
        <w:t> </w:t>
      </w:r>
      <w:r>
        <w:rPr/>
        <w:t>N.E.,</w:t>
      </w:r>
      <w:r>
        <w:rPr>
          <w:spacing w:val="1"/>
        </w:rPr>
        <w:t> </w:t>
      </w:r>
      <w:r>
        <w:rPr/>
        <w:t>Mervaala,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Karppanen,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Khawaja,</w:t>
      </w:r>
      <w:r>
        <w:rPr>
          <w:spacing w:val="1"/>
        </w:rPr>
        <w:t> </w:t>
      </w:r>
      <w:r>
        <w:rPr/>
        <w:t>J.A.,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Lewenstam,</w:t>
      </w:r>
      <w:r>
        <w:rPr>
          <w:spacing w:val="1"/>
        </w:rPr>
        <w:t> </w:t>
      </w:r>
      <w:r>
        <w:rPr/>
        <w:t>A.</w:t>
      </w:r>
      <w:r>
        <w:rPr>
          <w:spacing w:val="60"/>
        </w:rPr>
        <w:t> </w:t>
      </w:r>
      <w:r>
        <w:rPr/>
        <w:t>(2000).</w:t>
      </w:r>
      <w:r>
        <w:rPr>
          <w:spacing w:val="1"/>
        </w:rPr>
        <w:t> </w:t>
      </w:r>
      <w:r>
        <w:rPr/>
        <w:t>Magnesium: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update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Physiological,</w:t>
      </w:r>
      <w:r>
        <w:rPr>
          <w:spacing w:val="1"/>
        </w:rPr>
        <w:t> </w:t>
      </w:r>
      <w:r>
        <w:rPr/>
        <w:t>Clinical,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Aspects.</w:t>
      </w:r>
      <w:r>
        <w:rPr>
          <w:spacing w:val="1"/>
        </w:rPr>
        <w:t> </w:t>
      </w:r>
      <w:r>
        <w:rPr>
          <w:i/>
        </w:rPr>
        <w:t>Clinica</w:t>
      </w:r>
      <w:r>
        <w:rPr>
          <w:i/>
          <w:spacing w:val="1"/>
        </w:rPr>
        <w:t> </w:t>
      </w:r>
      <w:r>
        <w:rPr>
          <w:i/>
        </w:rPr>
        <w:t>Chimica</w:t>
      </w:r>
      <w:r>
        <w:rPr>
          <w:i/>
          <w:spacing w:val="1"/>
        </w:rPr>
        <w:t> </w:t>
      </w:r>
      <w:r>
        <w:rPr>
          <w:i/>
        </w:rPr>
        <w:t>Acta</w:t>
      </w:r>
      <w:r>
        <w:rPr/>
        <w:t>.</w:t>
      </w:r>
      <w:r>
        <w:rPr>
          <w:spacing w:val="4"/>
        </w:rPr>
        <w:t> </w:t>
      </w:r>
      <w:r>
        <w:rPr/>
        <w:t>294:1-26.</w:t>
      </w:r>
    </w:p>
    <w:p>
      <w:pPr>
        <w:pStyle w:val="BodyText"/>
        <w:spacing w:line="357" w:lineRule="auto" w:before="203"/>
        <w:ind w:left="1540" w:right="1443" w:hanging="720"/>
        <w:jc w:val="both"/>
      </w:pPr>
      <w:r>
        <w:rPr/>
        <w:t>Sarris,</w:t>
      </w:r>
      <w:r>
        <w:rPr>
          <w:spacing w:val="14"/>
        </w:rPr>
        <w:t> </w:t>
      </w:r>
      <w:r>
        <w:rPr/>
        <w:t>I.,</w:t>
      </w:r>
      <w:r>
        <w:rPr>
          <w:spacing w:val="15"/>
        </w:rPr>
        <w:t> </w:t>
      </w:r>
      <w:r>
        <w:rPr/>
        <w:t>Litos,</w:t>
      </w:r>
      <w:r>
        <w:rPr>
          <w:spacing w:val="15"/>
        </w:rPr>
        <w:t> </w:t>
      </w:r>
      <w:r>
        <w:rPr/>
        <w:t>M.,</w:t>
      </w:r>
      <w:r>
        <w:rPr>
          <w:spacing w:val="15"/>
        </w:rPr>
        <w:t> </w:t>
      </w:r>
      <w:r>
        <w:rPr/>
        <w:t>Bewley,</w:t>
      </w:r>
      <w:r>
        <w:rPr>
          <w:spacing w:val="15"/>
        </w:rPr>
        <w:t> </w:t>
      </w:r>
      <w:r>
        <w:rPr/>
        <w:t>S.,</w:t>
      </w:r>
      <w:r>
        <w:rPr>
          <w:spacing w:val="15"/>
        </w:rPr>
        <w:t> </w:t>
      </w:r>
      <w:r>
        <w:rPr/>
        <w:t>Okpala,</w:t>
      </w:r>
      <w:r>
        <w:rPr>
          <w:spacing w:val="14"/>
        </w:rPr>
        <w:t> </w:t>
      </w:r>
      <w:r>
        <w:rPr/>
        <w:t>I.,</w:t>
      </w:r>
      <w:r>
        <w:rPr>
          <w:spacing w:val="11"/>
        </w:rPr>
        <w:t> </w:t>
      </w:r>
      <w:r>
        <w:rPr/>
        <w:t>Seed,</w:t>
      </w:r>
      <w:r>
        <w:rPr>
          <w:spacing w:val="10"/>
        </w:rPr>
        <w:t> </w:t>
      </w:r>
      <w:r>
        <w:rPr/>
        <w:t>P.,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Oteng-Ntim,</w:t>
      </w:r>
      <w:r>
        <w:rPr>
          <w:spacing w:val="15"/>
        </w:rPr>
        <w:t> </w:t>
      </w:r>
      <w:r>
        <w:rPr/>
        <w:t>E.</w:t>
      </w:r>
      <w:r>
        <w:rPr>
          <w:spacing w:val="15"/>
        </w:rPr>
        <w:t> </w:t>
      </w:r>
      <w:r>
        <w:rPr/>
        <w:t>(2008).</w:t>
      </w:r>
      <w:r>
        <w:rPr>
          <w:spacing w:val="10"/>
        </w:rPr>
        <w:t> </w:t>
      </w:r>
      <w:r>
        <w:rPr/>
        <w:t>Platelet</w:t>
      </w:r>
      <w:r>
        <w:rPr>
          <w:spacing w:val="17"/>
        </w:rPr>
        <w:t> </w:t>
      </w:r>
      <w:r>
        <w:rPr/>
        <w:t>count</w:t>
      </w:r>
      <w:r>
        <w:rPr>
          <w:spacing w:val="-58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predictor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severity of Sickle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Pregnancy.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Obstetrics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4"/>
        </w:rPr>
        <w:t> </w:t>
      </w:r>
      <w:r>
        <w:rPr>
          <w:i/>
        </w:rPr>
        <w:t>Gynaecology</w:t>
      </w:r>
      <w:r>
        <w:rPr/>
        <w:t>.</w:t>
      </w:r>
      <w:r>
        <w:rPr>
          <w:spacing w:val="4"/>
        </w:rPr>
        <w:t> </w:t>
      </w:r>
      <w:r>
        <w:rPr/>
        <w:t>28(7):688-91.</w:t>
      </w:r>
    </w:p>
    <w:p>
      <w:pPr>
        <w:spacing w:after="0" w:line="357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60" w:lineRule="auto" w:before="72"/>
        <w:ind w:left="1540" w:right="1441" w:hanging="720"/>
        <w:jc w:val="both"/>
      </w:pPr>
      <w:r>
        <w:rPr/>
        <w:t>Saunthararajah, Y., Hillery, C.A., Lavelle, D., Molokie, R., Dorn, L., Bressler, L., Gavazova, S.,</w:t>
      </w:r>
      <w:r>
        <w:rPr>
          <w:spacing w:val="1"/>
        </w:rPr>
        <w:t> </w:t>
      </w:r>
      <w:r>
        <w:rPr/>
        <w:t>Chen, Y., Hoffman, R., and Joseph DeSimone. (2003). Effects of 5-Aza-2’-deoxycytidine</w:t>
      </w:r>
      <w:r>
        <w:rPr>
          <w:spacing w:val="-57"/>
        </w:rPr>
        <w:t> </w:t>
      </w:r>
      <w:r>
        <w:rPr/>
        <w:t>on Foetal Haemoglobin levels, Red Cell Adhesion, and Hematopoietic differentiation in</w:t>
      </w:r>
      <w:r>
        <w:rPr>
          <w:spacing w:val="1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with</w:t>
      </w:r>
      <w:r>
        <w:rPr>
          <w:spacing w:val="-3"/>
        </w:rPr>
        <w:t> </w:t>
      </w:r>
      <w:r>
        <w:rPr/>
        <w:t>Sickle Cell</w:t>
      </w:r>
      <w:r>
        <w:rPr>
          <w:spacing w:val="-2"/>
        </w:rPr>
        <w:t> </w:t>
      </w:r>
      <w:r>
        <w:rPr/>
        <w:t>Disease.</w:t>
      </w:r>
      <w:r>
        <w:rPr>
          <w:spacing w:val="5"/>
        </w:rPr>
        <w:t> </w:t>
      </w:r>
      <w:r>
        <w:rPr>
          <w:i/>
        </w:rPr>
        <w:t>Blood</w:t>
      </w:r>
      <w:r>
        <w:rPr/>
        <w:t>.</w:t>
      </w:r>
      <w:r>
        <w:rPr>
          <w:spacing w:val="-1"/>
        </w:rPr>
        <w:t> </w:t>
      </w:r>
      <w:r>
        <w:rPr/>
        <w:t>102:3865-3870.</w:t>
      </w:r>
    </w:p>
    <w:p>
      <w:pPr>
        <w:pStyle w:val="BodyText"/>
        <w:spacing w:line="357" w:lineRule="auto" w:before="201"/>
        <w:ind w:left="1540" w:right="1442" w:hanging="720"/>
        <w:jc w:val="both"/>
      </w:pPr>
      <w:r>
        <w:rPr/>
        <w:t>Sazawal, S., Black, R.E., Menom, V.P., Dhingra, P., Caulfield, L.E., Dhingra, U., and Bagati, A.</w:t>
      </w:r>
      <w:r>
        <w:rPr>
          <w:spacing w:val="1"/>
        </w:rPr>
        <w:t> </w:t>
      </w:r>
      <w:r>
        <w:rPr/>
        <w:t>(2001).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Supplementation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Infants</w:t>
      </w:r>
      <w:r>
        <w:rPr>
          <w:spacing w:val="1"/>
        </w:rPr>
        <w:t> </w:t>
      </w:r>
      <w:r>
        <w:rPr/>
        <w:t>born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Gestational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reduces</w:t>
      </w:r>
      <w:r>
        <w:rPr>
          <w:spacing w:val="1"/>
        </w:rPr>
        <w:t> </w:t>
      </w:r>
      <w:r>
        <w:rPr/>
        <w:t>Mortality: a</w:t>
      </w:r>
      <w:r>
        <w:rPr>
          <w:spacing w:val="-1"/>
        </w:rPr>
        <w:t> </w:t>
      </w:r>
      <w:r>
        <w:rPr/>
        <w:t>Prospective</w:t>
      </w:r>
      <w:r>
        <w:rPr>
          <w:spacing w:val="-1"/>
        </w:rPr>
        <w:t> </w:t>
      </w:r>
      <w:r>
        <w:rPr/>
        <w:t>Randomized Controlled Trial.</w:t>
      </w:r>
      <w:r>
        <w:rPr>
          <w:spacing w:val="3"/>
        </w:rPr>
        <w:t> </w:t>
      </w:r>
      <w:r>
        <w:rPr>
          <w:i/>
        </w:rPr>
        <w:t>Paediatrics</w:t>
      </w:r>
      <w:r>
        <w:rPr/>
        <w:t>.</w:t>
      </w:r>
      <w:r>
        <w:rPr>
          <w:spacing w:val="2"/>
        </w:rPr>
        <w:t> </w:t>
      </w:r>
      <w:r>
        <w:rPr/>
        <w:t>108:1280-6.</w:t>
      </w:r>
    </w:p>
    <w:p>
      <w:pPr>
        <w:pStyle w:val="BodyText"/>
        <w:spacing w:before="207"/>
        <w:ind w:left="820"/>
        <w:jc w:val="both"/>
        <w:rPr>
          <w:i/>
        </w:rPr>
      </w:pPr>
      <w:r>
        <w:rPr/>
        <w:t>Scriver,</w:t>
      </w:r>
      <w:r>
        <w:rPr>
          <w:spacing w:val="36"/>
        </w:rPr>
        <w:t> </w:t>
      </w:r>
      <w:r>
        <w:rPr/>
        <w:t>J.R.</w:t>
      </w:r>
      <w:r>
        <w:rPr>
          <w:spacing w:val="36"/>
        </w:rPr>
        <w:t> </w:t>
      </w:r>
      <w:r>
        <w:rPr/>
        <w:t>and</w:t>
      </w:r>
      <w:r>
        <w:rPr>
          <w:spacing w:val="38"/>
        </w:rPr>
        <w:t> </w:t>
      </w:r>
      <w:r>
        <w:rPr/>
        <w:t>Waugh,</w:t>
      </w:r>
      <w:r>
        <w:rPr>
          <w:spacing w:val="36"/>
        </w:rPr>
        <w:t> </w:t>
      </w:r>
      <w:r>
        <w:rPr/>
        <w:t>T.R.</w:t>
      </w:r>
      <w:r>
        <w:rPr>
          <w:spacing w:val="37"/>
        </w:rPr>
        <w:t> </w:t>
      </w:r>
      <w:r>
        <w:rPr/>
        <w:t>(1930).</w:t>
      </w:r>
      <w:r>
        <w:rPr>
          <w:spacing w:val="36"/>
        </w:rPr>
        <w:t> </w:t>
      </w:r>
      <w:r>
        <w:rPr/>
        <w:t>Studies</w:t>
      </w:r>
      <w:r>
        <w:rPr>
          <w:spacing w:val="31"/>
        </w:rPr>
        <w:t> </w:t>
      </w:r>
      <w:r>
        <w:rPr/>
        <w:t>on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case</w:t>
      </w:r>
      <w:r>
        <w:rPr>
          <w:spacing w:val="33"/>
        </w:rPr>
        <w:t> </w:t>
      </w:r>
      <w:r>
        <w:rPr/>
        <w:t>of</w:t>
      </w:r>
      <w:r>
        <w:rPr>
          <w:spacing w:val="26"/>
        </w:rPr>
        <w:t> </w:t>
      </w:r>
      <w:r>
        <w:rPr/>
        <w:t>Sickle</w:t>
      </w:r>
      <w:r>
        <w:rPr>
          <w:spacing w:val="37"/>
        </w:rPr>
        <w:t> </w:t>
      </w:r>
      <w:r>
        <w:rPr/>
        <w:t>Cell</w:t>
      </w:r>
      <w:r>
        <w:rPr>
          <w:spacing w:val="35"/>
        </w:rPr>
        <w:t> </w:t>
      </w:r>
      <w:r>
        <w:rPr/>
        <w:t>Anaemia.</w:t>
      </w:r>
      <w:r>
        <w:rPr>
          <w:spacing w:val="42"/>
        </w:rPr>
        <w:t> </w:t>
      </w:r>
      <w:r>
        <w:rPr>
          <w:i/>
        </w:rPr>
        <w:t>Can.</w:t>
      </w:r>
      <w:r>
        <w:rPr>
          <w:i/>
          <w:spacing w:val="36"/>
        </w:rPr>
        <w:t> </w:t>
      </w:r>
      <w:r>
        <w:rPr>
          <w:i/>
        </w:rPr>
        <w:t>Med.</w:t>
      </w:r>
    </w:p>
    <w:p>
      <w:pPr>
        <w:spacing w:before="132"/>
        <w:ind w:left="1540" w:right="0" w:firstLine="0"/>
        <w:jc w:val="left"/>
        <w:rPr>
          <w:sz w:val="24"/>
        </w:rPr>
      </w:pPr>
      <w:r>
        <w:rPr>
          <w:i/>
          <w:sz w:val="24"/>
        </w:rPr>
        <w:t>Assoc. J.</w:t>
      </w:r>
      <w:r>
        <w:rPr>
          <w:i/>
          <w:spacing w:val="2"/>
          <w:sz w:val="24"/>
        </w:rPr>
        <w:t> </w:t>
      </w:r>
      <w:r>
        <w:rPr>
          <w:sz w:val="24"/>
        </w:rPr>
        <w:t>23</w:t>
      </w:r>
      <w:r>
        <w:rPr>
          <w:b/>
          <w:sz w:val="24"/>
        </w:rPr>
        <w:t>:</w:t>
      </w:r>
      <w:r>
        <w:rPr>
          <w:sz w:val="24"/>
        </w:rPr>
        <w:t>375-380.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60" w:lineRule="auto" w:before="1"/>
        <w:ind w:left="1540" w:right="1443" w:hanging="720"/>
        <w:jc w:val="both"/>
      </w:pPr>
      <w:r>
        <w:rPr/>
        <w:t>Segal, J.B., Strouse, J.J., Beach, M.C., Haywood, C., Witkop, C., Park, H.S., Wilson, R.F., Bass,</w:t>
      </w:r>
      <w:r>
        <w:rPr>
          <w:spacing w:val="1"/>
        </w:rPr>
        <w:t> </w:t>
      </w:r>
      <w:r>
        <w:rPr/>
        <w:t>E.B., and Lanzkron, S. (2008). Hydroxyurea for the Treatment of Sickle Cell Disease.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Report/Technology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165.</w:t>
      </w:r>
      <w:r>
        <w:rPr>
          <w:spacing w:val="1"/>
        </w:rPr>
        <w:t> </w:t>
      </w:r>
      <w:r>
        <w:rPr/>
        <w:t>(Prepared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Johns</w:t>
      </w:r>
      <w:r>
        <w:rPr>
          <w:spacing w:val="1"/>
        </w:rPr>
        <w:t> </w:t>
      </w:r>
      <w:r>
        <w:rPr/>
        <w:t>Hopkins</w:t>
      </w:r>
      <w:r>
        <w:rPr>
          <w:spacing w:val="1"/>
        </w:rPr>
        <w:t> </w:t>
      </w:r>
      <w:r>
        <w:rPr/>
        <w:t>University Evidence-based Practice Center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290-02-0018).</w:t>
      </w:r>
      <w:r>
        <w:rPr>
          <w:spacing w:val="1"/>
        </w:rPr>
        <w:t> </w:t>
      </w:r>
      <w:r>
        <w:rPr/>
        <w:t>AHRQ</w:t>
      </w:r>
      <w:r>
        <w:rPr>
          <w:spacing w:val="1"/>
        </w:rPr>
        <w:t> </w:t>
      </w:r>
      <w:r>
        <w:rPr/>
        <w:t>Publication No. 08-E007. Rockville, MD. Agency for Healthcare Research and Quality.</w:t>
      </w:r>
      <w:r>
        <w:rPr>
          <w:spacing w:val="1"/>
        </w:rPr>
        <w:t> </w:t>
      </w:r>
      <w:r>
        <w:rPr/>
        <w:t>February</w:t>
      </w:r>
      <w:r>
        <w:rPr>
          <w:spacing w:val="-9"/>
        </w:rPr>
        <w:t> </w:t>
      </w:r>
      <w:r>
        <w:rPr/>
        <w:t>2008.</w:t>
      </w:r>
    </w:p>
    <w:p>
      <w:pPr>
        <w:spacing w:line="360" w:lineRule="auto" w:before="199"/>
        <w:ind w:left="1540" w:right="1443" w:hanging="720"/>
        <w:jc w:val="both"/>
        <w:rPr>
          <w:sz w:val="24"/>
        </w:rPr>
      </w:pPr>
      <w:r>
        <w:rPr>
          <w:sz w:val="24"/>
        </w:rPr>
        <w:t>Serjeant, G.R. (1970). The Clinical Features in adults with Sickle Cell Anaemia in Jamaica. </w:t>
      </w:r>
      <w:r>
        <w:rPr>
          <w:i/>
          <w:sz w:val="24"/>
        </w:rPr>
        <w:t>West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Indian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Journal.</w:t>
      </w:r>
      <w:r>
        <w:rPr>
          <w:i/>
          <w:spacing w:val="7"/>
          <w:sz w:val="24"/>
        </w:rPr>
        <w:t> </w:t>
      </w:r>
      <w:r>
        <w:rPr>
          <w:sz w:val="24"/>
        </w:rPr>
        <w:t>19:1-8</w:t>
      </w:r>
    </w:p>
    <w:p>
      <w:pPr>
        <w:pStyle w:val="BodyText"/>
        <w:spacing w:before="194"/>
        <w:ind w:left="820"/>
        <w:jc w:val="both"/>
      </w:pPr>
      <w:r>
        <w:rPr/>
        <w:t>Serjeant, G.R.</w:t>
      </w:r>
      <w:r>
        <w:rPr>
          <w:spacing w:val="-3"/>
        </w:rPr>
        <w:t> </w:t>
      </w:r>
      <w:r>
        <w:rPr/>
        <w:t>(1997).</w:t>
      </w:r>
      <w:r>
        <w:rPr>
          <w:spacing w:val="-3"/>
        </w:rPr>
        <w:t> </w:t>
      </w:r>
      <w:r>
        <w:rPr/>
        <w:t>Sickle</w:t>
      </w:r>
      <w:r>
        <w:rPr>
          <w:spacing w:val="-3"/>
        </w:rPr>
        <w:t> </w:t>
      </w:r>
      <w:r>
        <w:rPr/>
        <w:t>Cell</w:t>
      </w:r>
      <w:r>
        <w:rPr>
          <w:spacing w:val="-9"/>
        </w:rPr>
        <w:t> </w:t>
      </w:r>
      <w:r>
        <w:rPr/>
        <w:t>Disease.</w:t>
      </w:r>
      <w:r>
        <w:rPr>
          <w:spacing w:val="2"/>
        </w:rPr>
        <w:t> </w:t>
      </w:r>
      <w:r>
        <w:rPr>
          <w:i/>
        </w:rPr>
        <w:t>Lancet</w:t>
      </w:r>
      <w:r>
        <w:rPr/>
        <w:t>.</w:t>
      </w:r>
      <w:r>
        <w:rPr>
          <w:spacing w:val="-3"/>
        </w:rPr>
        <w:t> </w:t>
      </w:r>
      <w:r>
        <w:rPr/>
        <w:t>350:725-730.</w:t>
      </w:r>
    </w:p>
    <w:p>
      <w:pPr>
        <w:pStyle w:val="BodyText"/>
        <w:spacing w:before="10"/>
        <w:rPr>
          <w:sz w:val="29"/>
        </w:rPr>
      </w:pPr>
    </w:p>
    <w:p>
      <w:pPr>
        <w:spacing w:before="0"/>
        <w:ind w:left="820" w:right="0" w:firstLine="0"/>
        <w:jc w:val="left"/>
        <w:rPr>
          <w:i/>
          <w:sz w:val="24"/>
        </w:rPr>
      </w:pPr>
      <w:r>
        <w:rPr>
          <w:sz w:val="24"/>
        </w:rPr>
        <w:t>Serjeant,</w:t>
      </w:r>
      <w:r>
        <w:rPr>
          <w:spacing w:val="34"/>
          <w:sz w:val="24"/>
        </w:rPr>
        <w:t> </w:t>
      </w:r>
      <w:r>
        <w:rPr>
          <w:sz w:val="24"/>
        </w:rPr>
        <w:t>G.R.</w:t>
      </w:r>
      <w:r>
        <w:rPr>
          <w:spacing w:val="34"/>
          <w:sz w:val="24"/>
        </w:rPr>
        <w:t> </w:t>
      </w:r>
      <w:r>
        <w:rPr>
          <w:sz w:val="24"/>
        </w:rPr>
        <w:t>(2005).</w:t>
      </w:r>
      <w:r>
        <w:rPr>
          <w:spacing w:val="34"/>
          <w:sz w:val="24"/>
        </w:rPr>
        <w:t> </w:t>
      </w:r>
      <w:r>
        <w:rPr>
          <w:sz w:val="24"/>
        </w:rPr>
        <w:t>Mortality</w:t>
      </w:r>
      <w:r>
        <w:rPr>
          <w:spacing w:val="27"/>
          <w:sz w:val="24"/>
        </w:rPr>
        <w:t> </w:t>
      </w:r>
      <w:r>
        <w:rPr>
          <w:sz w:val="24"/>
        </w:rPr>
        <w:t>from</w:t>
      </w:r>
      <w:r>
        <w:rPr>
          <w:spacing w:val="24"/>
          <w:sz w:val="24"/>
        </w:rPr>
        <w:t> </w:t>
      </w:r>
      <w:r>
        <w:rPr>
          <w:sz w:val="24"/>
        </w:rPr>
        <w:t>Sickle</w:t>
      </w:r>
      <w:r>
        <w:rPr>
          <w:spacing w:val="31"/>
          <w:sz w:val="24"/>
        </w:rPr>
        <w:t> </w:t>
      </w:r>
      <w:r>
        <w:rPr>
          <w:sz w:val="24"/>
        </w:rPr>
        <w:t>Cell</w:t>
      </w:r>
      <w:r>
        <w:rPr>
          <w:spacing w:val="27"/>
          <w:sz w:val="24"/>
        </w:rPr>
        <w:t> </w:t>
      </w:r>
      <w:r>
        <w:rPr>
          <w:sz w:val="24"/>
        </w:rPr>
        <w:t>Disease</w:t>
      </w:r>
      <w:r>
        <w:rPr>
          <w:spacing w:val="36"/>
          <w:sz w:val="24"/>
        </w:rPr>
        <w:t> </w:t>
      </w:r>
      <w:r>
        <w:rPr>
          <w:sz w:val="24"/>
        </w:rPr>
        <w:t>in</w:t>
      </w:r>
      <w:r>
        <w:rPr>
          <w:spacing w:val="32"/>
          <w:sz w:val="24"/>
        </w:rPr>
        <w:t> </w:t>
      </w:r>
      <w:r>
        <w:rPr>
          <w:sz w:val="24"/>
        </w:rPr>
        <w:t>Africa.</w:t>
      </w:r>
      <w:r>
        <w:rPr>
          <w:spacing w:val="37"/>
          <w:sz w:val="24"/>
        </w:rPr>
        <w:t> </w:t>
      </w:r>
      <w:r>
        <w:rPr>
          <w:i/>
          <w:sz w:val="24"/>
        </w:rPr>
        <w:t>British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Journal.</w:t>
      </w:r>
    </w:p>
    <w:p>
      <w:pPr>
        <w:pStyle w:val="BodyText"/>
        <w:spacing w:before="137"/>
        <w:ind w:left="1540"/>
      </w:pPr>
      <w:r>
        <w:rPr/>
        <w:t>330:432-433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355" w:lineRule="auto"/>
        <w:ind w:left="1540" w:right="1445" w:hanging="720"/>
        <w:jc w:val="both"/>
      </w:pPr>
      <w:r>
        <w:rPr/>
        <w:t>Serjeant G.R. and Serjeant B.E. (2001). </w:t>
      </w:r>
      <w:r>
        <w:rPr>
          <w:i/>
        </w:rPr>
        <w:t>Sickle Cell Disease</w:t>
      </w:r>
      <w:r>
        <w:rPr/>
        <w:t>. Oxford University Press, Inc., New</w:t>
      </w:r>
      <w:r>
        <w:rPr>
          <w:spacing w:val="1"/>
        </w:rPr>
        <w:t> </w:t>
      </w:r>
      <w:r>
        <w:rPr/>
        <w:t>York.</w:t>
      </w:r>
      <w:r>
        <w:rPr>
          <w:spacing w:val="3"/>
        </w:rPr>
        <w:t> </w:t>
      </w:r>
      <w:r>
        <w:rPr/>
        <w:t>PP</w:t>
      </w:r>
      <w:r>
        <w:rPr>
          <w:spacing w:val="3"/>
        </w:rPr>
        <w:t> </w:t>
      </w:r>
      <w:r>
        <w:rPr/>
        <w:t>3-9, 77, 129, 523-555.</w:t>
      </w:r>
    </w:p>
    <w:p>
      <w:pPr>
        <w:spacing w:line="357" w:lineRule="auto" w:before="210"/>
        <w:ind w:left="1540" w:right="1440" w:hanging="720"/>
        <w:jc w:val="both"/>
        <w:rPr>
          <w:sz w:val="24"/>
        </w:rPr>
      </w:pPr>
      <w:r>
        <w:rPr>
          <w:sz w:val="24"/>
        </w:rPr>
        <w:t>Shankar, A. H., and Prasad, A.S. (1998). Zinc and Immune Function: The Biological Basis of</w:t>
      </w:r>
      <w:r>
        <w:rPr>
          <w:spacing w:val="1"/>
          <w:sz w:val="24"/>
        </w:rPr>
        <w:t> </w:t>
      </w:r>
      <w:r>
        <w:rPr>
          <w:sz w:val="24"/>
        </w:rPr>
        <w:t>altered Resistance to Infection. </w:t>
      </w:r>
      <w:r>
        <w:rPr>
          <w:i/>
          <w:sz w:val="24"/>
        </w:rPr>
        <w:t>American Journal of Clinical Nutrition. </w:t>
      </w:r>
      <w:r>
        <w:rPr>
          <w:sz w:val="24"/>
        </w:rPr>
        <w:t>68 (Suppl. 2):</w:t>
      </w:r>
      <w:r>
        <w:rPr>
          <w:spacing w:val="1"/>
          <w:sz w:val="24"/>
        </w:rPr>
        <w:t> </w:t>
      </w:r>
      <w:r>
        <w:rPr>
          <w:sz w:val="24"/>
        </w:rPr>
        <w:t>S447–63.</w:t>
      </w:r>
    </w:p>
    <w:p>
      <w:pPr>
        <w:spacing w:after="0" w:line="357" w:lineRule="auto"/>
        <w:jc w:val="both"/>
        <w:rPr>
          <w:sz w:val="24"/>
        </w:rPr>
        <w:sectPr>
          <w:pgSz w:w="12240" w:h="15840"/>
          <w:pgMar w:header="0" w:footer="1017" w:top="1360" w:bottom="1200" w:left="620" w:right="0"/>
        </w:sectPr>
      </w:pPr>
    </w:p>
    <w:p>
      <w:pPr>
        <w:spacing w:line="357" w:lineRule="auto" w:before="72"/>
        <w:ind w:left="1540" w:right="1446" w:hanging="720"/>
        <w:jc w:val="both"/>
        <w:rPr>
          <w:sz w:val="24"/>
        </w:rPr>
      </w:pPr>
      <w:r>
        <w:rPr>
          <w:sz w:val="24"/>
        </w:rPr>
        <w:t>Shamsudeen, U., Mukhtar, M.D., and Maimuna, A.S. (2007). Prevalence of Sickle Cell Anaemia</w:t>
      </w:r>
      <w:r>
        <w:rPr>
          <w:spacing w:val="-57"/>
          <w:sz w:val="24"/>
        </w:rPr>
        <w:t> </w:t>
      </w:r>
      <w:r>
        <w:rPr>
          <w:sz w:val="24"/>
        </w:rPr>
        <w:t>among patients attending Malam Aminu</w:t>
      </w:r>
      <w:r>
        <w:rPr>
          <w:spacing w:val="1"/>
          <w:sz w:val="24"/>
        </w:rPr>
        <w:t> </w:t>
      </w:r>
      <w:r>
        <w:rPr>
          <w:sz w:val="24"/>
        </w:rPr>
        <w:t>Kano</w:t>
      </w:r>
      <w:r>
        <w:rPr>
          <w:spacing w:val="1"/>
          <w:sz w:val="24"/>
        </w:rPr>
        <w:t> </w:t>
      </w:r>
      <w:r>
        <w:rPr>
          <w:sz w:val="24"/>
        </w:rPr>
        <w:t>Teaching Hospital (A.K.T.H.),</w:t>
      </w:r>
      <w:r>
        <w:rPr>
          <w:spacing w:val="1"/>
          <w:sz w:val="24"/>
        </w:rPr>
        <w:t> </w:t>
      </w:r>
      <w:r>
        <w:rPr>
          <w:sz w:val="24"/>
        </w:rPr>
        <w:t>Kano,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2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Pure 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1(3):14-17.</w:t>
      </w:r>
    </w:p>
    <w:p>
      <w:pPr>
        <w:pStyle w:val="BodyText"/>
        <w:spacing w:line="360" w:lineRule="auto" w:before="206"/>
        <w:ind w:left="1540" w:right="1444" w:hanging="720"/>
        <w:jc w:val="both"/>
      </w:pPr>
      <w:r>
        <w:rPr/>
        <w:t>Sharpsteen, J.R., Powars, D., Johnson, C., Rogers, Z.R., Williams, W.D., and Posch, R.J. (1993).</w:t>
      </w:r>
      <w:r>
        <w:rPr>
          <w:spacing w:val="-57"/>
        </w:rPr>
        <w:t> </w:t>
      </w:r>
      <w:r>
        <w:rPr/>
        <w:t>Multisystem</w:t>
      </w:r>
      <w:r>
        <w:rPr>
          <w:spacing w:val="1"/>
        </w:rPr>
        <w:t> </w:t>
      </w:r>
      <w:r>
        <w:rPr/>
        <w:t>damage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Tricorporal</w:t>
      </w:r>
      <w:r>
        <w:rPr>
          <w:spacing w:val="1"/>
        </w:rPr>
        <w:t> </w:t>
      </w:r>
      <w:r>
        <w:rPr/>
        <w:t>Priapism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Sickle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Disease.</w:t>
      </w:r>
      <w:r>
        <w:rPr>
          <w:spacing w:val="1"/>
        </w:rPr>
        <w:t> </w:t>
      </w:r>
      <w:r>
        <w:rPr>
          <w:i/>
        </w:rPr>
        <w:t>American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Medicine.</w:t>
      </w:r>
      <w:r>
        <w:rPr>
          <w:i/>
          <w:spacing w:val="2"/>
        </w:rPr>
        <w:t> </w:t>
      </w:r>
      <w:r>
        <w:rPr/>
        <w:t>94:289-95.</w:t>
      </w:r>
    </w:p>
    <w:p>
      <w:pPr>
        <w:pStyle w:val="BodyText"/>
        <w:spacing w:line="357" w:lineRule="auto" w:before="203"/>
        <w:ind w:left="1540" w:right="1449" w:hanging="720"/>
        <w:jc w:val="both"/>
      </w:pPr>
      <w:r>
        <w:rPr/>
        <w:t>Shils, M.E. (1999). Magnesium in Modern Nutrition in Health and Disease, 9th Edition. (edited</w:t>
      </w:r>
      <w:r>
        <w:rPr>
          <w:spacing w:val="1"/>
        </w:rPr>
        <w:t> </w:t>
      </w:r>
      <w:r>
        <w:rPr/>
        <w:t>by Shils, ME, Olson, JA, Shike, M, and Ross, AC.) New York: Lippincott Williams and</w:t>
      </w:r>
      <w:r>
        <w:rPr>
          <w:spacing w:val="1"/>
        </w:rPr>
        <w:t> </w:t>
      </w:r>
      <w:r>
        <w:rPr/>
        <w:t>Wilkins,</w:t>
      </w:r>
      <w:r>
        <w:rPr>
          <w:spacing w:val="3"/>
        </w:rPr>
        <w:t> </w:t>
      </w:r>
      <w:r>
        <w:rPr/>
        <w:t>Press.</w:t>
      </w:r>
      <w:r>
        <w:rPr>
          <w:spacing w:val="4"/>
        </w:rPr>
        <w:t> </w:t>
      </w:r>
      <w:r>
        <w:rPr/>
        <w:t>pp.</w:t>
      </w:r>
      <w:r>
        <w:rPr>
          <w:spacing w:val="4"/>
        </w:rPr>
        <w:t> </w:t>
      </w:r>
      <w:r>
        <w:rPr/>
        <w:t>169-92.</w:t>
      </w:r>
    </w:p>
    <w:p>
      <w:pPr>
        <w:pStyle w:val="BodyText"/>
        <w:spacing w:line="360" w:lineRule="auto" w:before="206"/>
        <w:ind w:left="1540" w:right="1439" w:hanging="720"/>
        <w:jc w:val="both"/>
      </w:pPr>
      <w:r>
        <w:rPr/>
        <w:t>Sickle Cell Advisory Committee (SCAC) (2002). Guidelines for the treatment of People with</w:t>
      </w:r>
      <w:r>
        <w:rPr>
          <w:spacing w:val="1"/>
        </w:rPr>
        <w:t> </w:t>
      </w:r>
      <w:r>
        <w:rPr/>
        <w:t>Sickle Cell Disease written by Members of SCAC of the Genetic Network of New York,</w:t>
      </w:r>
      <w:r>
        <w:rPr>
          <w:spacing w:val="1"/>
        </w:rPr>
        <w:t> </w:t>
      </w:r>
      <w:r>
        <w:rPr/>
        <w:t>Puerto Rico</w:t>
      </w:r>
      <w:r>
        <w:rPr>
          <w:spacing w:val="1"/>
        </w:rPr>
        <w:t> </w:t>
      </w:r>
      <w:r>
        <w:rPr/>
        <w:t>and the Virgin Islands (GENES) with the support of grants from U.S. Health</w:t>
      </w:r>
      <w:r>
        <w:rPr>
          <w:spacing w:val="-57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Services</w:t>
      </w:r>
      <w:r>
        <w:rPr>
          <w:spacing w:val="4"/>
        </w:rPr>
        <w:t> </w:t>
      </w:r>
      <w:r>
        <w:rPr/>
        <w:t>Administration</w:t>
      </w:r>
      <w:r>
        <w:rPr>
          <w:spacing w:val="-3"/>
        </w:rPr>
        <w:t> </w:t>
      </w:r>
      <w:r>
        <w:rPr/>
        <w:t>(HRSA).</w:t>
      </w:r>
    </w:p>
    <w:p>
      <w:pPr>
        <w:spacing w:before="202"/>
        <w:ind w:left="820" w:right="0" w:firstLine="0"/>
        <w:jc w:val="both"/>
        <w:rPr>
          <w:sz w:val="24"/>
        </w:rPr>
      </w:pPr>
      <w:r>
        <w:rPr>
          <w:sz w:val="24"/>
        </w:rPr>
        <w:t>Simopoulos,</w:t>
      </w:r>
      <w:r>
        <w:rPr>
          <w:spacing w:val="59"/>
          <w:sz w:val="24"/>
        </w:rPr>
        <w:t> </w:t>
      </w:r>
      <w:r>
        <w:rPr>
          <w:sz w:val="24"/>
        </w:rPr>
        <w:t>A.P.</w:t>
      </w:r>
      <w:r>
        <w:rPr>
          <w:spacing w:val="54"/>
          <w:sz w:val="24"/>
        </w:rPr>
        <w:t> </w:t>
      </w:r>
      <w:r>
        <w:rPr>
          <w:sz w:val="24"/>
        </w:rPr>
        <w:t>(1999).</w:t>
      </w:r>
      <w:r>
        <w:rPr>
          <w:spacing w:val="54"/>
          <w:sz w:val="24"/>
        </w:rPr>
        <w:t> </w:t>
      </w: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nutritional</w:t>
      </w:r>
      <w:r>
        <w:rPr>
          <w:spacing w:val="47"/>
          <w:sz w:val="24"/>
        </w:rPr>
        <w:t> </w:t>
      </w:r>
      <w:r>
        <w:rPr>
          <w:sz w:val="24"/>
        </w:rPr>
        <w:t>aspects</w:t>
      </w:r>
      <w:r>
        <w:rPr>
          <w:spacing w:val="51"/>
          <w:sz w:val="24"/>
        </w:rPr>
        <w:t> </w:t>
      </w:r>
      <w:r>
        <w:rPr>
          <w:sz w:val="24"/>
        </w:rPr>
        <w:t>of</w:t>
      </w:r>
      <w:r>
        <w:rPr>
          <w:spacing w:val="44"/>
          <w:sz w:val="24"/>
        </w:rPr>
        <w:t> </w:t>
      </w:r>
      <w:r>
        <w:rPr>
          <w:sz w:val="24"/>
        </w:rPr>
        <w:t>Hypertension.</w:t>
      </w:r>
      <w:r>
        <w:rPr>
          <w:spacing w:val="6"/>
          <w:sz w:val="24"/>
        </w:rPr>
        <w:t> </w:t>
      </w:r>
      <w:r>
        <w:rPr>
          <w:i/>
          <w:sz w:val="24"/>
        </w:rPr>
        <w:t>Comprehensive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Therapy</w:t>
      </w:r>
      <w:r>
        <w:rPr>
          <w:sz w:val="24"/>
        </w:rPr>
        <w:t>.</w:t>
      </w:r>
    </w:p>
    <w:p>
      <w:pPr>
        <w:pStyle w:val="BodyText"/>
        <w:spacing w:before="132"/>
        <w:ind w:left="1540"/>
      </w:pPr>
      <w:r>
        <w:rPr/>
        <w:t>25:95-100.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357" w:lineRule="auto"/>
        <w:ind w:left="1540" w:right="1445" w:hanging="720"/>
        <w:jc w:val="both"/>
      </w:pPr>
      <w:r>
        <w:rPr/>
        <w:t>Sindel,</w:t>
      </w:r>
      <w:r>
        <w:rPr>
          <w:spacing w:val="1"/>
        </w:rPr>
        <w:t> </w:t>
      </w:r>
      <w:r>
        <w:rPr/>
        <w:t>L.J.,</w:t>
      </w:r>
      <w:r>
        <w:rPr>
          <w:spacing w:val="1"/>
        </w:rPr>
        <w:t> </w:t>
      </w:r>
      <w:r>
        <w:rPr/>
        <w:t>Baliga,</w:t>
      </w:r>
      <w:r>
        <w:rPr>
          <w:spacing w:val="1"/>
        </w:rPr>
        <w:t> </w:t>
      </w:r>
      <w:r>
        <w:rPr/>
        <w:t>B.S.,</w:t>
      </w:r>
      <w:r>
        <w:rPr>
          <w:spacing w:val="1"/>
        </w:rPr>
        <w:t> </w:t>
      </w:r>
      <w:r>
        <w:rPr/>
        <w:t>Bendich,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Mankad,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(1990).</w:t>
      </w:r>
      <w:r>
        <w:rPr>
          <w:spacing w:val="1"/>
        </w:rPr>
        <w:t> </w:t>
      </w:r>
      <w:r>
        <w:rPr/>
        <w:t>Nutritional</w:t>
      </w:r>
      <w:r>
        <w:rPr>
          <w:spacing w:val="1"/>
        </w:rPr>
        <w:t> </w:t>
      </w:r>
      <w:r>
        <w:rPr/>
        <w:t>deficiencies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 Vitamin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deficiency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Sickle</w:t>
      </w:r>
      <w:r>
        <w:rPr>
          <w:spacing w:val="1"/>
        </w:rPr>
        <w:t> </w:t>
      </w:r>
      <w:r>
        <w:rPr/>
        <w:t>Cell Patients: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 Vitamin</w:t>
      </w:r>
      <w:r>
        <w:rPr>
          <w:spacing w:val="1"/>
        </w:rPr>
        <w:t> </w:t>
      </w:r>
      <w:r>
        <w:rPr/>
        <w:t>Supplementation.</w:t>
      </w:r>
      <w:r>
        <w:rPr>
          <w:spacing w:val="5"/>
        </w:rPr>
        <w:t> </w:t>
      </w:r>
      <w:r>
        <w:rPr>
          <w:i/>
        </w:rPr>
        <w:t>Nutrition</w:t>
      </w:r>
      <w:r>
        <w:rPr>
          <w:i/>
          <w:spacing w:val="2"/>
        </w:rPr>
        <w:t> </w:t>
      </w:r>
      <w:r>
        <w:rPr>
          <w:i/>
        </w:rPr>
        <w:t>Research.</w:t>
      </w:r>
      <w:r>
        <w:rPr>
          <w:i/>
          <w:spacing w:val="5"/>
        </w:rPr>
        <w:t> </w:t>
      </w:r>
      <w:r>
        <w:rPr/>
        <w:t>10:267-73.</w:t>
      </w:r>
    </w:p>
    <w:p>
      <w:pPr>
        <w:spacing w:line="360" w:lineRule="auto" w:before="206"/>
        <w:ind w:left="1540" w:right="1435" w:hanging="720"/>
        <w:jc w:val="both"/>
        <w:rPr>
          <w:sz w:val="24"/>
        </w:rPr>
      </w:pPr>
      <w:r>
        <w:rPr>
          <w:sz w:val="24"/>
        </w:rPr>
        <w:t>Singhal, A., Davies, P., Wierenga, K.J, Thomas, P., and Serjeant, G. (1997). Is there an energy</w:t>
      </w:r>
      <w:r>
        <w:rPr>
          <w:spacing w:val="1"/>
          <w:sz w:val="24"/>
        </w:rPr>
        <w:t> </w:t>
      </w:r>
      <w:r>
        <w:rPr>
          <w:sz w:val="24"/>
        </w:rPr>
        <w:t>deficiency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Homozygous</w:t>
      </w:r>
      <w:r>
        <w:rPr>
          <w:spacing w:val="1"/>
          <w:sz w:val="24"/>
        </w:rPr>
        <w:t> </w:t>
      </w:r>
      <w:r>
        <w:rPr>
          <w:sz w:val="24"/>
        </w:rPr>
        <w:t>Sickle</w:t>
      </w:r>
      <w:r>
        <w:rPr>
          <w:spacing w:val="1"/>
          <w:sz w:val="24"/>
        </w:rPr>
        <w:t> </w:t>
      </w:r>
      <w:r>
        <w:rPr>
          <w:sz w:val="24"/>
        </w:rPr>
        <w:t>Cell</w:t>
      </w:r>
      <w:r>
        <w:rPr>
          <w:spacing w:val="1"/>
          <w:sz w:val="24"/>
        </w:rPr>
        <w:t> </w:t>
      </w:r>
      <w:r>
        <w:rPr>
          <w:sz w:val="24"/>
        </w:rPr>
        <w:t>Disease?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Nutrition.</w:t>
      </w:r>
      <w:r>
        <w:rPr>
          <w:i/>
          <w:spacing w:val="4"/>
          <w:sz w:val="24"/>
        </w:rPr>
        <w:t> </w:t>
      </w:r>
      <w:r>
        <w:rPr>
          <w:sz w:val="24"/>
        </w:rPr>
        <w:t>66:</w:t>
      </w:r>
      <w:r>
        <w:rPr>
          <w:spacing w:val="2"/>
          <w:sz w:val="24"/>
        </w:rPr>
        <w:t> </w:t>
      </w:r>
      <w:r>
        <w:rPr>
          <w:sz w:val="24"/>
        </w:rPr>
        <w:t>386-390.</w:t>
      </w:r>
    </w:p>
    <w:p>
      <w:pPr>
        <w:pStyle w:val="BodyText"/>
        <w:spacing w:line="357" w:lineRule="auto" w:before="203"/>
        <w:ind w:left="1540" w:right="1445" w:hanging="720"/>
        <w:jc w:val="both"/>
      </w:pPr>
      <w:r>
        <w:rPr/>
        <w:t>Standard Treatment Guidelines Nigeria (2008). Published by the Federal Ministry of Health in</w:t>
      </w:r>
      <w:r>
        <w:rPr>
          <w:spacing w:val="1"/>
        </w:rPr>
        <w:t> </w:t>
      </w:r>
      <w:r>
        <w:rPr/>
        <w:t>collaboration with World Health Organisation (WHO), European Commission (EC) and</w:t>
      </w:r>
      <w:r>
        <w:rPr>
          <w:spacing w:val="1"/>
        </w:rPr>
        <w:t> </w:t>
      </w:r>
      <w:r>
        <w:rPr/>
        <w:t>the Department</w:t>
      </w:r>
      <w:r>
        <w:rPr>
          <w:spacing w:val="6"/>
        </w:rPr>
        <w:t> </w:t>
      </w:r>
      <w:r>
        <w:rPr/>
        <w:t>for</w:t>
      </w:r>
      <w:r>
        <w:rPr>
          <w:spacing w:val="-2"/>
        </w:rPr>
        <w:t> </w:t>
      </w:r>
      <w:r>
        <w:rPr/>
        <w:t>International</w:t>
      </w:r>
      <w:r>
        <w:rPr>
          <w:spacing w:val="-3"/>
        </w:rPr>
        <w:t> </w:t>
      </w:r>
      <w:r>
        <w:rPr/>
        <w:t>Development</w:t>
      </w:r>
      <w:r>
        <w:rPr>
          <w:spacing w:val="6"/>
        </w:rPr>
        <w:t> </w:t>
      </w:r>
      <w:r>
        <w:rPr/>
        <w:t>(DFID).</w:t>
      </w:r>
      <w:r>
        <w:rPr>
          <w:spacing w:val="-1"/>
        </w:rPr>
        <w:t> </w:t>
      </w:r>
      <w:r>
        <w:rPr/>
        <w:t>Pp</w:t>
      </w:r>
      <w:r>
        <w:rPr>
          <w:spacing w:val="1"/>
        </w:rPr>
        <w:t> </w:t>
      </w:r>
      <w:r>
        <w:rPr/>
        <w:t>20-22.</w:t>
      </w:r>
    </w:p>
    <w:p>
      <w:pPr>
        <w:pStyle w:val="BodyText"/>
        <w:spacing w:line="360" w:lineRule="auto" w:before="207"/>
        <w:ind w:left="1540" w:right="1438" w:hanging="720"/>
        <w:jc w:val="both"/>
      </w:pPr>
      <w:r>
        <w:rPr/>
        <w:t>Steven, H.Y., Nagib, N., and Guthrie, T. (2000): Approach to Vaso-Occlusive Crises in adults</w:t>
      </w:r>
      <w:r>
        <w:rPr>
          <w:spacing w:val="1"/>
        </w:rPr>
        <w:t> </w:t>
      </w:r>
      <w:r>
        <w:rPr/>
        <w:t>with Sickle Cell Disease. </w:t>
      </w:r>
      <w:r>
        <w:rPr>
          <w:i/>
        </w:rPr>
        <w:t>American Academy of Family Physicians. </w:t>
      </w:r>
      <w:r>
        <w:rPr/>
        <w:t>61:1349-56, 1363-4</w:t>
      </w:r>
      <w:r>
        <w:rPr>
          <w:spacing w:val="1"/>
        </w:rPr>
        <w:t> </w:t>
      </w:r>
      <w:r>
        <w:rPr/>
        <w:t>Retrieved,</w:t>
      </w:r>
      <w:r>
        <w:rPr>
          <w:spacing w:val="3"/>
        </w:rPr>
        <w:t> </w:t>
      </w:r>
      <w:r>
        <w:rPr/>
        <w:t>March,</w:t>
      </w:r>
      <w:r>
        <w:rPr>
          <w:spacing w:val="3"/>
        </w:rPr>
        <w:t> </w:t>
      </w:r>
      <w:r>
        <w:rPr/>
        <w:t>13,</w:t>
      </w:r>
      <w:r>
        <w:rPr>
          <w:spacing w:val="4"/>
        </w:rPr>
        <w:t> </w:t>
      </w:r>
      <w:r>
        <w:rPr/>
        <w:t>2010,</w:t>
      </w:r>
      <w:r>
        <w:rPr>
          <w:spacing w:val="3"/>
        </w:rPr>
        <w:t> </w:t>
      </w:r>
      <w:r>
        <w:rPr/>
        <w:t>from</w:t>
      </w:r>
      <w:r>
        <w:rPr>
          <w:spacing w:val="-7"/>
        </w:rPr>
        <w:t> </w:t>
      </w:r>
      <w:r>
        <w:rPr/>
        <w:t>(http://www.aafp.org)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spacing w:before="72"/>
        <w:ind w:left="820" w:right="0" w:firstLine="0"/>
        <w:jc w:val="left"/>
        <w:rPr>
          <w:i/>
          <w:sz w:val="24"/>
        </w:rPr>
      </w:pPr>
      <w:r>
        <w:rPr>
          <w:sz w:val="24"/>
        </w:rPr>
        <w:t>Steinberg</w:t>
      </w:r>
      <w:r>
        <w:rPr>
          <w:spacing w:val="13"/>
          <w:sz w:val="24"/>
        </w:rPr>
        <w:t> </w:t>
      </w:r>
      <w:r>
        <w:rPr>
          <w:sz w:val="24"/>
        </w:rPr>
        <w:t>M.H.</w:t>
      </w:r>
      <w:r>
        <w:rPr>
          <w:spacing w:val="16"/>
          <w:sz w:val="24"/>
        </w:rPr>
        <w:t> </w:t>
      </w:r>
      <w:r>
        <w:rPr>
          <w:sz w:val="24"/>
        </w:rPr>
        <w:t>(1999).</w:t>
      </w:r>
      <w:r>
        <w:rPr>
          <w:spacing w:val="16"/>
          <w:sz w:val="24"/>
        </w:rPr>
        <w:t> </w:t>
      </w:r>
      <w:r>
        <w:rPr>
          <w:sz w:val="24"/>
        </w:rPr>
        <w:t>Management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Sickle</w:t>
      </w:r>
      <w:r>
        <w:rPr>
          <w:spacing w:val="12"/>
          <w:sz w:val="24"/>
        </w:rPr>
        <w:t> </w:t>
      </w:r>
      <w:r>
        <w:rPr>
          <w:sz w:val="24"/>
        </w:rPr>
        <w:t>Cell</w:t>
      </w:r>
      <w:r>
        <w:rPr>
          <w:spacing w:val="10"/>
          <w:sz w:val="24"/>
        </w:rPr>
        <w:t> </w:t>
      </w:r>
      <w:r>
        <w:rPr>
          <w:sz w:val="24"/>
        </w:rPr>
        <w:t>Disease.</w:t>
      </w:r>
      <w:r>
        <w:rPr>
          <w:spacing w:val="19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England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Medicine</w:t>
      </w:r>
    </w:p>
    <w:p>
      <w:pPr>
        <w:pStyle w:val="BodyText"/>
        <w:spacing w:before="132"/>
        <w:ind w:left="1540"/>
      </w:pPr>
      <w:r>
        <w:rPr/>
        <w:t>340:1021-30.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60" w:lineRule="auto"/>
        <w:ind w:left="1540" w:right="1435" w:hanging="720"/>
        <w:jc w:val="both"/>
      </w:pPr>
      <w:r>
        <w:rPr/>
        <w:t>Steinberg, M.H., Barton, F., Castro, O., Pegelow, C.H., Ballas, S.K., Kutlar, A. (2003). Effect of</w:t>
      </w:r>
      <w:r>
        <w:rPr>
          <w:spacing w:val="1"/>
        </w:rPr>
        <w:t> </w:t>
      </w:r>
      <w:r>
        <w:rPr/>
        <w:t>Hydroxyurea on mortality and morbidity in adult Sickle Cell Anaemia: Risks and benefits</w:t>
      </w:r>
      <w:r>
        <w:rPr>
          <w:spacing w:val="-57"/>
        </w:rPr>
        <w:t> </w:t>
      </w:r>
      <w:r>
        <w:rPr/>
        <w:t>up</w:t>
      </w:r>
      <w:r>
        <w:rPr>
          <w:spacing w:val="-4"/>
        </w:rPr>
        <w:t> </w:t>
      </w:r>
      <w:r>
        <w:rPr/>
        <w:t>to</w:t>
      </w:r>
      <w:r>
        <w:rPr>
          <w:spacing w:val="6"/>
        </w:rPr>
        <w:t> </w:t>
      </w:r>
      <w:r>
        <w:rPr/>
        <w:t>9</w:t>
      </w:r>
      <w:r>
        <w:rPr>
          <w:spacing w:val="-4"/>
        </w:rPr>
        <w:t> </w:t>
      </w:r>
      <w:r>
        <w:rPr/>
        <w:t>years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treatment.</w:t>
      </w:r>
      <w:r>
        <w:rPr>
          <w:spacing w:val="3"/>
        </w:rPr>
        <w:t> </w:t>
      </w:r>
      <w:r>
        <w:rPr/>
        <w:t>Journal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American</w:t>
      </w:r>
      <w:r>
        <w:rPr>
          <w:spacing w:val="-4"/>
        </w:rPr>
        <w:t> </w:t>
      </w:r>
      <w:r>
        <w:rPr/>
        <w:t>Medical</w:t>
      </w:r>
      <w:r>
        <w:rPr>
          <w:spacing w:val="2"/>
        </w:rPr>
        <w:t> </w:t>
      </w:r>
      <w:r>
        <w:rPr/>
        <w:t>Association.</w:t>
      </w:r>
      <w:r>
        <w:rPr>
          <w:spacing w:val="3"/>
        </w:rPr>
        <w:t> </w:t>
      </w:r>
      <w:r>
        <w:rPr/>
        <w:t>289:1645-51.</w:t>
      </w:r>
    </w:p>
    <w:p>
      <w:pPr>
        <w:pStyle w:val="BodyText"/>
        <w:spacing w:line="360" w:lineRule="auto" w:before="203"/>
        <w:ind w:left="1540" w:right="1436" w:hanging="720"/>
        <w:jc w:val="both"/>
      </w:pPr>
      <w:r>
        <w:rPr/>
        <w:t>Stern, B.R., Solioz, M., Krewski, D., Agget, P., Aw, T., Baker, S., Crump, K., Dourson, M.,</w:t>
      </w:r>
      <w:r>
        <w:rPr>
          <w:spacing w:val="1"/>
        </w:rPr>
        <w:t> </w:t>
      </w:r>
      <w:r>
        <w:rPr/>
        <w:t>Haber, L., Hertzberg, R., Keen, C., Meek, B., Rudenko, L., Schoney, R., Slob, W., and</w:t>
      </w:r>
      <w:r>
        <w:rPr>
          <w:spacing w:val="1"/>
        </w:rPr>
        <w:t> </w:t>
      </w:r>
      <w:r>
        <w:rPr/>
        <w:t>Starr, T. (2007).</w:t>
      </w:r>
      <w:r>
        <w:rPr>
          <w:spacing w:val="1"/>
        </w:rPr>
        <w:t> </w:t>
      </w:r>
      <w:r>
        <w:rPr/>
        <w:t>Copper and Human Health: Biochemistry, Genetics, And Strategies For</w:t>
      </w:r>
      <w:r>
        <w:rPr>
          <w:spacing w:val="1"/>
        </w:rPr>
        <w:t> </w:t>
      </w:r>
      <w:r>
        <w:rPr/>
        <w:t>Modeling</w:t>
      </w:r>
      <w:r>
        <w:rPr>
          <w:spacing w:val="1"/>
        </w:rPr>
        <w:t> </w:t>
      </w:r>
      <w:r>
        <w:rPr/>
        <w:t>Dose-Response</w:t>
      </w:r>
      <w:r>
        <w:rPr>
          <w:spacing w:val="1"/>
        </w:rPr>
        <w:t> </w:t>
      </w:r>
      <w:r>
        <w:rPr/>
        <w:t>Relationships.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Toxicology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Environmental</w:t>
      </w:r>
      <w:r>
        <w:rPr>
          <w:i/>
          <w:spacing w:val="1"/>
        </w:rPr>
        <w:t> </w:t>
      </w:r>
      <w:r>
        <w:rPr>
          <w:i/>
        </w:rPr>
        <w:t>Health.</w:t>
      </w:r>
      <w:r>
        <w:rPr>
          <w:i/>
          <w:spacing w:val="3"/>
        </w:rPr>
        <w:t> </w:t>
      </w:r>
      <w:r>
        <w:rPr>
          <w:i/>
        </w:rPr>
        <w:t>Part</w:t>
      </w:r>
      <w:r>
        <w:rPr>
          <w:i/>
          <w:spacing w:val="2"/>
        </w:rPr>
        <w:t> </w:t>
      </w:r>
      <w:r>
        <w:rPr>
          <w:i/>
        </w:rPr>
        <w:t>B</w:t>
      </w:r>
      <w:r>
        <w:rPr/>
        <w:t>.</w:t>
      </w:r>
      <w:r>
        <w:rPr>
          <w:spacing w:val="4"/>
        </w:rPr>
        <w:t> </w:t>
      </w:r>
      <w:r>
        <w:rPr/>
        <w:t>10:157–222.</w:t>
      </w:r>
    </w:p>
    <w:p>
      <w:pPr>
        <w:pStyle w:val="BodyText"/>
        <w:spacing w:line="360" w:lineRule="auto" w:before="196"/>
        <w:ind w:left="1540" w:right="1435" w:hanging="720"/>
        <w:jc w:val="both"/>
      </w:pPr>
      <w:r>
        <w:rPr/>
        <w:t>Sutton,</w:t>
      </w:r>
      <w:r>
        <w:rPr>
          <w:spacing w:val="1"/>
        </w:rPr>
        <w:t> </w:t>
      </w:r>
      <w:r>
        <w:rPr/>
        <w:t>L.L.,</w:t>
      </w:r>
      <w:r>
        <w:rPr>
          <w:spacing w:val="1"/>
        </w:rPr>
        <w:t> </w:t>
      </w:r>
      <w:r>
        <w:rPr/>
        <w:t>Castro,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Cross,</w:t>
      </w:r>
      <w:r>
        <w:rPr>
          <w:spacing w:val="1"/>
        </w:rPr>
        <w:t> </w:t>
      </w:r>
      <w:r>
        <w:rPr/>
        <w:t>D.J.,</w:t>
      </w:r>
      <w:r>
        <w:rPr>
          <w:spacing w:val="1"/>
        </w:rPr>
        <w:t> </w:t>
      </w:r>
      <w:r>
        <w:rPr/>
        <w:t>Spencer,</w:t>
      </w:r>
      <w:r>
        <w:rPr>
          <w:spacing w:val="1"/>
        </w:rPr>
        <w:t> </w:t>
      </w:r>
      <w:r>
        <w:rPr/>
        <w:t>J.E.,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Lewis,</w:t>
      </w:r>
      <w:r>
        <w:rPr>
          <w:spacing w:val="1"/>
        </w:rPr>
        <w:t> </w:t>
      </w:r>
      <w:r>
        <w:rPr/>
        <w:t>J.F.</w:t>
      </w:r>
      <w:r>
        <w:rPr>
          <w:spacing w:val="1"/>
        </w:rPr>
        <w:t> </w:t>
      </w:r>
      <w:r>
        <w:rPr/>
        <w:t>(1994).</w:t>
      </w:r>
      <w:r>
        <w:rPr>
          <w:spacing w:val="1"/>
        </w:rPr>
        <w:t> </w:t>
      </w:r>
      <w:r>
        <w:rPr/>
        <w:t>Pulmonary</w:t>
      </w:r>
      <w:r>
        <w:rPr>
          <w:spacing w:val="1"/>
        </w:rPr>
        <w:t> </w:t>
      </w:r>
      <w:r>
        <w:rPr/>
        <w:t>Hypertension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Sickle</w:t>
      </w:r>
      <w:r>
        <w:rPr>
          <w:spacing w:val="-1"/>
        </w:rPr>
        <w:t> </w:t>
      </w:r>
      <w:r>
        <w:rPr/>
        <w:t>Cell</w:t>
      </w:r>
      <w:r>
        <w:rPr>
          <w:spacing w:val="-4"/>
        </w:rPr>
        <w:t> </w:t>
      </w:r>
      <w:r>
        <w:rPr/>
        <w:t>Disease.</w:t>
      </w:r>
      <w:r>
        <w:rPr>
          <w:spacing w:val="2"/>
        </w:rPr>
        <w:t> </w:t>
      </w:r>
      <w:r>
        <w:rPr>
          <w:i/>
        </w:rPr>
        <w:t>American Journal of Cardiology</w:t>
      </w:r>
      <w:r>
        <w:rPr/>
        <w:t>.</w:t>
      </w:r>
      <w:r>
        <w:rPr>
          <w:spacing w:val="2"/>
        </w:rPr>
        <w:t> </w:t>
      </w:r>
      <w:r>
        <w:rPr/>
        <w:t>74:626-628.</w:t>
      </w:r>
    </w:p>
    <w:p>
      <w:pPr>
        <w:pStyle w:val="BodyText"/>
        <w:spacing w:line="355" w:lineRule="auto" w:before="204"/>
        <w:ind w:left="1540" w:right="1446" w:hanging="720"/>
        <w:jc w:val="both"/>
      </w:pPr>
      <w:r>
        <w:rPr/>
        <w:t>Taher, A., Inati,</w:t>
      </w:r>
      <w:r>
        <w:rPr>
          <w:spacing w:val="1"/>
        </w:rPr>
        <w:t> </w:t>
      </w:r>
      <w:r>
        <w:rPr/>
        <w:t>A., and</w:t>
      </w:r>
      <w:r>
        <w:rPr>
          <w:spacing w:val="1"/>
        </w:rPr>
        <w:t> </w:t>
      </w:r>
      <w:r>
        <w:rPr/>
        <w:t>Kazzi,</w:t>
      </w:r>
      <w:r>
        <w:rPr>
          <w:spacing w:val="1"/>
        </w:rPr>
        <w:t> </w:t>
      </w:r>
      <w:r>
        <w:rPr/>
        <w:t>Z.N. (2010). Sickle</w:t>
      </w:r>
      <w:r>
        <w:rPr>
          <w:spacing w:val="1"/>
        </w:rPr>
        <w:t> </w:t>
      </w:r>
      <w:r>
        <w:rPr/>
        <w:t>Cell Anaemia.</w:t>
      </w:r>
      <w:r>
        <w:rPr>
          <w:spacing w:val="60"/>
        </w:rPr>
        <w:t> </w:t>
      </w:r>
      <w:r>
        <w:rPr/>
        <w:t>Retrieved on July 4, 2010</w:t>
      </w:r>
      <w:r>
        <w:rPr>
          <w:spacing w:val="1"/>
        </w:rPr>
        <w:t> </w:t>
      </w:r>
      <w:r>
        <w:rPr/>
        <w:t>from</w:t>
      </w:r>
      <w:r>
        <w:rPr>
          <w:spacing w:val="-3"/>
        </w:rPr>
        <w:t> </w:t>
      </w:r>
      <w:hyperlink r:id="rId79">
        <w:r>
          <w:rPr/>
          <w:t>http://emedicine.medscape.com/</w:t>
        </w:r>
      </w:hyperlink>
    </w:p>
    <w:p>
      <w:pPr>
        <w:pStyle w:val="BodyText"/>
        <w:spacing w:line="357" w:lineRule="auto" w:before="210"/>
        <w:ind w:left="1540" w:right="1441" w:hanging="720"/>
        <w:jc w:val="both"/>
      </w:pPr>
      <w:r>
        <w:rPr/>
        <w:t>Temiye,</w:t>
      </w:r>
      <w:r>
        <w:rPr>
          <w:spacing w:val="1"/>
        </w:rPr>
        <w:t> </w:t>
      </w:r>
      <w:r>
        <w:rPr/>
        <w:t>E.O.,</w:t>
      </w:r>
      <w:r>
        <w:rPr>
          <w:spacing w:val="1"/>
        </w:rPr>
        <w:t> </w:t>
      </w:r>
      <w:r>
        <w:rPr/>
        <w:t>Duke,</w:t>
      </w:r>
      <w:r>
        <w:rPr>
          <w:spacing w:val="1"/>
        </w:rPr>
        <w:t> </w:t>
      </w:r>
      <w:r>
        <w:rPr/>
        <w:t>E.S.,</w:t>
      </w:r>
      <w:r>
        <w:rPr>
          <w:spacing w:val="1"/>
        </w:rPr>
        <w:t> </w:t>
      </w:r>
      <w:r>
        <w:rPr/>
        <w:t>Owolabi,</w:t>
      </w:r>
      <w:r>
        <w:rPr>
          <w:spacing w:val="1"/>
        </w:rPr>
        <w:t> </w:t>
      </w:r>
      <w:r>
        <w:rPr/>
        <w:t>M.A.,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Renner,</w:t>
      </w:r>
      <w:r>
        <w:rPr>
          <w:spacing w:val="1"/>
        </w:rPr>
        <w:t> </w:t>
      </w:r>
      <w:r>
        <w:rPr/>
        <w:t>J.K.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Relationship</w:t>
      </w:r>
      <w:r>
        <w:rPr>
          <w:spacing w:val="60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Painful Crises and Serum Zinc levels in children with Sickle Cell Anaemia. </w:t>
      </w:r>
      <w:r>
        <w:rPr>
          <w:i/>
        </w:rPr>
        <w:t>Anaemia.</w:t>
      </w:r>
      <w:r>
        <w:rPr>
          <w:i/>
          <w:spacing w:val="1"/>
        </w:rPr>
        <w:t> </w:t>
      </w:r>
      <w:r>
        <w:rPr/>
        <w:t>2011: 1-7.</w:t>
      </w:r>
      <w:r>
        <w:rPr>
          <w:spacing w:val="-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July</w:t>
      </w:r>
      <w:r>
        <w:rPr>
          <w:spacing w:val="-4"/>
        </w:rPr>
        <w:t> </w:t>
      </w:r>
      <w:r>
        <w:rPr/>
        <w:t>4,</w:t>
      </w:r>
      <w:r>
        <w:rPr>
          <w:spacing w:val="2"/>
        </w:rPr>
        <w:t> </w:t>
      </w:r>
      <w:r>
        <w:rPr/>
        <w:t>2011,</w:t>
      </w:r>
      <w:r>
        <w:rPr>
          <w:spacing w:val="3"/>
        </w:rPr>
        <w:t> </w:t>
      </w:r>
      <w:r>
        <w:rPr/>
        <w:t>from</w:t>
      </w:r>
      <w:r>
        <w:rPr>
          <w:spacing w:val="-5"/>
        </w:rPr>
        <w:t> </w:t>
      </w:r>
      <w:hyperlink r:id="rId80">
        <w:r>
          <w:rPr/>
          <w:t>http://www.hindawi.com./journals/.</w:t>
        </w:r>
      </w:hyperlink>
    </w:p>
    <w:p>
      <w:pPr>
        <w:pStyle w:val="BodyText"/>
        <w:spacing w:line="360" w:lineRule="auto" w:before="207"/>
        <w:ind w:left="1540" w:right="1444" w:hanging="720"/>
        <w:jc w:val="both"/>
      </w:pPr>
      <w:r>
        <w:rPr/>
        <w:t>Thomas, P.W., Singhal, A., Hemmings-Kelly, M., Serjeant, G.R. (2000). Height and Weight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Curves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Homozygous</w:t>
      </w:r>
      <w:r>
        <w:rPr>
          <w:spacing w:val="1"/>
        </w:rPr>
        <w:t> </w:t>
      </w:r>
      <w:r>
        <w:rPr/>
        <w:t>Sickle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Disease.</w:t>
      </w:r>
      <w:r>
        <w:rPr>
          <w:spacing w:val="1"/>
        </w:rPr>
        <w:t> </w:t>
      </w:r>
      <w:r>
        <w:rPr>
          <w:i/>
        </w:rPr>
        <w:t>Archives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Disease</w:t>
      </w:r>
      <w:r>
        <w:rPr>
          <w:i/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Childhood.</w:t>
      </w:r>
      <w:r>
        <w:rPr>
          <w:i/>
          <w:spacing w:val="5"/>
        </w:rPr>
        <w:t> </w:t>
      </w:r>
      <w:r>
        <w:rPr/>
        <w:t>82:204–208.</w:t>
      </w:r>
    </w:p>
    <w:p>
      <w:pPr>
        <w:pStyle w:val="BodyText"/>
        <w:spacing w:line="355" w:lineRule="auto" w:before="203"/>
        <w:ind w:left="1540" w:right="1444" w:hanging="720"/>
        <w:jc w:val="both"/>
      </w:pPr>
      <w:r>
        <w:rPr/>
        <w:t>Tomkins, A. (2003). Assessing Micronutrient status in the presence of Inflammation.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Nutrition.</w:t>
      </w:r>
      <w:r>
        <w:rPr>
          <w:i/>
          <w:spacing w:val="4"/>
        </w:rPr>
        <w:t> </w:t>
      </w:r>
      <w:r>
        <w:rPr/>
        <w:t>133:1649-1655</w:t>
      </w:r>
    </w:p>
    <w:p>
      <w:pPr>
        <w:pStyle w:val="BodyText"/>
        <w:spacing w:line="355" w:lineRule="auto" w:before="210"/>
        <w:ind w:left="1540" w:right="1437" w:hanging="720"/>
        <w:jc w:val="both"/>
      </w:pPr>
      <w:r>
        <w:rPr/>
        <w:t>UNICEF</w:t>
      </w:r>
      <w:r>
        <w:rPr>
          <w:spacing w:val="1"/>
        </w:rPr>
        <w:t> </w:t>
      </w:r>
      <w:r>
        <w:rPr/>
        <w:t>(1999).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World's</w:t>
      </w:r>
      <w:r>
        <w:rPr>
          <w:spacing w:val="1"/>
        </w:rPr>
        <w:t> </w:t>
      </w:r>
      <w:r>
        <w:rPr/>
        <w:t>Children.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July</w:t>
      </w:r>
      <w:r>
        <w:rPr>
          <w:spacing w:val="1"/>
        </w:rPr>
        <w:t> </w:t>
      </w:r>
      <w:r>
        <w:rPr/>
        <w:t>4,</w:t>
      </w:r>
      <w:r>
        <w:rPr>
          <w:spacing w:val="1"/>
        </w:rPr>
        <w:t> </w:t>
      </w:r>
      <w:r>
        <w:rPr/>
        <w:t>2010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>
          <w:color w:val="0000FF"/>
          <w:u w:val="single" w:color="0000FF"/>
        </w:rPr>
        <w:t>bulletin@who.int/</w:t>
      </w:r>
    </w:p>
    <w:p>
      <w:pPr>
        <w:pStyle w:val="BodyText"/>
        <w:spacing w:before="5"/>
        <w:rPr>
          <w:sz w:val="10"/>
        </w:rPr>
      </w:pPr>
    </w:p>
    <w:p>
      <w:pPr>
        <w:pStyle w:val="BodyText"/>
        <w:spacing w:line="355" w:lineRule="auto" w:before="90"/>
        <w:ind w:left="1540" w:right="1433" w:hanging="720"/>
      </w:pPr>
      <w:r>
        <w:rPr/>
        <w:t>UNICEF</w:t>
      </w:r>
      <w:r>
        <w:rPr>
          <w:spacing w:val="30"/>
        </w:rPr>
        <w:t> </w:t>
      </w:r>
      <w:r>
        <w:rPr/>
        <w:t>(2007).</w:t>
      </w:r>
      <w:r>
        <w:rPr>
          <w:spacing w:val="37"/>
        </w:rPr>
        <w:t> </w:t>
      </w:r>
      <w:r>
        <w:rPr/>
        <w:t>Vitamin</w:t>
      </w:r>
      <w:r>
        <w:rPr>
          <w:spacing w:val="39"/>
        </w:rPr>
        <w:t> </w:t>
      </w:r>
      <w:r>
        <w:rPr/>
        <w:t>A</w:t>
      </w:r>
      <w:r>
        <w:rPr>
          <w:spacing w:val="29"/>
        </w:rPr>
        <w:t> </w:t>
      </w:r>
      <w:r>
        <w:rPr/>
        <w:t>Supplementation;</w:t>
      </w:r>
      <w:r>
        <w:rPr>
          <w:spacing w:val="35"/>
        </w:rPr>
        <w:t> </w:t>
      </w:r>
      <w:r>
        <w:rPr/>
        <w:t>A</w:t>
      </w:r>
      <w:r>
        <w:rPr>
          <w:spacing w:val="33"/>
        </w:rPr>
        <w:t> </w:t>
      </w:r>
      <w:r>
        <w:rPr/>
        <w:t>Decade</w:t>
      </w:r>
      <w:r>
        <w:rPr>
          <w:spacing w:val="34"/>
        </w:rPr>
        <w:t> </w:t>
      </w:r>
      <w:r>
        <w:rPr/>
        <w:t>of</w:t>
      </w:r>
      <w:r>
        <w:rPr>
          <w:spacing w:val="27"/>
        </w:rPr>
        <w:t> </w:t>
      </w:r>
      <w:r>
        <w:rPr/>
        <w:t>Progress.</w:t>
      </w:r>
      <w:r>
        <w:rPr>
          <w:spacing w:val="37"/>
        </w:rPr>
        <w:t> </w:t>
      </w:r>
      <w:r>
        <w:rPr/>
        <w:t>Retrieved</w:t>
      </w:r>
      <w:r>
        <w:rPr>
          <w:spacing w:val="34"/>
        </w:rPr>
        <w:t> </w:t>
      </w:r>
      <w:r>
        <w:rPr/>
        <w:t>July</w:t>
      </w:r>
      <w:r>
        <w:rPr>
          <w:spacing w:val="35"/>
        </w:rPr>
        <w:t> </w:t>
      </w:r>
      <w:r>
        <w:rPr/>
        <w:t>4,</w:t>
      </w:r>
      <w:r>
        <w:rPr>
          <w:spacing w:val="36"/>
        </w:rPr>
        <w:t> </w:t>
      </w:r>
      <w:r>
        <w:rPr/>
        <w:t>2010</w:t>
      </w:r>
      <w:r>
        <w:rPr>
          <w:spacing w:val="-57"/>
        </w:rPr>
        <w:t> </w:t>
      </w:r>
      <w:r>
        <w:rPr/>
        <w:t>from</w:t>
      </w:r>
      <w:r>
        <w:rPr>
          <w:spacing w:val="-8"/>
        </w:rPr>
        <w:t> </w:t>
      </w:r>
      <w:hyperlink r:id="rId81">
        <w:r>
          <w:rPr>
            <w:color w:val="0000FF"/>
            <w:u w:val="single" w:color="0000FF"/>
          </w:rPr>
          <w:t>www.unicef.org</w:t>
        </w:r>
      </w:hyperlink>
    </w:p>
    <w:p>
      <w:pPr>
        <w:spacing w:after="0" w:line="355" w:lineRule="auto"/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before="72"/>
        <w:ind w:left="820"/>
      </w:pPr>
      <w:r>
        <w:rPr/>
        <w:t>Ugwu,</w:t>
      </w:r>
      <w:r>
        <w:rPr>
          <w:spacing w:val="14"/>
        </w:rPr>
        <w:t> </w:t>
      </w:r>
      <w:r>
        <w:rPr/>
        <w:t>R.O.</w:t>
      </w:r>
      <w:r>
        <w:rPr>
          <w:spacing w:val="10"/>
        </w:rPr>
        <w:t> </w:t>
      </w:r>
      <w:r>
        <w:rPr/>
        <w:t>and</w:t>
      </w:r>
      <w:r>
        <w:rPr>
          <w:spacing w:val="12"/>
        </w:rPr>
        <w:t> </w:t>
      </w:r>
      <w:r>
        <w:rPr/>
        <w:t>Eke,</w:t>
      </w:r>
      <w:r>
        <w:rPr>
          <w:spacing w:val="15"/>
        </w:rPr>
        <w:t> </w:t>
      </w:r>
      <w:r>
        <w:rPr/>
        <w:t>F.U.</w:t>
      </w:r>
      <w:r>
        <w:rPr>
          <w:spacing w:val="10"/>
        </w:rPr>
        <w:t> </w:t>
      </w:r>
      <w:r>
        <w:rPr/>
        <w:t>(2007).</w:t>
      </w:r>
      <w:r>
        <w:rPr>
          <w:spacing w:val="15"/>
        </w:rPr>
        <w:t> </w:t>
      </w:r>
      <w:r>
        <w:rPr/>
        <w:t>Urinary</w:t>
      </w:r>
      <w:r>
        <w:rPr>
          <w:spacing w:val="3"/>
        </w:rPr>
        <w:t> </w:t>
      </w:r>
      <w:r>
        <w:rPr/>
        <w:t>abnormalities</w:t>
      </w:r>
      <w:r>
        <w:rPr>
          <w:spacing w:val="15"/>
        </w:rPr>
        <w:t> </w:t>
      </w:r>
      <w:r>
        <w:rPr/>
        <w:t>in</w:t>
      </w:r>
      <w:r>
        <w:rPr>
          <w:spacing w:val="12"/>
        </w:rPr>
        <w:t> </w:t>
      </w:r>
      <w:r>
        <w:rPr/>
        <w:t>children</w:t>
      </w:r>
      <w:r>
        <w:rPr>
          <w:spacing w:val="8"/>
        </w:rPr>
        <w:t> </w:t>
      </w:r>
      <w:r>
        <w:rPr/>
        <w:t>with</w:t>
      </w:r>
      <w:r>
        <w:rPr>
          <w:spacing w:val="8"/>
        </w:rPr>
        <w:t> </w:t>
      </w:r>
      <w:r>
        <w:rPr/>
        <w:t>Sickle</w:t>
      </w:r>
      <w:r>
        <w:rPr>
          <w:spacing w:val="11"/>
        </w:rPr>
        <w:t> </w:t>
      </w:r>
      <w:r>
        <w:rPr/>
        <w:t>Cell</w:t>
      </w:r>
      <w:r>
        <w:rPr>
          <w:spacing w:val="13"/>
        </w:rPr>
        <w:t> </w:t>
      </w:r>
      <w:r>
        <w:rPr/>
        <w:t>Anaemia.</w:t>
      </w:r>
    </w:p>
    <w:p>
      <w:pPr>
        <w:spacing w:before="132"/>
        <w:ind w:left="1540" w:right="0" w:firstLine="0"/>
        <w:jc w:val="left"/>
        <w:rPr>
          <w:sz w:val="24"/>
        </w:rPr>
      </w:pPr>
      <w:r>
        <w:rPr>
          <w:i/>
          <w:sz w:val="24"/>
        </w:rPr>
        <w:t>Port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Harcourt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Journal.</w:t>
      </w:r>
      <w:r>
        <w:rPr>
          <w:i/>
          <w:spacing w:val="3"/>
          <w:sz w:val="24"/>
        </w:rPr>
        <w:t> </w:t>
      </w:r>
      <w:r>
        <w:rPr>
          <w:sz w:val="24"/>
        </w:rPr>
        <w:t>2:45-50.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60" w:lineRule="auto"/>
        <w:ind w:left="1540" w:right="1444" w:hanging="720"/>
        <w:jc w:val="both"/>
      </w:pPr>
      <w:r>
        <w:rPr/>
        <w:t>Ulug, P., Vasavda, N., Awogbade, M., Cunningham, J., Menzel, S., and Thein, S.L. (2009).</w:t>
      </w:r>
      <w:r>
        <w:rPr>
          <w:spacing w:val="1"/>
        </w:rPr>
        <w:t> </w:t>
      </w:r>
      <w:r>
        <w:rPr/>
        <w:t>Association of Sickle Avascular Necrosis with Bone Morphogenic Protein 6. </w:t>
      </w:r>
      <w:r>
        <w:rPr>
          <w:i/>
        </w:rPr>
        <w:t>Annals of</w:t>
      </w:r>
      <w:r>
        <w:rPr>
          <w:i/>
          <w:spacing w:val="1"/>
        </w:rPr>
        <w:t> </w:t>
      </w:r>
      <w:r>
        <w:rPr>
          <w:i/>
        </w:rPr>
        <w:t>Haematology</w:t>
      </w:r>
      <w:r>
        <w:rPr/>
        <w:t>.</w:t>
      </w:r>
      <w:r>
        <w:rPr>
          <w:spacing w:val="3"/>
        </w:rPr>
        <w:t> </w:t>
      </w:r>
      <w:r>
        <w:rPr/>
        <w:t>88:803–805.</w:t>
      </w:r>
    </w:p>
    <w:p>
      <w:pPr>
        <w:pStyle w:val="BodyText"/>
        <w:spacing w:line="355" w:lineRule="auto" w:before="203"/>
        <w:ind w:left="1540" w:right="1439" w:hanging="720"/>
        <w:jc w:val="both"/>
      </w:pPr>
      <w:r>
        <w:rPr/>
        <w:t>Underwood, B.A. (2003). Scientific Research: Essential, but is it enough to Combat World Food</w:t>
      </w:r>
      <w:r>
        <w:rPr>
          <w:spacing w:val="1"/>
        </w:rPr>
        <w:t> </w:t>
      </w:r>
      <w:r>
        <w:rPr/>
        <w:t>Insecurities?</w:t>
      </w:r>
      <w:r>
        <w:rPr>
          <w:spacing w:val="-4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7"/>
        </w:rPr>
        <w:t> </w:t>
      </w:r>
      <w:r>
        <w:rPr>
          <w:i/>
        </w:rPr>
        <w:t>Nutrition.</w:t>
      </w:r>
      <w:r>
        <w:rPr>
          <w:i/>
          <w:spacing w:val="3"/>
        </w:rPr>
        <w:t> </w:t>
      </w:r>
      <w:r>
        <w:rPr/>
        <w:t>133</w:t>
      </w:r>
      <w:r>
        <w:rPr>
          <w:spacing w:val="-4"/>
        </w:rPr>
        <w:t> </w:t>
      </w:r>
      <w:r>
        <w:rPr/>
        <w:t>(5):</w:t>
      </w:r>
      <w:r>
        <w:rPr>
          <w:spacing w:val="2"/>
        </w:rPr>
        <w:t> </w:t>
      </w:r>
      <w:r>
        <w:rPr/>
        <w:t>1434S-1437S.</w:t>
      </w:r>
    </w:p>
    <w:p>
      <w:pPr>
        <w:pStyle w:val="BodyText"/>
        <w:spacing w:line="357" w:lineRule="auto" w:before="211"/>
        <w:ind w:left="1540" w:right="1440" w:hanging="720"/>
        <w:jc w:val="both"/>
      </w:pPr>
      <w:r>
        <w:rPr/>
        <w:t>Uzoegwu,</w:t>
      </w:r>
      <w:r>
        <w:rPr>
          <w:spacing w:val="1"/>
        </w:rPr>
        <w:t> </w:t>
      </w:r>
      <w:r>
        <w:rPr/>
        <w:t>P.N.</w:t>
      </w:r>
      <w:r>
        <w:rPr>
          <w:spacing w:val="1"/>
        </w:rPr>
        <w:t> </w:t>
      </w:r>
      <w:r>
        <w:rPr/>
        <w:t>and Onwurah,</w:t>
      </w:r>
      <w:r>
        <w:rPr>
          <w:spacing w:val="1"/>
        </w:rPr>
        <w:t> </w:t>
      </w:r>
      <w:r>
        <w:rPr/>
        <w:t>A.E.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Prevalence of Haemoglobinopathy and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Disease in the population of Old Aguata Division, Anambra State, Nigeria. </w:t>
      </w:r>
      <w:r>
        <w:rPr>
          <w:i/>
        </w:rPr>
        <w:t>Biokemistri</w:t>
      </w:r>
      <w:r>
        <w:rPr/>
        <w:t>.</w:t>
      </w:r>
      <w:r>
        <w:rPr>
          <w:spacing w:val="1"/>
        </w:rPr>
        <w:t> </w:t>
      </w:r>
      <w:r>
        <w:rPr/>
        <w:t>15(2):57-66.</w:t>
      </w:r>
    </w:p>
    <w:p>
      <w:pPr>
        <w:pStyle w:val="BodyText"/>
        <w:spacing w:line="355" w:lineRule="auto" w:before="206"/>
        <w:ind w:left="1540" w:right="1445" w:hanging="720"/>
        <w:jc w:val="both"/>
      </w:pPr>
      <w:r>
        <w:rPr/>
        <w:t>Valerie, L. (2011). The Effects of Copper Deficiency in Humans. Retrieved on October 27, 2010</w:t>
      </w:r>
      <w:r>
        <w:rPr>
          <w:spacing w:val="-57"/>
        </w:rPr>
        <w:t> </w:t>
      </w:r>
      <w:r>
        <w:rPr/>
        <w:t>from</w:t>
      </w:r>
      <w:r>
        <w:rPr>
          <w:spacing w:val="-3"/>
        </w:rPr>
        <w:t> </w:t>
      </w:r>
      <w:hyperlink r:id="rId82">
        <w:r>
          <w:rPr>
            <w:color w:val="0000FF"/>
            <w:u w:val="single" w:color="0000FF"/>
          </w:rPr>
          <w:t>http://www.livestrong.com/</w:t>
        </w:r>
      </w:hyperlink>
    </w:p>
    <w:p>
      <w:pPr>
        <w:pStyle w:val="BodyText"/>
        <w:spacing w:before="5"/>
        <w:rPr>
          <w:sz w:val="10"/>
        </w:rPr>
      </w:pPr>
    </w:p>
    <w:p>
      <w:pPr>
        <w:pStyle w:val="BodyText"/>
        <w:spacing w:line="360" w:lineRule="auto" w:before="90"/>
        <w:ind w:left="1540" w:right="1447" w:hanging="720"/>
        <w:jc w:val="both"/>
      </w:pPr>
      <w:r>
        <w:rPr/>
        <w:t>Vatanavicharn, S., Pringsulka, P., Kritalugsana, S., Phuapairoj, P., and Wasi, P. (1982). Zinc and</w:t>
      </w:r>
      <w:r>
        <w:rPr>
          <w:spacing w:val="-57"/>
        </w:rPr>
        <w:t> </w:t>
      </w:r>
      <w:r>
        <w:rPr/>
        <w:t>Copper status in Haemoglobin H disease and Beta-thalassemia/haemoglobin E disease.</w:t>
      </w:r>
      <w:r>
        <w:rPr>
          <w:spacing w:val="1"/>
        </w:rPr>
        <w:t> </w:t>
      </w:r>
      <w:r>
        <w:rPr>
          <w:i/>
        </w:rPr>
        <w:t>Acta</w:t>
      </w:r>
      <w:r>
        <w:rPr>
          <w:i/>
          <w:spacing w:val="1"/>
        </w:rPr>
        <w:t> </w:t>
      </w:r>
      <w:r>
        <w:rPr>
          <w:i/>
        </w:rPr>
        <w:t>Haematologica.</w:t>
      </w:r>
      <w:r>
        <w:rPr>
          <w:i/>
          <w:spacing w:val="2"/>
        </w:rPr>
        <w:t> </w:t>
      </w:r>
      <w:r>
        <w:rPr/>
        <w:t>68(4):317-20.</w:t>
      </w:r>
    </w:p>
    <w:p>
      <w:pPr>
        <w:pStyle w:val="BodyText"/>
        <w:spacing w:line="355" w:lineRule="auto" w:before="203"/>
        <w:ind w:left="1540" w:right="1447" w:hanging="720"/>
        <w:jc w:val="both"/>
      </w:pPr>
      <w:r>
        <w:rPr/>
        <w:t>Voskaridou, E., Christoulas, D. and Terpos, E. (2012). Sickle Cell Disease and the Heart: review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the current</w:t>
      </w:r>
      <w:r>
        <w:rPr>
          <w:spacing w:val="5"/>
        </w:rPr>
        <w:t> </w:t>
      </w:r>
      <w:r>
        <w:rPr/>
        <w:t>literature. </w:t>
      </w:r>
      <w:r>
        <w:rPr>
          <w:i/>
        </w:rPr>
        <w:t>British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Haematology</w:t>
      </w:r>
      <w:r>
        <w:rPr/>
        <w:t>.</w:t>
      </w:r>
      <w:r>
        <w:rPr>
          <w:spacing w:val="3"/>
        </w:rPr>
        <w:t> </w:t>
      </w:r>
      <w:r>
        <w:rPr/>
        <w:t>10:1365-2141.</w:t>
      </w:r>
    </w:p>
    <w:p>
      <w:pPr>
        <w:pStyle w:val="BodyText"/>
        <w:spacing w:line="357" w:lineRule="auto" w:before="211"/>
        <w:ind w:left="1540" w:right="1442" w:hanging="720"/>
        <w:jc w:val="both"/>
      </w:pPr>
      <w:r>
        <w:rPr/>
        <w:t>Vichinsky EP, Styles LA, Colangelo LH, Wright EC, Castro O, Nickerson B. (1997). Acute</w:t>
      </w:r>
      <w:r>
        <w:rPr>
          <w:spacing w:val="1"/>
        </w:rPr>
        <w:t> </w:t>
      </w:r>
      <w:r>
        <w:rPr/>
        <w:t>Chest Syndrome in Sickle Cell Disease: Clinical Presentation and Course—Cooperative</w:t>
      </w:r>
      <w:r>
        <w:rPr>
          <w:spacing w:val="1"/>
        </w:rPr>
        <w:t> </w:t>
      </w:r>
      <w:r>
        <w:rPr/>
        <w:t>Study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Sickle</w:t>
      </w:r>
      <w:r>
        <w:rPr>
          <w:spacing w:val="1"/>
        </w:rPr>
        <w:t> </w:t>
      </w:r>
      <w:r>
        <w:rPr/>
        <w:t>Cell</w:t>
      </w:r>
      <w:r>
        <w:rPr>
          <w:spacing w:val="-2"/>
        </w:rPr>
        <w:t> </w:t>
      </w:r>
      <w:r>
        <w:rPr/>
        <w:t>Disease.</w:t>
      </w:r>
      <w:r>
        <w:rPr>
          <w:spacing w:val="6"/>
        </w:rPr>
        <w:t> </w:t>
      </w:r>
      <w:r>
        <w:rPr>
          <w:i/>
        </w:rPr>
        <w:t>Blood. </w:t>
      </w:r>
      <w:r>
        <w:rPr/>
        <w:t>89:1787-1792.</w:t>
      </w:r>
    </w:p>
    <w:p>
      <w:pPr>
        <w:pStyle w:val="BodyText"/>
        <w:spacing w:line="355" w:lineRule="auto" w:before="206"/>
        <w:ind w:left="1540" w:right="1440" w:hanging="720"/>
        <w:jc w:val="both"/>
      </w:pPr>
      <w:r>
        <w:rPr/>
        <w:t>Vichinsky E, Kleman K, Embury S, and Lubin, B. (1981). The diagnosis of Iron Deficiency</w:t>
      </w:r>
      <w:r>
        <w:rPr>
          <w:spacing w:val="1"/>
        </w:rPr>
        <w:t> </w:t>
      </w:r>
      <w:r>
        <w:rPr/>
        <w:t>Anemia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Sickle Cell</w:t>
      </w:r>
      <w:r>
        <w:rPr>
          <w:spacing w:val="-2"/>
        </w:rPr>
        <w:t> </w:t>
      </w:r>
      <w:r>
        <w:rPr/>
        <w:t>Disease.</w:t>
      </w:r>
      <w:r>
        <w:rPr>
          <w:spacing w:val="4"/>
        </w:rPr>
        <w:t> </w:t>
      </w:r>
      <w:r>
        <w:rPr>
          <w:i/>
        </w:rPr>
        <w:t>Blood</w:t>
      </w:r>
      <w:r>
        <w:rPr/>
        <w:t>. 58(5):963–8.</w:t>
      </w:r>
    </w:p>
    <w:p>
      <w:pPr>
        <w:pStyle w:val="BodyText"/>
        <w:spacing w:line="360" w:lineRule="auto" w:before="210"/>
        <w:ind w:left="1540" w:right="1444" w:hanging="720"/>
        <w:jc w:val="both"/>
      </w:pPr>
      <w:r>
        <w:rPr/>
        <w:t>Wahab,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Olarenwaju,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and Aderibigbe,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One-Year</w:t>
      </w:r>
      <w:r>
        <w:rPr>
          <w:spacing w:val="1"/>
        </w:rPr>
        <w:t> </w:t>
      </w:r>
      <w:r>
        <w:rPr/>
        <w:t>Prevalence of Recurrent</w:t>
      </w:r>
      <w:r>
        <w:rPr>
          <w:spacing w:val="1"/>
        </w:rPr>
        <w:t> </w:t>
      </w:r>
      <w:r>
        <w:rPr/>
        <w:t>Headaches among Adult Nigerians with Sickle Cell Disease. </w:t>
      </w:r>
      <w:r>
        <w:rPr>
          <w:i/>
        </w:rPr>
        <w:t>Neurology</w:t>
      </w:r>
      <w:r>
        <w:rPr/>
        <w:t>. 78(Meeting</w:t>
      </w:r>
      <w:r>
        <w:rPr>
          <w:spacing w:val="1"/>
        </w:rPr>
        <w:t> </w:t>
      </w:r>
      <w:r>
        <w:rPr/>
        <w:t>Abstracts</w:t>
      </w:r>
      <w:r>
        <w:rPr>
          <w:spacing w:val="-1"/>
        </w:rPr>
        <w:t> </w:t>
      </w:r>
      <w:r>
        <w:rPr/>
        <w:t>1):</w:t>
      </w:r>
      <w:r>
        <w:rPr>
          <w:spacing w:val="-2"/>
        </w:rPr>
        <w:t> </w:t>
      </w:r>
      <w:r>
        <w:rPr/>
        <w:t>04.236.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spacing w:line="355" w:lineRule="auto" w:before="72"/>
        <w:ind w:left="1540" w:right="1443" w:hanging="720"/>
        <w:jc w:val="both"/>
        <w:rPr>
          <w:sz w:val="24"/>
        </w:rPr>
      </w:pPr>
      <w:r>
        <w:rPr>
          <w:sz w:val="24"/>
        </w:rPr>
        <w:t>Walford, G. and Loscalzo, J. (2003). Nitric Oxide in Vascular Biology. </w:t>
      </w:r>
      <w:r>
        <w:rPr>
          <w:i/>
          <w:sz w:val="24"/>
        </w:rPr>
        <w:t>Journal of Thrombosis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Haemostasis.</w:t>
      </w:r>
      <w:r>
        <w:rPr>
          <w:i/>
          <w:spacing w:val="6"/>
          <w:sz w:val="24"/>
        </w:rPr>
        <w:t> </w:t>
      </w:r>
      <w:r>
        <w:rPr>
          <w:sz w:val="24"/>
        </w:rPr>
        <w:t>1:2112–8.</w:t>
      </w:r>
    </w:p>
    <w:p>
      <w:pPr>
        <w:pStyle w:val="BodyText"/>
        <w:spacing w:line="360" w:lineRule="auto" w:before="210"/>
        <w:ind w:left="1540" w:right="1441" w:hanging="720"/>
        <w:jc w:val="both"/>
      </w:pPr>
      <w:r>
        <w:rPr/>
        <w:t>Walters, M.C., Patience, M., Leisenning, W., Eckman, J.R., Scott, J.P., and Mentzer, W.C.</w:t>
      </w:r>
      <w:r>
        <w:rPr>
          <w:spacing w:val="1"/>
        </w:rPr>
        <w:t> </w:t>
      </w:r>
      <w:r>
        <w:rPr/>
        <w:t>(1996). Bone Marrow transplantation for Sickle Cell Disease. </w:t>
      </w:r>
      <w:r>
        <w:rPr>
          <w:i/>
        </w:rPr>
        <w:t>New England Journal of</w:t>
      </w:r>
      <w:r>
        <w:rPr>
          <w:i/>
          <w:spacing w:val="1"/>
        </w:rPr>
        <w:t> </w:t>
      </w:r>
      <w:r>
        <w:rPr>
          <w:i/>
        </w:rPr>
        <w:t>Medicine.</w:t>
      </w:r>
      <w:r>
        <w:rPr>
          <w:i/>
          <w:spacing w:val="4"/>
        </w:rPr>
        <w:t> </w:t>
      </w:r>
      <w:r>
        <w:rPr/>
        <w:t>335:369-376.</w:t>
      </w:r>
    </w:p>
    <w:p>
      <w:pPr>
        <w:pStyle w:val="BodyText"/>
        <w:spacing w:line="357" w:lineRule="auto" w:before="203"/>
        <w:ind w:left="1540" w:right="1436" w:hanging="720"/>
        <w:jc w:val="both"/>
      </w:pPr>
      <w:r>
        <w:rPr/>
        <w:t>Walters, M.C., Nienhuis, A.W., and Vinchinsky, E. (2002). Novel therapeutic approaches in</w:t>
      </w:r>
      <w:r>
        <w:rPr>
          <w:spacing w:val="1"/>
        </w:rPr>
        <w:t> </w:t>
      </w:r>
      <w:r>
        <w:rPr/>
        <w:t>Sickle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Disease.</w:t>
      </w:r>
      <w:r>
        <w:rPr>
          <w:spacing w:val="1"/>
        </w:rPr>
        <w:t> </w:t>
      </w:r>
      <w:r>
        <w:rPr>
          <w:i/>
        </w:rPr>
        <w:t>Haematology</w:t>
      </w:r>
      <w:r>
        <w:rPr/>
        <w:t>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July,</w:t>
      </w:r>
      <w:r>
        <w:rPr>
          <w:spacing w:val="1"/>
        </w:rPr>
        <w:t> </w:t>
      </w:r>
      <w:r>
        <w:rPr/>
        <w:t>2010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83">
        <w:r>
          <w:rPr/>
          <w:t>http://asheducationbook.haematologylibrary.org/</w:t>
        </w:r>
      </w:hyperlink>
    </w:p>
    <w:p>
      <w:pPr>
        <w:pStyle w:val="BodyText"/>
        <w:spacing w:line="355" w:lineRule="auto" w:before="206"/>
        <w:ind w:left="1540" w:right="1448" w:hanging="720"/>
        <w:jc w:val="both"/>
      </w:pPr>
      <w:r>
        <w:rPr/>
        <w:t>Walters, M.C. (2005). Stem Cell Therapy for Sickle Cell Disease: Transplantation and Gene</w:t>
      </w:r>
      <w:r>
        <w:rPr>
          <w:spacing w:val="1"/>
        </w:rPr>
        <w:t> </w:t>
      </w:r>
      <w:r>
        <w:rPr/>
        <w:t>Therapy.</w:t>
      </w:r>
      <w:r>
        <w:rPr>
          <w:spacing w:val="4"/>
        </w:rPr>
        <w:t> </w:t>
      </w:r>
      <w:r>
        <w:rPr>
          <w:i/>
        </w:rPr>
        <w:t>Haematology</w:t>
      </w:r>
      <w:r>
        <w:rPr/>
        <w:t>.</w:t>
      </w:r>
      <w:r>
        <w:rPr>
          <w:spacing w:val="4"/>
        </w:rPr>
        <w:t> </w:t>
      </w:r>
      <w:r>
        <w:rPr/>
        <w:t>2005(1):66-73.</w:t>
      </w:r>
    </w:p>
    <w:p>
      <w:pPr>
        <w:pStyle w:val="BodyText"/>
        <w:spacing w:line="360" w:lineRule="auto" w:before="211"/>
        <w:ind w:left="1540" w:right="1436" w:hanging="720"/>
        <w:jc w:val="both"/>
      </w:pPr>
      <w:r>
        <w:rPr/>
        <w:t>Watson, J., Stahman, A.W., and Bilello, F.P. (1948). The Significance of the paucity of Sickle</w:t>
      </w:r>
      <w:r>
        <w:rPr>
          <w:spacing w:val="1"/>
        </w:rPr>
        <w:t> </w:t>
      </w:r>
      <w:r>
        <w:rPr/>
        <w:t>Cells in newborn Negro infants. </w:t>
      </w:r>
      <w:r>
        <w:rPr>
          <w:i/>
        </w:rPr>
        <w:t>American Journal of the Medical Sciences</w:t>
      </w:r>
      <w:r>
        <w:rPr/>
        <w:t>. 215:419-423.</w:t>
      </w:r>
      <w:r>
        <w:rPr>
          <w:spacing w:val="-57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March</w:t>
      </w:r>
      <w:r>
        <w:rPr>
          <w:spacing w:val="-3"/>
        </w:rPr>
        <w:t> </w:t>
      </w:r>
      <w:r>
        <w:rPr/>
        <w:t>13,</w:t>
      </w:r>
      <w:r>
        <w:rPr>
          <w:spacing w:val="3"/>
        </w:rPr>
        <w:t> </w:t>
      </w:r>
      <w:r>
        <w:rPr/>
        <w:t>2010,</w:t>
      </w:r>
      <w:r>
        <w:rPr>
          <w:spacing w:val="3"/>
        </w:rPr>
        <w:t> </w:t>
      </w:r>
      <w:r>
        <w:rPr/>
        <w:t>from</w:t>
      </w:r>
      <w:r>
        <w:rPr>
          <w:spacing w:val="-4"/>
        </w:rPr>
        <w:t> </w:t>
      </w:r>
      <w:hyperlink r:id="rId84">
        <w:r>
          <w:rPr/>
          <w:t>http://phyrev.physiology.org/.</w:t>
        </w:r>
      </w:hyperlink>
    </w:p>
    <w:p>
      <w:pPr>
        <w:pStyle w:val="BodyText"/>
        <w:spacing w:line="360" w:lineRule="auto" w:before="198"/>
        <w:ind w:left="1540" w:right="1437" w:hanging="720"/>
        <w:jc w:val="both"/>
      </w:pPr>
      <w:r>
        <w:rPr/>
        <w:t>Weatherall, D.J. and Clegg, J.B. (2001). Inherited Haemoglobin disorders: an increasing Global</w:t>
      </w:r>
      <w:r>
        <w:rPr>
          <w:spacing w:val="1"/>
        </w:rPr>
        <w:t> </w:t>
      </w:r>
      <w:r>
        <w:rPr/>
        <w:t>Health</w:t>
      </w:r>
      <w:r>
        <w:rPr>
          <w:spacing w:val="-4"/>
        </w:rPr>
        <w:t> </w:t>
      </w:r>
      <w:r>
        <w:rPr/>
        <w:t>Problem.</w:t>
      </w:r>
      <w:r>
        <w:rPr>
          <w:spacing w:val="4"/>
        </w:rPr>
        <w:t> </w:t>
      </w:r>
      <w:r>
        <w:rPr>
          <w:i/>
        </w:rPr>
        <w:t>Bull.</w:t>
      </w:r>
      <w:r>
        <w:rPr>
          <w:i/>
          <w:spacing w:val="-1"/>
        </w:rPr>
        <w:t> </w:t>
      </w:r>
      <w:r>
        <w:rPr>
          <w:i/>
        </w:rPr>
        <w:t>World</w:t>
      </w:r>
      <w:r>
        <w:rPr>
          <w:i/>
          <w:spacing w:val="2"/>
        </w:rPr>
        <w:t> </w:t>
      </w:r>
      <w:r>
        <w:rPr>
          <w:i/>
        </w:rPr>
        <w:t>Health</w:t>
      </w:r>
      <w:r>
        <w:rPr>
          <w:i/>
          <w:spacing w:val="1"/>
        </w:rPr>
        <w:t> </w:t>
      </w:r>
      <w:r>
        <w:rPr>
          <w:i/>
        </w:rPr>
        <w:t>Organ.</w:t>
      </w:r>
      <w:r>
        <w:rPr>
          <w:i/>
          <w:spacing w:val="7"/>
        </w:rPr>
        <w:t> </w:t>
      </w:r>
      <w:r>
        <w:rPr/>
        <w:t>79</w:t>
      </w:r>
      <w:r>
        <w:rPr>
          <w:spacing w:val="-4"/>
        </w:rPr>
        <w:t> </w:t>
      </w:r>
      <w:r>
        <w:rPr/>
        <w:t>(8):</w:t>
      </w:r>
      <w:r>
        <w:rPr>
          <w:spacing w:val="2"/>
        </w:rPr>
        <w:t> </w:t>
      </w:r>
      <w:r>
        <w:rPr/>
        <w:t>704–12.</w:t>
      </w:r>
    </w:p>
    <w:p>
      <w:pPr>
        <w:pStyle w:val="BodyText"/>
        <w:spacing w:before="199"/>
        <w:ind w:left="820"/>
        <w:jc w:val="both"/>
      </w:pPr>
      <w:r>
        <w:rPr/>
        <w:t>Weisinger,</w:t>
      </w:r>
      <w:r>
        <w:rPr>
          <w:spacing w:val="-1"/>
        </w:rPr>
        <w:t> </w:t>
      </w:r>
      <w:r>
        <w:rPr/>
        <w:t>J.R.,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Bellorin-font,</w:t>
      </w:r>
      <w:r>
        <w:rPr>
          <w:spacing w:val="-4"/>
        </w:rPr>
        <w:t> </w:t>
      </w:r>
      <w:r>
        <w:rPr/>
        <w:t>E.</w:t>
      </w:r>
      <w:r>
        <w:rPr>
          <w:spacing w:val="-5"/>
        </w:rPr>
        <w:t> </w:t>
      </w:r>
      <w:r>
        <w:rPr/>
        <w:t>(1998).</w:t>
      </w:r>
      <w:r>
        <w:rPr>
          <w:spacing w:val="-1"/>
        </w:rPr>
        <w:t> </w:t>
      </w:r>
      <w:r>
        <w:rPr/>
        <w:t>Magnesium</w:t>
      </w:r>
      <w:r>
        <w:rPr>
          <w:spacing w:val="-11"/>
        </w:rPr>
        <w:t> </w:t>
      </w:r>
      <w:r>
        <w:rPr/>
        <w:t>and</w:t>
      </w:r>
      <w:r>
        <w:rPr>
          <w:spacing w:val="-3"/>
        </w:rPr>
        <w:t> </w:t>
      </w:r>
      <w:r>
        <w:rPr/>
        <w:t>Phosphorus.</w:t>
      </w:r>
      <w:r>
        <w:rPr>
          <w:spacing w:val="2"/>
        </w:rPr>
        <w:t> </w:t>
      </w:r>
      <w:r>
        <w:rPr>
          <w:i/>
        </w:rPr>
        <w:t>Lancet</w:t>
      </w:r>
      <w:r>
        <w:rPr/>
        <w:t>.</w:t>
      </w:r>
      <w:r>
        <w:rPr>
          <w:spacing w:val="-1"/>
        </w:rPr>
        <w:t> </w:t>
      </w:r>
      <w:r>
        <w:rPr/>
        <w:t>352:391–6.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7" w:lineRule="auto" w:before="1"/>
        <w:ind w:left="1540" w:right="1441" w:hanging="720"/>
        <w:jc w:val="both"/>
      </w:pPr>
      <w:r>
        <w:rPr/>
        <w:t>Wilber,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Tschulena,</w:t>
      </w:r>
      <w:r>
        <w:rPr>
          <w:spacing w:val="1"/>
        </w:rPr>
        <w:t> </w:t>
      </w:r>
      <w:r>
        <w:rPr/>
        <w:t>U.,</w:t>
      </w:r>
      <w:r>
        <w:rPr>
          <w:spacing w:val="1"/>
        </w:rPr>
        <w:t> </w:t>
      </w:r>
      <w:r>
        <w:rPr/>
        <w:t>Hargrove,</w:t>
      </w:r>
      <w:r>
        <w:rPr>
          <w:spacing w:val="1"/>
        </w:rPr>
        <w:t> </w:t>
      </w:r>
      <w:r>
        <w:rPr/>
        <w:t>P.W.,</w:t>
      </w:r>
      <w:r>
        <w:rPr>
          <w:spacing w:val="1"/>
        </w:rPr>
        <w:t> </w:t>
      </w:r>
      <w:r>
        <w:rPr/>
        <w:t>Kim,</w:t>
      </w:r>
      <w:r>
        <w:rPr>
          <w:spacing w:val="1"/>
        </w:rPr>
        <w:t> </w:t>
      </w:r>
      <w:r>
        <w:rPr/>
        <w:t>Y.S.,</w:t>
      </w:r>
      <w:r>
        <w:rPr>
          <w:spacing w:val="1"/>
        </w:rPr>
        <w:t> </w:t>
      </w:r>
      <w:r>
        <w:rPr/>
        <w:t>Persons,</w:t>
      </w:r>
      <w:r>
        <w:rPr>
          <w:spacing w:val="1"/>
        </w:rPr>
        <w:t> </w:t>
      </w:r>
      <w:r>
        <w:rPr/>
        <w:t>D.A.,</w:t>
      </w:r>
      <w:r>
        <w:rPr>
          <w:spacing w:val="1"/>
        </w:rPr>
        <w:t> </w:t>
      </w:r>
      <w:r>
        <w:rPr/>
        <w:t>Barbas,</w:t>
      </w:r>
      <w:r>
        <w:rPr>
          <w:spacing w:val="1"/>
        </w:rPr>
        <w:t> </w:t>
      </w:r>
      <w:r>
        <w:rPr/>
        <w:t>C.F.,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Nienhuis, A.W. (2010). A Zinc-finger Transcriptional Activator designed to interact with</w:t>
      </w:r>
      <w:r>
        <w:rPr>
          <w:spacing w:val="1"/>
        </w:rPr>
        <w:t> </w:t>
      </w:r>
      <w:r>
        <w:rPr/>
        <w:t>the Gamma-Globin Gene Promoters enhances Foetal Haemoglobin production in primary</w:t>
      </w:r>
      <w:r>
        <w:rPr>
          <w:spacing w:val="-57"/>
        </w:rPr>
        <w:t> </w:t>
      </w:r>
      <w:r>
        <w:rPr/>
        <w:t>Human</w:t>
      </w:r>
      <w:r>
        <w:rPr>
          <w:spacing w:val="-4"/>
        </w:rPr>
        <w:t> </w:t>
      </w:r>
      <w:r>
        <w:rPr/>
        <w:t>Erythroblasts.</w:t>
      </w:r>
      <w:r>
        <w:rPr>
          <w:spacing w:val="6"/>
        </w:rPr>
        <w:t> </w:t>
      </w:r>
      <w:r>
        <w:rPr>
          <w:i/>
        </w:rPr>
        <w:t>Blood</w:t>
      </w:r>
      <w:r>
        <w:rPr/>
        <w:t>.</w:t>
      </w:r>
      <w:r>
        <w:rPr>
          <w:spacing w:val="4"/>
        </w:rPr>
        <w:t> </w:t>
      </w:r>
      <w:r>
        <w:rPr/>
        <w:t>115(15):3033-41.</w:t>
      </w:r>
    </w:p>
    <w:p>
      <w:pPr>
        <w:spacing w:line="355" w:lineRule="auto" w:before="208"/>
        <w:ind w:left="1540" w:right="1444" w:hanging="720"/>
        <w:jc w:val="both"/>
        <w:rPr>
          <w:sz w:val="24"/>
        </w:rPr>
      </w:pPr>
      <w:r>
        <w:rPr>
          <w:sz w:val="24"/>
        </w:rPr>
        <w:t>World Health Report (2002). Reducing risks, promoting healthy life. </w:t>
      </w:r>
      <w:r>
        <w:rPr>
          <w:i/>
          <w:sz w:val="24"/>
        </w:rPr>
        <w:t>Geneva: World Health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Organization.</w:t>
      </w:r>
      <w:r>
        <w:rPr>
          <w:i/>
          <w:spacing w:val="5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June 7,</w:t>
      </w:r>
      <w:r>
        <w:rPr>
          <w:spacing w:val="3"/>
          <w:sz w:val="24"/>
        </w:rPr>
        <w:t> </w:t>
      </w:r>
      <w:r>
        <w:rPr>
          <w:sz w:val="24"/>
        </w:rPr>
        <w:t>2009</w:t>
      </w:r>
      <w:r>
        <w:rPr>
          <w:spacing w:val="2"/>
          <w:sz w:val="24"/>
        </w:rPr>
        <w:t> </w:t>
      </w:r>
      <w:r>
        <w:rPr>
          <w:sz w:val="24"/>
        </w:rPr>
        <w:t>from</w:t>
      </w:r>
      <w:r>
        <w:rPr>
          <w:spacing w:val="-8"/>
          <w:sz w:val="24"/>
        </w:rPr>
        <w:t> </w:t>
      </w:r>
      <w:r>
        <w:rPr>
          <w:sz w:val="24"/>
        </w:rPr>
        <w:t>(bulletin@who.int).</w:t>
      </w:r>
    </w:p>
    <w:p>
      <w:pPr>
        <w:pStyle w:val="BodyText"/>
        <w:spacing w:line="360" w:lineRule="auto" w:before="210"/>
        <w:ind w:left="1540" w:right="1445" w:hanging="720"/>
        <w:jc w:val="both"/>
      </w:pPr>
      <w:r>
        <w:rPr/>
        <w:t>World Health Organization. (2006). Fifty-Ninth World Health Assembly Provisional Agenda</w:t>
      </w:r>
      <w:r>
        <w:rPr>
          <w:spacing w:val="1"/>
        </w:rPr>
        <w:t> </w:t>
      </w:r>
      <w:r>
        <w:rPr/>
        <w:t>Item</w:t>
      </w:r>
      <w:r>
        <w:rPr>
          <w:spacing w:val="-9"/>
        </w:rPr>
        <w:t> </w:t>
      </w:r>
      <w:r>
        <w:rPr/>
        <w:t>11.4.</w:t>
      </w:r>
      <w:r>
        <w:rPr>
          <w:spacing w:val="-2"/>
        </w:rPr>
        <w:t> </w:t>
      </w:r>
      <w:r>
        <w:rPr/>
        <w:t>Sickle Cell</w:t>
      </w:r>
      <w:r>
        <w:rPr>
          <w:spacing w:val="1"/>
        </w:rPr>
        <w:t> </w:t>
      </w:r>
      <w:r>
        <w:rPr/>
        <w:t>Anaemia.</w:t>
      </w:r>
      <w:r>
        <w:rPr>
          <w:spacing w:val="2"/>
        </w:rPr>
        <w:t> </w:t>
      </w:r>
      <w:r>
        <w:rPr/>
        <w:t>Retrieved on</w:t>
      </w:r>
      <w:r>
        <w:rPr>
          <w:spacing w:val="-4"/>
        </w:rPr>
        <w:t> </w:t>
      </w:r>
      <w:r>
        <w:rPr/>
        <w:t>June</w:t>
      </w:r>
      <w:r>
        <w:rPr>
          <w:spacing w:val="7"/>
        </w:rPr>
        <w:t> </w:t>
      </w:r>
      <w:r>
        <w:rPr/>
        <w:t>7,</w:t>
      </w:r>
      <w:r>
        <w:rPr>
          <w:spacing w:val="-2"/>
        </w:rPr>
        <w:t> </w:t>
      </w:r>
      <w:r>
        <w:rPr/>
        <w:t>2009 from</w:t>
      </w:r>
      <w:r>
        <w:rPr>
          <w:spacing w:val="-8"/>
        </w:rPr>
        <w:t> </w:t>
      </w:r>
      <w:r>
        <w:rPr/>
        <w:t>(</w:t>
      </w:r>
      <w:r>
        <w:rPr>
          <w:color w:val="0000FF"/>
          <w:u w:val="single" w:color="0000FF"/>
        </w:rPr>
        <w:t>bulletin@who.int</w:t>
      </w:r>
      <w:r>
        <w:rPr/>
        <w:t>).</w:t>
      </w:r>
    </w:p>
    <w:p>
      <w:pPr>
        <w:pStyle w:val="BodyText"/>
        <w:spacing w:before="6"/>
        <w:rPr>
          <w:sz w:val="9"/>
        </w:rPr>
      </w:pPr>
    </w:p>
    <w:p>
      <w:pPr>
        <w:spacing w:line="360" w:lineRule="auto" w:before="90"/>
        <w:ind w:left="1540" w:right="1433" w:hanging="720"/>
        <w:jc w:val="left"/>
        <w:rPr>
          <w:sz w:val="24"/>
        </w:rPr>
      </w:pPr>
      <w:r>
        <w:rPr>
          <w:sz w:val="24"/>
        </w:rPr>
        <w:t>Xing,</w:t>
      </w:r>
      <w:r>
        <w:rPr>
          <w:spacing w:val="44"/>
          <w:sz w:val="24"/>
        </w:rPr>
        <w:t> </w:t>
      </w:r>
      <w:r>
        <w:rPr>
          <w:sz w:val="24"/>
        </w:rPr>
        <w:t>J.H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42"/>
          <w:sz w:val="24"/>
        </w:rPr>
        <w:t> </w:t>
      </w:r>
      <w:r>
        <w:rPr>
          <w:sz w:val="24"/>
        </w:rPr>
        <w:t>Soffer,</w:t>
      </w:r>
      <w:r>
        <w:rPr>
          <w:spacing w:val="45"/>
          <w:sz w:val="24"/>
        </w:rPr>
        <w:t> </w:t>
      </w:r>
      <w:r>
        <w:rPr>
          <w:sz w:val="24"/>
        </w:rPr>
        <w:t>E.E.</w:t>
      </w:r>
      <w:r>
        <w:rPr>
          <w:spacing w:val="44"/>
          <w:sz w:val="24"/>
        </w:rPr>
        <w:t> </w:t>
      </w:r>
      <w:r>
        <w:rPr>
          <w:sz w:val="24"/>
        </w:rPr>
        <w:t>(2001).</w:t>
      </w:r>
      <w:r>
        <w:rPr>
          <w:spacing w:val="44"/>
          <w:sz w:val="24"/>
        </w:rPr>
        <w:t> </w:t>
      </w:r>
      <w:r>
        <w:rPr>
          <w:sz w:val="24"/>
        </w:rPr>
        <w:t>Adverse</w:t>
      </w:r>
      <w:r>
        <w:rPr>
          <w:spacing w:val="42"/>
          <w:sz w:val="24"/>
        </w:rPr>
        <w:t> </w:t>
      </w:r>
      <w:r>
        <w:rPr>
          <w:sz w:val="24"/>
        </w:rPr>
        <w:t>effects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Laxatives.</w:t>
      </w:r>
      <w:r>
        <w:rPr>
          <w:spacing w:val="49"/>
          <w:sz w:val="24"/>
        </w:rPr>
        <w:t> </w:t>
      </w:r>
      <w:r>
        <w:rPr>
          <w:i/>
          <w:sz w:val="24"/>
        </w:rPr>
        <w:t>Diseases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Colon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Rectum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44:1201-9.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line="355" w:lineRule="auto" w:before="72"/>
        <w:ind w:left="1540" w:right="1442" w:hanging="720"/>
        <w:jc w:val="both"/>
      </w:pPr>
      <w:r>
        <w:rPr/>
        <w:t>Yale, S.H., Nagib, N. and Guthrie, T. (2000). Approach to the Vaso-occlusive Crisis in Adults</w:t>
      </w:r>
      <w:r>
        <w:rPr>
          <w:spacing w:val="1"/>
        </w:rPr>
        <w:t> </w:t>
      </w:r>
      <w:r>
        <w:rPr/>
        <w:t>with</w:t>
      </w:r>
      <w:r>
        <w:rPr>
          <w:spacing w:val="-5"/>
        </w:rPr>
        <w:t> </w:t>
      </w:r>
      <w:r>
        <w:rPr/>
        <w:t>Sickle Cell</w:t>
      </w:r>
      <w:r>
        <w:rPr>
          <w:spacing w:val="-3"/>
        </w:rPr>
        <w:t> </w:t>
      </w:r>
      <w:r>
        <w:rPr/>
        <w:t>Disease.</w:t>
      </w:r>
      <w:r>
        <w:rPr>
          <w:spacing w:val="4"/>
        </w:rPr>
        <w:t> </w:t>
      </w:r>
      <w:r>
        <w:rPr>
          <w:i/>
        </w:rPr>
        <w:t>American</w:t>
      </w:r>
      <w:r>
        <w:rPr>
          <w:i/>
          <w:spacing w:val="1"/>
        </w:rPr>
        <w:t> </w:t>
      </w:r>
      <w:r>
        <w:rPr>
          <w:i/>
        </w:rPr>
        <w:t>Family Physician.</w:t>
      </w:r>
      <w:r>
        <w:rPr>
          <w:i/>
          <w:spacing w:val="5"/>
        </w:rPr>
        <w:t> </w:t>
      </w:r>
      <w:r>
        <w:rPr/>
        <w:t>1;61(5):1349-1356.</w:t>
      </w:r>
    </w:p>
    <w:p>
      <w:pPr>
        <w:pStyle w:val="BodyText"/>
        <w:spacing w:line="355" w:lineRule="auto" w:before="210"/>
        <w:ind w:left="1540" w:right="1442" w:hanging="720"/>
        <w:jc w:val="both"/>
      </w:pPr>
      <w:r>
        <w:rPr/>
        <w:t>Young,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Borrel,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Holland,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Salama,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Nutrition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Emergencies.</w:t>
      </w:r>
      <w:r>
        <w:rPr>
          <w:spacing w:val="4"/>
        </w:rPr>
        <w:t> </w:t>
      </w:r>
      <w:r>
        <w:rPr>
          <w:i/>
        </w:rPr>
        <w:t>Lancet</w:t>
      </w:r>
      <w:r>
        <w:rPr>
          <w:i/>
          <w:spacing w:val="3"/>
        </w:rPr>
        <w:t> </w:t>
      </w:r>
      <w:r>
        <w:rPr/>
        <w:t>.</w:t>
      </w:r>
      <w:r>
        <w:rPr>
          <w:spacing w:val="4"/>
        </w:rPr>
        <w:t> </w:t>
      </w:r>
      <w:r>
        <w:rPr/>
        <w:t>364:1899-909.</w:t>
      </w:r>
    </w:p>
    <w:p>
      <w:pPr>
        <w:pStyle w:val="BodyText"/>
        <w:spacing w:line="360" w:lineRule="auto" w:before="210"/>
        <w:ind w:left="1540" w:right="1444" w:hanging="720"/>
        <w:jc w:val="both"/>
      </w:pPr>
      <w:r>
        <w:rPr/>
        <w:t>Zemel, B.S., Kawchak, D.A., Fung, E.B., Ohene-Frempong, K., and Stallings, V.A. (2002).</w:t>
      </w:r>
      <w:r>
        <w:rPr>
          <w:spacing w:val="1"/>
        </w:rPr>
        <w:t> </w:t>
      </w:r>
      <w:r>
        <w:rPr/>
        <w:t>Effect of Zinc Supplementation on growth and body composition in children with Sickle</w:t>
      </w:r>
      <w:r>
        <w:rPr>
          <w:spacing w:val="1"/>
        </w:rPr>
        <w:t> </w:t>
      </w:r>
      <w:r>
        <w:rPr/>
        <w:t>Cell</w:t>
      </w:r>
      <w:r>
        <w:rPr>
          <w:spacing w:val="-3"/>
        </w:rPr>
        <w:t> </w:t>
      </w:r>
      <w:r>
        <w:rPr/>
        <w:t>Disease.</w:t>
      </w:r>
      <w:r>
        <w:rPr>
          <w:spacing w:val="3"/>
        </w:rPr>
        <w:t> </w:t>
      </w:r>
      <w:r>
        <w:rPr>
          <w:i/>
        </w:rPr>
        <w:t>American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6"/>
        </w:rPr>
        <w:t> </w:t>
      </w:r>
      <w:r>
        <w:rPr>
          <w:i/>
        </w:rPr>
        <w:t>Clinical</w:t>
      </w:r>
      <w:r>
        <w:rPr>
          <w:i/>
          <w:spacing w:val="-3"/>
        </w:rPr>
        <w:t> </w:t>
      </w:r>
      <w:r>
        <w:rPr>
          <w:i/>
        </w:rPr>
        <w:t>Nutrition.</w:t>
      </w:r>
      <w:r>
        <w:rPr>
          <w:i/>
          <w:spacing w:val="7"/>
        </w:rPr>
        <w:t> </w:t>
      </w:r>
      <w:r>
        <w:rPr/>
        <w:t>75:300–307.</w:t>
      </w:r>
    </w:p>
    <w:p>
      <w:pPr>
        <w:pStyle w:val="BodyText"/>
        <w:spacing w:line="357" w:lineRule="auto" w:before="203"/>
        <w:ind w:left="1540" w:right="1440" w:hanging="720"/>
        <w:jc w:val="both"/>
      </w:pPr>
      <w:r>
        <w:rPr/>
        <w:t>Zinc Investigators' Collaborative Group (ZICG) (1999). Prevention of Diarrhea and Pneumonia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supplementation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Countries:</w:t>
      </w:r>
      <w:r>
        <w:rPr>
          <w:spacing w:val="1"/>
        </w:rPr>
        <w:t> </w:t>
      </w:r>
      <w:r>
        <w:rPr/>
        <w:t>pooled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randomized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trials.</w:t>
      </w:r>
      <w:r>
        <w:rPr>
          <w:spacing w:val="4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6"/>
        </w:rPr>
        <w:t> </w:t>
      </w:r>
      <w:r>
        <w:rPr>
          <w:i/>
        </w:rPr>
        <w:t>Pediatrics</w:t>
      </w:r>
      <w:r>
        <w:rPr/>
        <w:t>.135:</w:t>
      </w:r>
      <w:r>
        <w:rPr>
          <w:spacing w:val="1"/>
        </w:rPr>
        <w:t> </w:t>
      </w:r>
      <w:r>
        <w:rPr/>
        <w:t>689-697.</w:t>
      </w:r>
    </w:p>
    <w:p>
      <w:pPr>
        <w:spacing w:after="0" w:line="357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jc w:val="left"/>
      </w:pPr>
      <w:r>
        <w:rPr/>
        <w:t>APPENDIX</w:t>
      </w:r>
      <w:r>
        <w:rPr>
          <w:spacing w:val="-5"/>
        </w:rPr>
        <w:t> </w:t>
      </w:r>
      <w:r>
        <w:rPr/>
        <w:t>I:</w:t>
      </w:r>
      <w:r>
        <w:rPr>
          <w:spacing w:val="-3"/>
        </w:rPr>
        <w:t> </w:t>
      </w:r>
      <w:r>
        <w:rPr/>
        <w:t>ETHICAL</w:t>
      </w:r>
      <w:r>
        <w:rPr>
          <w:spacing w:val="-6"/>
        </w:rPr>
        <w:t> </w:t>
      </w:r>
      <w:r>
        <w:rPr/>
        <w:t>APPROVAL</w:t>
      </w:r>
    </w:p>
    <w:p>
      <w:pPr>
        <w:pStyle w:val="BodyText"/>
        <w:spacing w:before="3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929639</wp:posOffset>
            </wp:positionH>
            <wp:positionV relativeFrom="paragraph">
              <wp:posOffset>216518</wp:posOffset>
            </wp:positionV>
            <wp:extent cx="6074664" cy="7473696"/>
            <wp:effectExtent l="0" t="0" r="0" b="0"/>
            <wp:wrapTopAndBottom/>
            <wp:docPr id="17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4664" cy="7473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2240" w:h="15840"/>
          <w:pgMar w:header="0" w:footer="1017" w:top="1360" w:bottom="1200" w:left="620" w:right="0"/>
        </w:sectPr>
      </w:pPr>
    </w:p>
    <w:p>
      <w:pPr>
        <w:spacing w:before="72"/>
        <w:ind w:left="820" w:right="0" w:firstLine="0"/>
        <w:jc w:val="both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II: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Consent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/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Patients’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Form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57" w:lineRule="auto" w:before="1"/>
        <w:ind w:left="820" w:right="1439"/>
        <w:jc w:val="both"/>
      </w:pPr>
      <w:r>
        <w:rPr>
          <w:b/>
        </w:rPr>
        <w:t>Study Title: </w:t>
      </w:r>
      <w:r>
        <w:rPr/>
        <w:t>DRUG MANAGEMENT AND MICRONUTRIENT LEVELS IN SICKLE CELL</w:t>
      </w:r>
      <w:r>
        <w:rPr>
          <w:spacing w:val="1"/>
        </w:rPr>
        <w:t> </w:t>
      </w:r>
      <w:r>
        <w:rPr/>
        <w:t>ANAEMIA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(ABUTH),</w:t>
      </w:r>
      <w:r>
        <w:rPr>
          <w:spacing w:val="3"/>
        </w:rPr>
        <w:t> </w:t>
      </w:r>
      <w:r>
        <w:rPr/>
        <w:t>SHIKA.</w:t>
      </w:r>
    </w:p>
    <w:p>
      <w:pPr>
        <w:spacing w:before="201"/>
        <w:ind w:left="820" w:right="0" w:firstLine="0"/>
        <w:jc w:val="left"/>
        <w:rPr>
          <w:sz w:val="24"/>
        </w:rPr>
      </w:pPr>
      <w:r>
        <w:rPr>
          <w:b/>
          <w:sz w:val="24"/>
        </w:rPr>
        <w:t>Researcher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Olorukooba,</w:t>
      </w:r>
      <w:r>
        <w:rPr>
          <w:spacing w:val="-5"/>
          <w:sz w:val="24"/>
        </w:rPr>
        <w:t> </w:t>
      </w:r>
      <w:r>
        <w:rPr>
          <w:sz w:val="24"/>
        </w:rPr>
        <w:t>Bashirat</w:t>
      </w:r>
      <w:r>
        <w:rPr>
          <w:spacing w:val="-2"/>
          <w:sz w:val="24"/>
        </w:rPr>
        <w:t> </w:t>
      </w:r>
      <w:r>
        <w:rPr>
          <w:sz w:val="24"/>
        </w:rPr>
        <w:t>Abimbola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820"/>
      </w:pPr>
      <w:r>
        <w:rPr>
          <w:b/>
        </w:rPr>
        <w:t>Supervisors</w:t>
      </w:r>
      <w:r>
        <w:rPr/>
        <w:t>:</w:t>
      </w:r>
      <w:r>
        <w:rPr>
          <w:spacing w:val="-4"/>
        </w:rPr>
        <w:t> </w:t>
      </w:r>
      <w:r>
        <w:rPr/>
        <w:t>Dr.</w:t>
      </w:r>
      <w:r>
        <w:rPr>
          <w:spacing w:val="-2"/>
        </w:rPr>
        <w:t> </w:t>
      </w:r>
      <w:r>
        <w:rPr/>
        <w:t>A.U.</w:t>
      </w:r>
      <w:r>
        <w:rPr>
          <w:spacing w:val="-2"/>
        </w:rPr>
        <w:t> </w:t>
      </w:r>
      <w:r>
        <w:rPr/>
        <w:t>Zezi,</w:t>
      </w:r>
      <w:r>
        <w:rPr>
          <w:spacing w:val="-1"/>
        </w:rPr>
        <w:t> </w:t>
      </w:r>
      <w:r>
        <w:rPr/>
        <w:t>Dr.</w:t>
      </w:r>
      <w:r>
        <w:rPr>
          <w:spacing w:val="-2"/>
        </w:rPr>
        <w:t> </w:t>
      </w:r>
      <w:r>
        <w:rPr/>
        <w:t>(Mrs)</w:t>
      </w:r>
      <w:r>
        <w:rPr>
          <w:spacing w:val="-6"/>
        </w:rPr>
        <w:t> </w:t>
      </w:r>
      <w:r>
        <w:rPr/>
        <w:t>B.B.</w:t>
      </w:r>
      <w:r>
        <w:rPr>
          <w:spacing w:val="-2"/>
        </w:rPr>
        <w:t> </w:t>
      </w:r>
      <w:r>
        <w:rPr/>
        <w:t>Maiha,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Prof.</w:t>
      </w:r>
      <w:r>
        <w:rPr>
          <w:spacing w:val="-2"/>
        </w:rPr>
        <w:t> </w:t>
      </w:r>
      <w:r>
        <w:rPr/>
        <w:t>(Mrs)</w:t>
      </w:r>
      <w:r>
        <w:rPr>
          <w:spacing w:val="-3"/>
        </w:rPr>
        <w:t> </w:t>
      </w:r>
      <w:r>
        <w:rPr/>
        <w:t>A.I.</w:t>
      </w:r>
      <w:r>
        <w:rPr>
          <w:spacing w:val="-5"/>
        </w:rPr>
        <w:t> </w:t>
      </w:r>
      <w:r>
        <w:rPr/>
        <w:t>Mamman.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360" w:lineRule="auto"/>
        <w:ind w:left="820" w:right="1440"/>
        <w:jc w:val="both"/>
      </w:pPr>
      <w:r>
        <w:rPr>
          <w:b/>
        </w:rPr>
        <w:t>Summary</w:t>
      </w:r>
      <w:r>
        <w:rPr/>
        <w:t>: This research work titled ‘Drug Management and Micronutrient Levels in Patients</w:t>
      </w:r>
      <w:r>
        <w:rPr>
          <w:spacing w:val="1"/>
        </w:rPr>
        <w:t> </w:t>
      </w:r>
      <w:r>
        <w:rPr/>
        <w:t>with Sickle Cell Disease in ABUTH is being carried out by Olorukooba, Bashirat Abimbola;</w:t>
      </w:r>
      <w:r>
        <w:rPr>
          <w:spacing w:val="1"/>
        </w:rPr>
        <w:t> </w:t>
      </w:r>
      <w:r>
        <w:rPr/>
        <w:t>following approval from the Ethical Health Committee of Ahmadu Bello University Teaching</w:t>
      </w:r>
      <w:r>
        <w:rPr>
          <w:spacing w:val="1"/>
        </w:rPr>
        <w:t> </w:t>
      </w:r>
      <w:r>
        <w:rPr/>
        <w:t>Hospital, Shika. Plasma magnesium, zinc, copper, and iron levels in patients with Sickle Cell</w:t>
      </w:r>
      <w:r>
        <w:rPr>
          <w:spacing w:val="1"/>
        </w:rPr>
        <w:t> </w:t>
      </w:r>
      <w:r>
        <w:rPr/>
        <w:t>Disease has been shown to differ from that of normal population and may need correction. The</w:t>
      </w:r>
      <w:r>
        <w:rPr>
          <w:spacing w:val="1"/>
        </w:rPr>
        <w:t> </w:t>
      </w:r>
      <w:r>
        <w:rPr/>
        <w:t>purpose of the study is to determine the levels of magnesium, zinc, copper, and iron in patients</w:t>
      </w:r>
      <w:r>
        <w:rPr>
          <w:spacing w:val="1"/>
        </w:rPr>
        <w:t> </w:t>
      </w:r>
      <w:r>
        <w:rPr/>
        <w:t>with sickle cell disease with a view to contributing positively to the care of the patients; for this</w:t>
      </w:r>
      <w:r>
        <w:rPr>
          <w:spacing w:val="1"/>
        </w:rPr>
        <w:t> </w:t>
      </w:r>
      <w:r>
        <w:rPr/>
        <w:t>purpose, 5mls of blood will be required. All information obtained; either retrospectively or</w:t>
      </w:r>
      <w:r>
        <w:rPr>
          <w:spacing w:val="1"/>
        </w:rPr>
        <w:t> </w:t>
      </w:r>
      <w:r>
        <w:rPr/>
        <w:t>prospectively will be treated confidentially and be utilised</w:t>
      </w:r>
      <w:r>
        <w:rPr>
          <w:spacing w:val="1"/>
        </w:rPr>
        <w:t> </w:t>
      </w:r>
      <w:r>
        <w:rPr/>
        <w:t>in only scientific</w:t>
      </w:r>
      <w:r>
        <w:rPr>
          <w:spacing w:val="60"/>
        </w:rPr>
        <w:t> </w:t>
      </w:r>
      <w:r>
        <w:rPr/>
        <w:t>interactions. The</w:t>
      </w:r>
      <w:r>
        <w:rPr>
          <w:spacing w:val="1"/>
        </w:rPr>
        <w:t> </w:t>
      </w:r>
      <w:r>
        <w:rPr/>
        <w:t>data will be reported as a thesis for an MSc degree in Pharmacology. In case you need the results</w:t>
      </w:r>
      <w:r>
        <w:rPr>
          <w:spacing w:val="-57"/>
        </w:rPr>
        <w:t> </w:t>
      </w:r>
      <w:r>
        <w:rPr/>
        <w:t>they</w:t>
      </w:r>
      <w:r>
        <w:rPr>
          <w:spacing w:val="-9"/>
        </w:rPr>
        <w:t> </w:t>
      </w:r>
      <w:r>
        <w:rPr/>
        <w:t>will</w:t>
      </w:r>
      <w:r>
        <w:rPr>
          <w:spacing w:val="3"/>
        </w:rPr>
        <w:t> </w:t>
      </w:r>
      <w:r>
        <w:rPr/>
        <w:t>be</w:t>
      </w:r>
      <w:r>
        <w:rPr>
          <w:spacing w:val="1"/>
        </w:rPr>
        <w:t> </w:t>
      </w:r>
      <w:r>
        <w:rPr/>
        <w:t>given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you.</w:t>
      </w:r>
    </w:p>
    <w:p>
      <w:pPr>
        <w:pStyle w:val="Heading1"/>
        <w:spacing w:before="198"/>
        <w:jc w:val="left"/>
      </w:pPr>
      <w:r>
        <w:rPr/>
        <w:t>Risks: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ListParagraph"/>
        <w:numPr>
          <w:ilvl w:val="0"/>
          <w:numId w:val="35"/>
        </w:numPr>
        <w:tabs>
          <w:tab w:pos="1540" w:val="left" w:leader="none"/>
        </w:tabs>
        <w:spacing w:line="355" w:lineRule="auto" w:before="0" w:after="0"/>
        <w:ind w:left="1540" w:right="1443" w:hanging="360"/>
        <w:jc w:val="both"/>
        <w:rPr>
          <w:sz w:val="24"/>
        </w:rPr>
      </w:pPr>
      <w:r>
        <w:rPr>
          <w:sz w:val="24"/>
        </w:rPr>
        <w:t>The study involves collecting and storing</w:t>
      </w:r>
      <w:r>
        <w:rPr>
          <w:spacing w:val="1"/>
          <w:sz w:val="24"/>
        </w:rPr>
        <w:t> </w:t>
      </w:r>
      <w:r>
        <w:rPr>
          <w:sz w:val="24"/>
        </w:rPr>
        <w:t>medical information and</w:t>
      </w:r>
      <w:r>
        <w:rPr>
          <w:spacing w:val="1"/>
          <w:sz w:val="24"/>
        </w:rPr>
        <w:t> </w:t>
      </w:r>
      <w:r>
        <w:rPr>
          <w:sz w:val="24"/>
        </w:rPr>
        <w:t>blood samples,</w:t>
      </w:r>
      <w:r>
        <w:rPr>
          <w:spacing w:val="60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6"/>
          <w:sz w:val="24"/>
        </w:rPr>
        <w:t> </w:t>
      </w:r>
      <w:r>
        <w:rPr>
          <w:sz w:val="24"/>
        </w:rPr>
        <w:t>physical</w:t>
      </w:r>
      <w:r>
        <w:rPr>
          <w:spacing w:val="-2"/>
          <w:sz w:val="24"/>
        </w:rPr>
        <w:t> </w:t>
      </w:r>
      <w:r>
        <w:rPr>
          <w:sz w:val="24"/>
        </w:rPr>
        <w:t>risks to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patient.</w:t>
      </w:r>
    </w:p>
    <w:p>
      <w:pPr>
        <w:pStyle w:val="ListParagraph"/>
        <w:numPr>
          <w:ilvl w:val="0"/>
          <w:numId w:val="35"/>
        </w:numPr>
        <w:tabs>
          <w:tab w:pos="1539" w:val="left" w:leader="none"/>
          <w:tab w:pos="1540" w:val="left" w:leader="none"/>
        </w:tabs>
        <w:spacing w:line="240" w:lineRule="auto" w:before="2" w:after="0"/>
        <w:ind w:left="1540" w:right="0" w:hanging="360"/>
        <w:jc w:val="left"/>
        <w:rPr>
          <w:sz w:val="24"/>
        </w:rPr>
      </w:pPr>
      <w:r>
        <w:rPr>
          <w:sz w:val="24"/>
        </w:rPr>
        <w:t>All</w:t>
      </w:r>
      <w:r>
        <w:rPr>
          <w:spacing w:val="-7"/>
          <w:sz w:val="24"/>
        </w:rPr>
        <w:t> </w:t>
      </w:r>
      <w:r>
        <w:rPr>
          <w:sz w:val="24"/>
        </w:rPr>
        <w:t>information</w:t>
      </w:r>
      <w:r>
        <w:rPr>
          <w:spacing w:val="-8"/>
          <w:sz w:val="24"/>
        </w:rPr>
        <w:t> </w:t>
      </w:r>
      <w:r>
        <w:rPr>
          <w:sz w:val="24"/>
        </w:rPr>
        <w:t>obtained</w:t>
      </w:r>
      <w:r>
        <w:rPr>
          <w:spacing w:val="-3"/>
          <w:sz w:val="24"/>
        </w:rPr>
        <w:t> </w:t>
      </w:r>
      <w:r>
        <w:rPr>
          <w:sz w:val="24"/>
        </w:rPr>
        <w:t>will</w:t>
      </w:r>
      <w:r>
        <w:rPr>
          <w:spacing w:val="-3"/>
          <w:sz w:val="24"/>
        </w:rPr>
        <w:t> </w:t>
      </w:r>
      <w:r>
        <w:rPr>
          <w:sz w:val="24"/>
        </w:rPr>
        <w:t>be</w:t>
      </w:r>
      <w:r>
        <w:rPr>
          <w:spacing w:val="-4"/>
          <w:sz w:val="24"/>
        </w:rPr>
        <w:t> </w:t>
      </w:r>
      <w:r>
        <w:rPr>
          <w:sz w:val="24"/>
        </w:rPr>
        <w:t>treated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8"/>
          <w:sz w:val="24"/>
        </w:rPr>
        <w:t> </w:t>
      </w:r>
      <w:r>
        <w:rPr>
          <w:sz w:val="24"/>
        </w:rPr>
        <w:t>utmost</w:t>
      </w:r>
      <w:r>
        <w:rPr>
          <w:spacing w:val="2"/>
          <w:sz w:val="24"/>
        </w:rPr>
        <w:t> </w:t>
      </w:r>
      <w:r>
        <w:rPr>
          <w:sz w:val="24"/>
        </w:rPr>
        <w:t>confidentiality.</w:t>
      </w:r>
    </w:p>
    <w:p>
      <w:pPr>
        <w:pStyle w:val="BodyText"/>
        <w:rPr>
          <w:sz w:val="28"/>
        </w:rPr>
      </w:pPr>
    </w:p>
    <w:p>
      <w:pPr>
        <w:pStyle w:val="Heading1"/>
        <w:spacing w:before="236"/>
        <w:jc w:val="left"/>
      </w:pPr>
      <w:r>
        <w:rPr/>
        <w:t>Benefits: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ListParagraph"/>
        <w:numPr>
          <w:ilvl w:val="0"/>
          <w:numId w:val="35"/>
        </w:numPr>
        <w:tabs>
          <w:tab w:pos="1540" w:val="left" w:leader="none"/>
        </w:tabs>
        <w:spacing w:line="360" w:lineRule="auto" w:before="0" w:after="0"/>
        <w:ind w:left="1540" w:right="1443" w:hanging="360"/>
        <w:jc w:val="both"/>
        <w:rPr>
          <w:sz w:val="24"/>
        </w:rPr>
      </w:pPr>
      <w:r>
        <w:rPr>
          <w:sz w:val="24"/>
        </w:rPr>
        <w:t>The information obtained from the research of medical information and blood samples</w:t>
      </w:r>
      <w:r>
        <w:rPr>
          <w:spacing w:val="1"/>
          <w:sz w:val="24"/>
        </w:rPr>
        <w:t> </w:t>
      </w:r>
      <w:r>
        <w:rPr>
          <w:sz w:val="24"/>
        </w:rPr>
        <w:t>may be useful in the care of the study population as well as in other sickle cell disease</w:t>
      </w:r>
      <w:r>
        <w:rPr>
          <w:spacing w:val="1"/>
          <w:sz w:val="24"/>
        </w:rPr>
        <w:t> </w:t>
      </w:r>
      <w:r>
        <w:rPr>
          <w:sz w:val="24"/>
        </w:rPr>
        <w:t>patients.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017" w:top="1360" w:bottom="1200" w:left="620" w:right="0"/>
        </w:sectPr>
      </w:pPr>
    </w:p>
    <w:p>
      <w:pPr>
        <w:pStyle w:val="BodyText"/>
        <w:spacing w:before="67"/>
        <w:ind w:left="820"/>
      </w:pPr>
      <w:r>
        <w:rPr/>
        <w:t>If</w:t>
      </w:r>
      <w:r>
        <w:rPr>
          <w:spacing w:val="-6"/>
        </w:rPr>
        <w:t> </w:t>
      </w:r>
      <w:r>
        <w:rPr/>
        <w:t>you</w:t>
      </w:r>
      <w:r>
        <w:rPr>
          <w:spacing w:val="-2"/>
        </w:rPr>
        <w:t> </w:t>
      </w:r>
      <w:r>
        <w:rPr/>
        <w:t>decide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participate</w:t>
      </w:r>
      <w:r>
        <w:rPr>
          <w:spacing w:val="2"/>
        </w:rPr>
        <w:t> </w:t>
      </w: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-5"/>
        </w:rPr>
        <w:t> </w:t>
      </w:r>
      <w:r>
        <w:rPr/>
        <w:t>research, fill</w:t>
      </w:r>
      <w:r>
        <w:rPr>
          <w:spacing w:val="-11"/>
        </w:rPr>
        <w:t> </w:t>
      </w:r>
      <w:r>
        <w:rPr/>
        <w:t>the</w:t>
      </w:r>
      <w:r>
        <w:rPr>
          <w:spacing w:val="-3"/>
        </w:rPr>
        <w:t> </w:t>
      </w:r>
      <w:r>
        <w:rPr/>
        <w:t>consent</w:t>
      </w:r>
      <w:r>
        <w:rPr>
          <w:spacing w:val="2"/>
        </w:rPr>
        <w:t> </w:t>
      </w:r>
      <w:r>
        <w:rPr/>
        <w:t>form</w:t>
      </w:r>
      <w:r>
        <w:rPr>
          <w:spacing w:val="-6"/>
        </w:rPr>
        <w:t> </w:t>
      </w:r>
      <w:r>
        <w:rPr/>
        <w:t>below.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  <w:spacing w:before="1"/>
        <w:jc w:val="left"/>
      </w:pPr>
      <w:r>
        <w:rPr/>
        <w:t>Consent</w:t>
      </w:r>
      <w:r>
        <w:rPr>
          <w:spacing w:val="-3"/>
        </w:rPr>
        <w:t> </w:t>
      </w:r>
      <w:r>
        <w:rPr/>
        <w:t>Form: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5"/>
        </w:rPr>
      </w:pPr>
      <w:r>
        <w:rPr/>
        <w:pict>
          <v:shape style="position:absolute;margin-left:72pt;margin-top:11.275382pt;width:227.85pt;height:.1pt;mso-position-horizontal-relative:page;mso-position-vertical-relative:paragraph;z-index:-15691776;mso-wrap-distance-left:0;mso-wrap-distance-right:0" coordorigin="1440,226" coordsize="4557,0" path="m1440,226l3955,226m3960,226l5996,226e" filled="false" stroked="true" strokeweight=".754564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96pt;margin-top:11.275382pt;width:143.75pt;height:.1pt;mso-position-horizontal-relative:page;mso-position-vertical-relative:paragraph;z-index:-15691264;mso-wrap-distance-left:0;mso-wrap-distance-right:0" coordorigin="7920,226" coordsize="2875,0" path="m7920,226l10795,226e" filled="false" stroked="true" strokeweight=".754564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b/>
          <w:sz w:val="18"/>
        </w:rPr>
      </w:pPr>
    </w:p>
    <w:p>
      <w:pPr>
        <w:pStyle w:val="BodyText"/>
        <w:tabs>
          <w:tab w:pos="5660" w:val="left" w:leader="none"/>
        </w:tabs>
        <w:spacing w:before="90"/>
        <w:ind w:left="78"/>
        <w:jc w:val="center"/>
      </w:pPr>
      <w:r>
        <w:rPr/>
        <w:t>Name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patient</w:t>
        <w:tab/>
        <w:t>Hospital</w:t>
      </w:r>
      <w:r>
        <w:rPr>
          <w:spacing w:val="-11"/>
        </w:rPr>
        <w:t> </w:t>
      </w:r>
      <w:r>
        <w:rPr/>
        <w:t>number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820" w:right="1434"/>
        <w:jc w:val="both"/>
      </w:pPr>
      <w:r>
        <w:rPr/>
        <w:t>I have read/have been read to/ translated to and understood the information for the research on</w:t>
      </w:r>
      <w:r>
        <w:rPr>
          <w:spacing w:val="1"/>
        </w:rPr>
        <w:t> </w:t>
      </w:r>
      <w:r>
        <w:rPr/>
        <w:t>Drug Management and Micronutrient Levels in Sickle Cell Disease Patients in ABUTH by</w:t>
      </w:r>
      <w:r>
        <w:rPr>
          <w:spacing w:val="1"/>
        </w:rPr>
        <w:t> </w:t>
      </w:r>
      <w:r>
        <w:rPr/>
        <w:t>Olorukooba Bashirat Abimbola. I agree to allow my medical information and</w:t>
      </w:r>
      <w:r>
        <w:rPr>
          <w:spacing w:val="60"/>
        </w:rPr>
        <w:t> </w:t>
      </w:r>
      <w:r>
        <w:rPr/>
        <w:t>blood samples to</w:t>
      </w:r>
      <w:r>
        <w:rPr>
          <w:spacing w:val="1"/>
        </w:rPr>
        <w:t> </w:t>
      </w:r>
      <w:r>
        <w:rPr/>
        <w:t>be used</w:t>
      </w:r>
      <w:r>
        <w:rPr>
          <w:spacing w:val="7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  <w:r>
        <w:rPr/>
        <w:pict>
          <v:shape style="position:absolute;margin-left:72pt;margin-top:11.914208pt;width:149.75pt;height:.1pt;mso-position-horizontal-relative:page;mso-position-vertical-relative:paragraph;z-index:-15690752;mso-wrap-distance-left:0;mso-wrap-distance-right:0" coordorigin="1440,238" coordsize="2995,0" path="m1440,238l4434,238e" filled="false" stroked="true" strokeweight=".47908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24pt;margin-top:11.914208pt;width:101.85pt;height:.1pt;mso-position-horizontal-relative:page;mso-position-vertical-relative:paragraph;z-index:-15690240;mso-wrap-distance-left:0;mso-wrap-distance-right:0" coordorigin="6480,238" coordsize="2037,0" path="m6480,238l8516,238e" filled="false" stroked="true" strokeweight=".47908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tabs>
          <w:tab w:pos="6642" w:val="left" w:leader="none"/>
        </w:tabs>
        <w:spacing w:before="90"/>
        <w:ind w:left="1540"/>
      </w:pPr>
      <w:r>
        <w:rPr/>
        <w:t>Signature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patient</w:t>
        <w:tab/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0"/>
        </w:rPr>
      </w:pPr>
    </w:p>
    <w:p>
      <w:pPr>
        <w:pStyle w:val="BodyText"/>
        <w:tabs>
          <w:tab w:pos="10173" w:val="left" w:leader="none"/>
        </w:tabs>
        <w:spacing w:before="1"/>
        <w:ind w:left="820"/>
      </w:pPr>
      <w:r>
        <w:rPr/>
        <w:t>Contact</w:t>
      </w:r>
      <w:r>
        <w:rPr>
          <w:spacing w:val="1"/>
        </w:rPr>
        <w:t> </w:t>
      </w:r>
      <w:r>
        <w:rPr/>
        <w:t>information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patient</w:t>
      </w:r>
      <w:r>
        <w:rPr>
          <w:spacing w:val="1"/>
        </w:rPr>
        <w:t> </w:t>
      </w:r>
      <w:r>
        <w:rPr/>
        <w:t>(Address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phone</w:t>
      </w:r>
      <w:r>
        <w:rPr>
          <w:spacing w:val="1"/>
        </w:rPr>
        <w:t> </w:t>
      </w:r>
      <w:r>
        <w:rPr/>
        <w:t>number)</w:t>
      </w:r>
      <w:r>
        <w:rPr>
          <w:spacing w:val="3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  <w:r>
        <w:rPr/>
        <w:pict>
          <v:shape style="position:absolute;margin-left:72pt;margin-top:18.963257pt;width:467.15pt;height:.1pt;mso-position-horizontal-relative:page;mso-position-vertical-relative:paragraph;z-index:-15689728;mso-wrap-distance-left:0;mso-wrap-distance-right:0" coordorigin="1440,379" coordsize="9343,0" path="m1440,379l10782,379e" filled="false" stroked="true" strokeweight=".47908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pict>
          <v:shape style="position:absolute;margin-left:72pt;margin-top:12.72099pt;width:449.15pt;height:.1pt;mso-position-horizontal-relative:page;mso-position-vertical-relative:paragraph;z-index:-15689216;mso-wrap-distance-left:0;mso-wrap-distance-right:0" coordorigin="1440,254" coordsize="8983,0" path="m1440,254l10423,254e" filled="false" stroked="true" strokeweight=".47908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  <w:r>
        <w:rPr/>
        <w:pict>
          <v:shape style="position:absolute;margin-left:72pt;margin-top:17.280972pt;width:155.75pt;height:.1pt;mso-position-horizontal-relative:page;mso-position-vertical-relative:paragraph;z-index:-15688704;mso-wrap-distance-left:0;mso-wrap-distance-right:0" coordorigin="1440,346" coordsize="3115,0" path="m1440,346l4554,346e" filled="false" stroked="true" strokeweight=".47908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88pt;margin-top:17.280972pt;width:95.85pt;height:.1pt;mso-position-horizontal-relative:page;mso-position-vertical-relative:paragraph;z-index:-15688192;mso-wrap-distance-left:0;mso-wrap-distance-right:0" coordorigin="5760,346" coordsize="1917,0" path="m5760,346l7676,346e" filled="false" stroked="true" strokeweight=".47908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29.119995pt;margin-top:17.280972pt;width:101.85pt;height:.1pt;mso-position-horizontal-relative:page;mso-position-vertical-relative:paragraph;z-index:-15687680;mso-wrap-distance-left:0;mso-wrap-distance-right:0" coordorigin="8582,346" coordsize="2037,0" path="m8582,346l10619,346e" filled="false" stroked="true" strokeweight=".47908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tabs>
          <w:tab w:pos="4365" w:val="left" w:leader="none"/>
          <w:tab w:pos="6438" w:val="left" w:leader="none"/>
        </w:tabs>
        <w:spacing w:before="90"/>
        <w:ind w:left="45"/>
        <w:jc w:val="center"/>
      </w:pPr>
      <w:r>
        <w:rPr/>
        <w:t>Name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witness</w:t>
        <w:tab/>
        <w:t>Date</w:t>
        <w:tab/>
        <w:t>Signature/Thumb</w:t>
      </w:r>
      <w:r>
        <w:rPr>
          <w:spacing w:val="-9"/>
        </w:rPr>
        <w:t> </w:t>
      </w:r>
      <w:r>
        <w:rPr/>
        <w:t>print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  <w:r>
        <w:rPr/>
        <w:pict>
          <v:shape style="position:absolute;margin-left:72pt;margin-top:18.968079pt;width:155.75pt;height:.1pt;mso-position-horizontal-relative:page;mso-position-vertical-relative:paragraph;z-index:-15687168;mso-wrap-distance-left:0;mso-wrap-distance-right:0" coordorigin="1440,379" coordsize="3115,0" path="m1440,379l4554,379e" filled="false" stroked="true" strokeweight=".47908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88pt;margin-top:18.968079pt;width:95.85pt;height:.1pt;mso-position-horizontal-relative:page;mso-position-vertical-relative:paragraph;z-index:-15686656;mso-wrap-distance-left:0;mso-wrap-distance-right:0" coordorigin="5760,379" coordsize="1917,0" path="m5760,379l7676,379e" filled="false" stroked="true" strokeweight=".47908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32pt;margin-top:18.968079pt;width:101.85pt;height:.1pt;mso-position-horizontal-relative:page;mso-position-vertical-relative:paragraph;z-index:-15686144;mso-wrap-distance-left:0;mso-wrap-distance-right:0" coordorigin="8640,379" coordsize="2037,0" path="m8640,379l10676,379e" filled="false" stroked="true" strokeweight=".47908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tabs>
          <w:tab w:pos="5922" w:val="left" w:leader="none"/>
          <w:tab w:pos="8658" w:val="left" w:leader="none"/>
        </w:tabs>
        <w:spacing w:before="90"/>
        <w:ind w:left="1482"/>
      </w:pPr>
      <w:r>
        <w:rPr/>
        <w:t>Name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researcher</w:t>
        <w:tab/>
        <w:t>Date</w:t>
        <w:tab/>
        <w:t>Signature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5" w:lineRule="auto"/>
        <w:ind w:left="820" w:right="1433"/>
      </w:pPr>
      <w:r>
        <w:rPr/>
        <w:t>Contact</w:t>
      </w:r>
      <w:r>
        <w:rPr>
          <w:spacing w:val="33"/>
        </w:rPr>
        <w:t> </w:t>
      </w:r>
      <w:r>
        <w:rPr/>
        <w:t>information</w:t>
      </w:r>
      <w:r>
        <w:rPr>
          <w:spacing w:val="19"/>
        </w:rPr>
        <w:t> </w:t>
      </w:r>
      <w:r>
        <w:rPr/>
        <w:t>of</w:t>
      </w:r>
      <w:r>
        <w:rPr>
          <w:spacing w:val="21"/>
        </w:rPr>
        <w:t> </w:t>
      </w:r>
      <w:r>
        <w:rPr/>
        <w:t>researcher</w:t>
      </w:r>
      <w:r>
        <w:rPr>
          <w:spacing w:val="24"/>
        </w:rPr>
        <w:t> </w:t>
      </w:r>
      <w:r>
        <w:rPr/>
        <w:t>(Address</w:t>
      </w:r>
      <w:r>
        <w:rPr>
          <w:spacing w:val="22"/>
        </w:rPr>
        <w:t> </w:t>
      </w:r>
      <w:r>
        <w:rPr/>
        <w:t>and</w:t>
      </w:r>
      <w:r>
        <w:rPr>
          <w:spacing w:val="33"/>
        </w:rPr>
        <w:t> </w:t>
      </w:r>
      <w:r>
        <w:rPr/>
        <w:t>phone</w:t>
      </w:r>
      <w:r>
        <w:rPr>
          <w:spacing w:val="31"/>
        </w:rPr>
        <w:t> </w:t>
      </w:r>
      <w:r>
        <w:rPr/>
        <w:t>number):</w:t>
      </w:r>
      <w:r>
        <w:rPr>
          <w:spacing w:val="24"/>
        </w:rPr>
        <w:t> </w:t>
      </w:r>
      <w:r>
        <w:rPr/>
        <w:t>No</w:t>
      </w:r>
      <w:r>
        <w:rPr>
          <w:spacing w:val="27"/>
        </w:rPr>
        <w:t> </w:t>
      </w:r>
      <w:r>
        <w:rPr/>
        <w:t>28</w:t>
      </w:r>
      <w:r>
        <w:rPr>
          <w:spacing w:val="24"/>
        </w:rPr>
        <w:t> </w:t>
      </w:r>
      <w:r>
        <w:rPr/>
        <w:t>Queen</w:t>
      </w:r>
      <w:r>
        <w:rPr>
          <w:spacing w:val="19"/>
        </w:rPr>
        <w:t> </w:t>
      </w:r>
      <w:r>
        <w:rPr/>
        <w:t>Elizabeth</w:t>
      </w:r>
      <w:r>
        <w:rPr>
          <w:spacing w:val="19"/>
        </w:rPr>
        <w:t> </w:t>
      </w:r>
      <w:r>
        <w:rPr/>
        <w:t>road,</w:t>
      </w:r>
      <w:r>
        <w:rPr>
          <w:spacing w:val="-57"/>
        </w:rPr>
        <w:t> </w:t>
      </w:r>
      <w:r>
        <w:rPr/>
        <w:t>G.R.A.,</w:t>
      </w:r>
      <w:r>
        <w:rPr>
          <w:spacing w:val="3"/>
        </w:rPr>
        <w:t> </w:t>
      </w:r>
      <w:r>
        <w:rPr/>
        <w:t>Zaria.</w:t>
      </w:r>
      <w:r>
        <w:rPr>
          <w:spacing w:val="4"/>
        </w:rPr>
        <w:t> </w:t>
      </w:r>
      <w:r>
        <w:rPr/>
        <w:t>08054584128</w:t>
      </w:r>
    </w:p>
    <w:p>
      <w:pPr>
        <w:spacing w:after="0" w:line="355" w:lineRule="auto"/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spacing w:line="535" w:lineRule="auto"/>
        <w:ind w:right="8698"/>
        <w:jc w:val="left"/>
      </w:pPr>
      <w:r>
        <w:rPr/>
        <w:t>Patients’</w:t>
      </w:r>
      <w:r>
        <w:rPr>
          <w:spacing w:val="-5"/>
        </w:rPr>
        <w:t> </w:t>
      </w:r>
      <w:r>
        <w:rPr/>
        <w:t>Data</w:t>
      </w:r>
      <w:r>
        <w:rPr>
          <w:spacing w:val="-6"/>
        </w:rPr>
        <w:t> </w:t>
      </w:r>
      <w:r>
        <w:rPr/>
        <w:t>Form</w:t>
      </w:r>
      <w:r>
        <w:rPr>
          <w:spacing w:val="-57"/>
        </w:rPr>
        <w:t> </w:t>
      </w:r>
      <w:r>
        <w:rPr/>
        <w:t>Personal</w:t>
      </w:r>
      <w:r>
        <w:rPr>
          <w:spacing w:val="-3"/>
        </w:rPr>
        <w:t> </w:t>
      </w:r>
      <w:r>
        <w:rPr/>
        <w:t>Data</w:t>
      </w:r>
    </w:p>
    <w:p>
      <w:pPr>
        <w:pStyle w:val="ListParagraph"/>
        <w:numPr>
          <w:ilvl w:val="2"/>
          <w:numId w:val="34"/>
        </w:numPr>
        <w:tabs>
          <w:tab w:pos="1540" w:val="left" w:leader="none"/>
          <w:tab w:pos="7383" w:val="left" w:leader="none"/>
        </w:tabs>
        <w:spacing w:line="274" w:lineRule="exact" w:before="0" w:after="0"/>
        <w:ind w:left="1540" w:right="0" w:hanging="360"/>
        <w:jc w:val="left"/>
        <w:rPr>
          <w:sz w:val="24"/>
        </w:rPr>
      </w:pPr>
      <w:r>
        <w:rPr>
          <w:sz w:val="24"/>
        </w:rPr>
        <w:t>Name: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2"/>
          <w:numId w:val="34"/>
        </w:numPr>
        <w:tabs>
          <w:tab w:pos="1540" w:val="left" w:leader="none"/>
          <w:tab w:pos="4136" w:val="left" w:leader="none"/>
        </w:tabs>
        <w:spacing w:line="240" w:lineRule="auto" w:before="136" w:after="0"/>
        <w:ind w:left="1540" w:right="0" w:hanging="360"/>
        <w:jc w:val="left"/>
        <w:rPr>
          <w:sz w:val="24"/>
        </w:rPr>
      </w:pPr>
      <w:r>
        <w:rPr>
          <w:sz w:val="24"/>
        </w:rPr>
        <w:t>Unit</w:t>
      </w:r>
      <w:r>
        <w:rPr>
          <w:spacing w:val="-2"/>
          <w:sz w:val="24"/>
        </w:rPr>
        <w:t> </w:t>
      </w:r>
      <w:r>
        <w:rPr>
          <w:sz w:val="24"/>
        </w:rPr>
        <w:t>number:</w:t>
      </w:r>
      <w:r>
        <w:rPr>
          <w:spacing w:val="3"/>
          <w:sz w:val="24"/>
        </w:rPr>
        <w:t> </w:t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ListParagraph"/>
        <w:numPr>
          <w:ilvl w:val="2"/>
          <w:numId w:val="34"/>
        </w:numPr>
        <w:tabs>
          <w:tab w:pos="1540" w:val="left" w:leader="none"/>
          <w:tab w:pos="3277" w:val="left" w:leader="none"/>
        </w:tabs>
        <w:spacing w:line="240" w:lineRule="auto" w:before="137" w:after="0"/>
        <w:ind w:left="1540" w:right="0" w:hanging="360"/>
        <w:jc w:val="left"/>
        <w:rPr>
          <w:sz w:val="24"/>
        </w:rPr>
      </w:pPr>
      <w:r>
        <w:rPr>
          <w:sz w:val="24"/>
        </w:rPr>
        <w:t>Sex:</w:t>
      </w:r>
      <w:r>
        <w:rPr>
          <w:spacing w:val="2"/>
          <w:sz w:val="24"/>
        </w:rPr>
        <w:t> </w:t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ListParagraph"/>
        <w:numPr>
          <w:ilvl w:val="2"/>
          <w:numId w:val="34"/>
        </w:numPr>
        <w:tabs>
          <w:tab w:pos="1540" w:val="left" w:leader="none"/>
          <w:tab w:pos="4044" w:val="left" w:leader="none"/>
        </w:tabs>
        <w:spacing w:line="240" w:lineRule="auto" w:before="142" w:after="0"/>
        <w:ind w:left="1540" w:right="0" w:hanging="360"/>
        <w:jc w:val="left"/>
        <w:rPr>
          <w:sz w:val="24"/>
        </w:rPr>
      </w:pPr>
      <w:r>
        <w:rPr>
          <w:sz w:val="24"/>
        </w:rPr>
        <w:t>Age</w:t>
      </w:r>
      <w:r>
        <w:rPr>
          <w:spacing w:val="-3"/>
          <w:sz w:val="24"/>
        </w:rPr>
        <w:t> </w:t>
      </w:r>
      <w:r>
        <w:rPr>
          <w:sz w:val="24"/>
        </w:rPr>
        <w:t>(years):</w:t>
      </w:r>
      <w:r>
        <w:rPr>
          <w:spacing w:val="2"/>
          <w:sz w:val="24"/>
        </w:rPr>
        <w:t> </w:t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ListParagraph"/>
        <w:numPr>
          <w:ilvl w:val="2"/>
          <w:numId w:val="34"/>
        </w:numPr>
        <w:tabs>
          <w:tab w:pos="1540" w:val="left" w:leader="none"/>
          <w:tab w:pos="3962" w:val="left" w:leader="none"/>
        </w:tabs>
        <w:spacing w:line="240" w:lineRule="auto" w:before="137" w:after="0"/>
        <w:ind w:left="1540" w:right="0" w:hanging="360"/>
        <w:jc w:val="left"/>
        <w:rPr>
          <w:sz w:val="24"/>
        </w:rPr>
      </w:pPr>
      <w:r>
        <w:rPr>
          <w:sz w:val="24"/>
        </w:rPr>
        <w:t>Weight</w:t>
      </w:r>
      <w:r>
        <w:rPr>
          <w:spacing w:val="2"/>
          <w:sz w:val="24"/>
        </w:rPr>
        <w:t> </w:t>
      </w:r>
      <w:r>
        <w:rPr>
          <w:sz w:val="24"/>
        </w:rPr>
        <w:t>(Kg)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2"/>
          <w:sz w:val="24"/>
        </w:rPr>
        <w:t> </w:t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ListParagraph"/>
        <w:numPr>
          <w:ilvl w:val="2"/>
          <w:numId w:val="34"/>
        </w:numPr>
        <w:tabs>
          <w:tab w:pos="1540" w:val="left" w:leader="none"/>
          <w:tab w:pos="3799" w:val="left" w:leader="none"/>
        </w:tabs>
        <w:spacing w:line="240" w:lineRule="auto" w:before="137" w:after="0"/>
        <w:ind w:left="1540" w:right="0" w:hanging="360"/>
        <w:jc w:val="left"/>
        <w:rPr>
          <w:sz w:val="24"/>
        </w:rPr>
      </w:pPr>
      <w:r>
        <w:rPr>
          <w:sz w:val="24"/>
        </w:rPr>
        <w:t>Height</w:t>
      </w:r>
      <w:r>
        <w:rPr>
          <w:spacing w:val="1"/>
          <w:sz w:val="24"/>
        </w:rPr>
        <w:t> </w:t>
      </w:r>
      <w:r>
        <w:rPr>
          <w:sz w:val="24"/>
        </w:rPr>
        <w:t>(m)</w:t>
      </w:r>
      <w:r>
        <w:rPr>
          <w:spacing w:val="-3"/>
          <w:sz w:val="24"/>
        </w:rPr>
        <w:t> </w:t>
      </w:r>
      <w:r>
        <w:rPr>
          <w:sz w:val="24"/>
        </w:rPr>
        <w:t>:</w:t>
      </w:r>
      <w:r>
        <w:rPr>
          <w:spacing w:val="2"/>
          <w:sz w:val="24"/>
        </w:rPr>
        <w:t> </w:t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ListParagraph"/>
        <w:numPr>
          <w:ilvl w:val="2"/>
          <w:numId w:val="34"/>
        </w:numPr>
        <w:tabs>
          <w:tab w:pos="1540" w:val="left" w:leader="none"/>
        </w:tabs>
        <w:spacing w:line="240" w:lineRule="auto" w:before="136" w:after="0"/>
        <w:ind w:left="1540" w:right="0" w:hanging="360"/>
        <w:jc w:val="left"/>
        <w:rPr>
          <w:sz w:val="24"/>
        </w:rPr>
      </w:pPr>
      <w:r>
        <w:rPr>
          <w:sz w:val="24"/>
        </w:rPr>
        <w:t>Marital</w:t>
      </w:r>
      <w:r>
        <w:rPr>
          <w:spacing w:val="-9"/>
          <w:sz w:val="24"/>
        </w:rPr>
        <w:t> </w:t>
      </w:r>
      <w:r>
        <w:rPr>
          <w:sz w:val="24"/>
        </w:rPr>
        <w:t>status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4"/>
          <w:sz w:val="24"/>
        </w:rPr>
        <w:t> </w:t>
      </w:r>
      <w:r>
        <w:rPr>
          <w:sz w:val="24"/>
        </w:rPr>
        <w:t>Single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spacing w:val="3"/>
          <w:sz w:val="24"/>
        </w:rPr>
        <w:t> </w:t>
      </w:r>
      <w:r>
        <w:rPr>
          <w:sz w:val="24"/>
        </w:rPr>
        <w:t>),</w:t>
      </w:r>
      <w:r>
        <w:rPr>
          <w:spacing w:val="3"/>
          <w:sz w:val="24"/>
        </w:rPr>
        <w:t> </w:t>
      </w:r>
      <w:r>
        <w:rPr>
          <w:sz w:val="24"/>
        </w:rPr>
        <w:t>Married (</w:t>
      </w:r>
      <w:r>
        <w:rPr>
          <w:spacing w:val="62"/>
          <w:sz w:val="24"/>
        </w:rPr>
        <w:t> </w:t>
      </w:r>
      <w:r>
        <w:rPr>
          <w:sz w:val="24"/>
        </w:rPr>
        <w:t>)</w:t>
      </w:r>
    </w:p>
    <w:p>
      <w:pPr>
        <w:pStyle w:val="ListParagraph"/>
        <w:numPr>
          <w:ilvl w:val="2"/>
          <w:numId w:val="34"/>
        </w:numPr>
        <w:tabs>
          <w:tab w:pos="1540" w:val="left" w:leader="none"/>
          <w:tab w:pos="4676" w:val="left" w:leader="none"/>
          <w:tab w:pos="6105" w:val="left" w:leader="none"/>
          <w:tab w:pos="8100" w:val="left" w:leader="none"/>
          <w:tab w:pos="10033" w:val="left" w:leader="none"/>
        </w:tabs>
        <w:spacing w:line="360" w:lineRule="auto" w:before="142" w:after="0"/>
        <w:ind w:left="1540" w:right="1442" w:hanging="360"/>
        <w:jc w:val="left"/>
        <w:rPr>
          <w:sz w:val="24"/>
        </w:rPr>
      </w:pPr>
      <w:r>
        <w:rPr>
          <w:sz w:val="24"/>
        </w:rPr>
        <w:t>Occupation</w:t>
      </w:r>
      <w:r>
        <w:rPr>
          <w:spacing w:val="53"/>
          <w:sz w:val="24"/>
        </w:rPr>
        <w:t> </w:t>
      </w:r>
      <w:r>
        <w:rPr>
          <w:sz w:val="24"/>
        </w:rPr>
        <w:t>:</w:t>
      </w:r>
      <w:r>
        <w:rPr>
          <w:spacing w:val="57"/>
          <w:sz w:val="24"/>
        </w:rPr>
        <w:t> </w:t>
      </w:r>
      <w:r>
        <w:rPr>
          <w:sz w:val="24"/>
        </w:rPr>
        <w:t>Civil</w:t>
      </w:r>
      <w:r>
        <w:rPr>
          <w:spacing w:val="53"/>
          <w:sz w:val="24"/>
        </w:rPr>
        <w:t> </w:t>
      </w:r>
      <w:r>
        <w:rPr>
          <w:sz w:val="24"/>
        </w:rPr>
        <w:t>servant</w:t>
      </w:r>
      <w:r>
        <w:rPr>
          <w:spacing w:val="63"/>
          <w:sz w:val="24"/>
        </w:rPr>
        <w:t> </w:t>
      </w:r>
      <w:r>
        <w:rPr>
          <w:sz w:val="24"/>
        </w:rPr>
        <w:t>(</w:t>
        <w:tab/>
        <w:t>),</w:t>
      </w:r>
      <w:r>
        <w:rPr>
          <w:spacing w:val="55"/>
          <w:sz w:val="24"/>
        </w:rPr>
        <w:t> </w:t>
      </w:r>
      <w:r>
        <w:rPr>
          <w:sz w:val="24"/>
        </w:rPr>
        <w:t>Student</w:t>
      </w:r>
      <w:r>
        <w:rPr>
          <w:spacing w:val="64"/>
          <w:sz w:val="24"/>
        </w:rPr>
        <w:t> </w:t>
      </w:r>
      <w:r>
        <w:rPr>
          <w:sz w:val="24"/>
        </w:rPr>
        <w:t>(</w:t>
        <w:tab/>
        <w:t>),</w:t>
      </w:r>
      <w:r>
        <w:rPr>
          <w:spacing w:val="52"/>
          <w:sz w:val="24"/>
        </w:rPr>
        <w:t> </w:t>
      </w:r>
      <w:r>
        <w:rPr>
          <w:sz w:val="24"/>
        </w:rPr>
        <w:t>Home</w:t>
      </w:r>
      <w:r>
        <w:rPr>
          <w:spacing w:val="59"/>
          <w:sz w:val="24"/>
        </w:rPr>
        <w:t> </w:t>
      </w:r>
      <w:r>
        <w:rPr>
          <w:sz w:val="24"/>
        </w:rPr>
        <w:t>maker</w:t>
      </w:r>
      <w:r>
        <w:rPr>
          <w:spacing w:val="57"/>
          <w:sz w:val="24"/>
        </w:rPr>
        <w:t> </w:t>
      </w:r>
      <w:r>
        <w:rPr>
          <w:sz w:val="24"/>
        </w:rPr>
        <w:t>(</w:t>
        <w:tab/>
        <w:t>),</w:t>
      </w:r>
      <w:r>
        <w:rPr>
          <w:spacing w:val="53"/>
          <w:sz w:val="24"/>
        </w:rPr>
        <w:t> </w:t>
      </w:r>
      <w:r>
        <w:rPr>
          <w:sz w:val="24"/>
        </w:rPr>
        <w:t>Unemployed</w:t>
      </w:r>
      <w:r>
        <w:rPr>
          <w:spacing w:val="56"/>
          <w:sz w:val="24"/>
        </w:rPr>
        <w:t> </w:t>
      </w:r>
      <w:r>
        <w:rPr>
          <w:sz w:val="24"/>
        </w:rPr>
        <w:t>(</w:t>
        <w:tab/>
      </w:r>
      <w:r>
        <w:rPr>
          <w:spacing w:val="-1"/>
          <w:sz w:val="24"/>
        </w:rPr>
        <w:t>),</w:t>
      </w:r>
      <w:r>
        <w:rPr>
          <w:spacing w:val="-57"/>
          <w:sz w:val="24"/>
        </w:rPr>
        <w:t> </w:t>
      </w:r>
      <w:r>
        <w:rPr>
          <w:sz w:val="24"/>
        </w:rPr>
        <w:t>Business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spacing w:val="7"/>
          <w:sz w:val="24"/>
        </w:rPr>
        <w:t> </w:t>
      </w:r>
      <w:r>
        <w:rPr>
          <w:sz w:val="24"/>
        </w:rPr>
        <w:t>),</w:t>
      </w:r>
      <w:r>
        <w:rPr>
          <w:spacing w:val="4"/>
          <w:sz w:val="24"/>
        </w:rPr>
        <w:t> </w:t>
      </w:r>
      <w:r>
        <w:rPr>
          <w:sz w:val="24"/>
        </w:rPr>
        <w:t>Others (</w:t>
      </w:r>
      <w:r>
        <w:rPr>
          <w:spacing w:val="1"/>
          <w:sz w:val="24"/>
        </w:rPr>
        <w:t> </w:t>
      </w:r>
      <w:r>
        <w:rPr>
          <w:sz w:val="24"/>
        </w:rPr>
        <w:t>)</w:t>
      </w:r>
    </w:p>
    <w:p>
      <w:pPr>
        <w:pStyle w:val="ListParagraph"/>
        <w:numPr>
          <w:ilvl w:val="2"/>
          <w:numId w:val="34"/>
        </w:numPr>
        <w:tabs>
          <w:tab w:pos="1540" w:val="left" w:leader="none"/>
          <w:tab w:pos="6786" w:val="left" w:leader="none"/>
          <w:tab w:pos="8915" w:val="left" w:leader="none"/>
        </w:tabs>
        <w:spacing w:line="360" w:lineRule="auto" w:before="0" w:after="0"/>
        <w:ind w:left="1540" w:right="1440" w:hanging="360"/>
        <w:jc w:val="left"/>
        <w:rPr>
          <w:sz w:val="24"/>
        </w:rPr>
      </w:pPr>
      <w:r>
        <w:rPr>
          <w:sz w:val="24"/>
        </w:rPr>
        <w:t>Highest</w:t>
      </w:r>
      <w:r>
        <w:rPr>
          <w:spacing w:val="43"/>
          <w:sz w:val="24"/>
        </w:rPr>
        <w:t> </w:t>
      </w:r>
      <w:r>
        <w:rPr>
          <w:sz w:val="24"/>
        </w:rPr>
        <w:t>educational</w:t>
      </w:r>
      <w:r>
        <w:rPr>
          <w:spacing w:val="39"/>
          <w:sz w:val="24"/>
        </w:rPr>
        <w:t> </w:t>
      </w:r>
      <w:r>
        <w:rPr>
          <w:sz w:val="24"/>
        </w:rPr>
        <w:t>level</w:t>
      </w:r>
      <w:r>
        <w:rPr>
          <w:spacing w:val="34"/>
          <w:sz w:val="24"/>
        </w:rPr>
        <w:t> </w:t>
      </w:r>
      <w:r>
        <w:rPr>
          <w:sz w:val="24"/>
        </w:rPr>
        <w:t>:</w:t>
      </w:r>
      <w:r>
        <w:rPr>
          <w:spacing w:val="39"/>
          <w:sz w:val="24"/>
        </w:rPr>
        <w:t> </w:t>
      </w:r>
      <w:r>
        <w:rPr>
          <w:sz w:val="24"/>
        </w:rPr>
        <w:t>No</w:t>
      </w:r>
      <w:r>
        <w:rPr>
          <w:spacing w:val="48"/>
          <w:sz w:val="24"/>
        </w:rPr>
        <w:t> </w:t>
      </w:r>
      <w:r>
        <w:rPr>
          <w:sz w:val="24"/>
        </w:rPr>
        <w:t>formal</w:t>
      </w:r>
      <w:r>
        <w:rPr>
          <w:spacing w:val="35"/>
          <w:sz w:val="24"/>
        </w:rPr>
        <w:t> </w:t>
      </w:r>
      <w:r>
        <w:rPr>
          <w:sz w:val="24"/>
        </w:rPr>
        <w:t>education</w:t>
      </w:r>
      <w:r>
        <w:rPr>
          <w:spacing w:val="38"/>
          <w:sz w:val="24"/>
        </w:rPr>
        <w:t> </w:t>
      </w:r>
      <w:r>
        <w:rPr>
          <w:sz w:val="24"/>
        </w:rPr>
        <w:t>(</w:t>
        <w:tab/>
        <w:t>),</w:t>
      </w:r>
      <w:r>
        <w:rPr>
          <w:spacing w:val="43"/>
          <w:sz w:val="24"/>
        </w:rPr>
        <w:t> </w:t>
      </w:r>
      <w:r>
        <w:rPr>
          <w:sz w:val="24"/>
        </w:rPr>
        <w:t>Primary</w:t>
      </w:r>
      <w:r>
        <w:rPr>
          <w:spacing w:val="40"/>
          <w:sz w:val="24"/>
        </w:rPr>
        <w:t> </w:t>
      </w:r>
      <w:r>
        <w:rPr>
          <w:sz w:val="24"/>
        </w:rPr>
        <w:t>school</w:t>
      </w:r>
      <w:r>
        <w:rPr>
          <w:spacing w:val="31"/>
          <w:sz w:val="24"/>
        </w:rPr>
        <w:t> </w:t>
      </w:r>
      <w:r>
        <w:rPr>
          <w:sz w:val="24"/>
        </w:rPr>
        <w:t>(</w:t>
        <w:tab/>
        <w:t>),</w:t>
      </w:r>
      <w:r>
        <w:rPr>
          <w:spacing w:val="34"/>
          <w:sz w:val="24"/>
        </w:rPr>
        <w:t> </w:t>
      </w:r>
      <w:r>
        <w:rPr>
          <w:sz w:val="24"/>
        </w:rPr>
        <w:t>Secondary</w:t>
      </w:r>
      <w:r>
        <w:rPr>
          <w:spacing w:val="-57"/>
          <w:sz w:val="24"/>
        </w:rPr>
        <w:t> </w:t>
      </w:r>
      <w:r>
        <w:rPr>
          <w:sz w:val="24"/>
        </w:rPr>
        <w:t>school</w:t>
      </w:r>
      <w:r>
        <w:rPr>
          <w:spacing w:val="-7"/>
          <w:sz w:val="24"/>
        </w:rPr>
        <w:t> </w:t>
      </w:r>
      <w:r>
        <w:rPr>
          <w:sz w:val="24"/>
        </w:rPr>
        <w:t>(</w:t>
      </w:r>
      <w:r>
        <w:rPr>
          <w:spacing w:val="2"/>
          <w:sz w:val="24"/>
        </w:rPr>
        <w:t> </w:t>
      </w:r>
      <w:r>
        <w:rPr>
          <w:sz w:val="24"/>
        </w:rPr>
        <w:t>), Tertiary</w:t>
      </w:r>
      <w:r>
        <w:rPr>
          <w:spacing w:val="-8"/>
          <w:sz w:val="24"/>
        </w:rPr>
        <w:t> </w:t>
      </w:r>
      <w:r>
        <w:rPr>
          <w:sz w:val="24"/>
        </w:rPr>
        <w:t>education</w:t>
      </w:r>
      <w:r>
        <w:rPr>
          <w:spacing w:val="-3"/>
          <w:sz w:val="24"/>
        </w:rPr>
        <w:t> </w:t>
      </w:r>
      <w:r>
        <w:rPr>
          <w:sz w:val="24"/>
        </w:rPr>
        <w:t>(</w:t>
      </w:r>
      <w:r>
        <w:rPr>
          <w:spacing w:val="7"/>
          <w:sz w:val="24"/>
        </w:rPr>
        <w:t> </w:t>
      </w:r>
      <w:r>
        <w:rPr>
          <w:sz w:val="24"/>
        </w:rPr>
        <w:t>)</w:t>
      </w:r>
    </w:p>
    <w:p>
      <w:pPr>
        <w:pStyle w:val="BodyText"/>
        <w:spacing w:before="10"/>
        <w:rPr>
          <w:sz w:val="35"/>
        </w:rPr>
      </w:pPr>
    </w:p>
    <w:p>
      <w:pPr>
        <w:pStyle w:val="Heading1"/>
        <w:spacing w:before="0"/>
        <w:jc w:val="left"/>
      </w:pPr>
      <w:r>
        <w:rPr/>
        <w:t>Family,</w:t>
      </w:r>
      <w:r>
        <w:rPr>
          <w:spacing w:val="-2"/>
        </w:rPr>
        <w:t> </w:t>
      </w:r>
      <w:r>
        <w:rPr/>
        <w:t>Clinical,</w:t>
      </w:r>
      <w:r>
        <w:rPr>
          <w:spacing w:val="-1"/>
        </w:rPr>
        <w:t> </w:t>
      </w:r>
      <w:r>
        <w:rPr/>
        <w:t>and</w:t>
      </w:r>
      <w:r>
        <w:rPr>
          <w:spacing w:val="-6"/>
        </w:rPr>
        <w:t> </w:t>
      </w:r>
      <w:r>
        <w:rPr/>
        <w:t>Social</w:t>
      </w:r>
      <w:r>
        <w:rPr>
          <w:spacing w:val="-7"/>
        </w:rPr>
        <w:t> </w:t>
      </w:r>
      <w:r>
        <w:rPr/>
        <w:t>History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ListParagraph"/>
        <w:numPr>
          <w:ilvl w:val="2"/>
          <w:numId w:val="34"/>
        </w:numPr>
        <w:tabs>
          <w:tab w:pos="1540" w:val="left" w:leader="none"/>
          <w:tab w:pos="4576" w:val="left" w:leader="none"/>
        </w:tabs>
        <w:spacing w:line="240" w:lineRule="auto" w:before="0" w:after="0"/>
        <w:ind w:left="1540" w:right="0" w:hanging="360"/>
        <w:jc w:val="left"/>
        <w:rPr>
          <w:sz w:val="24"/>
        </w:rPr>
      </w:pPr>
      <w:r>
        <w:rPr>
          <w:sz w:val="24"/>
        </w:rPr>
        <w:t>Age</w:t>
      </w:r>
      <w:r>
        <w:rPr>
          <w:spacing w:val="-4"/>
          <w:sz w:val="24"/>
        </w:rPr>
        <w:t> </w:t>
      </w:r>
      <w:r>
        <w:rPr>
          <w:sz w:val="24"/>
        </w:rPr>
        <w:t>at</w:t>
      </w:r>
      <w:r>
        <w:rPr>
          <w:spacing w:val="2"/>
          <w:sz w:val="24"/>
        </w:rPr>
        <w:t> </w:t>
      </w:r>
      <w:r>
        <w:rPr>
          <w:sz w:val="24"/>
        </w:rPr>
        <w:t>diagnosis</w:t>
      </w:r>
      <w:r>
        <w:rPr>
          <w:spacing w:val="-4"/>
          <w:sz w:val="24"/>
        </w:rPr>
        <w:t> </w:t>
      </w:r>
      <w:r>
        <w:rPr>
          <w:sz w:val="24"/>
        </w:rPr>
        <w:t>:</w:t>
      </w:r>
      <w:r>
        <w:rPr>
          <w:spacing w:val="2"/>
          <w:sz w:val="24"/>
        </w:rPr>
        <w:t> </w:t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ListParagraph"/>
        <w:numPr>
          <w:ilvl w:val="2"/>
          <w:numId w:val="34"/>
        </w:numPr>
        <w:tabs>
          <w:tab w:pos="1540" w:val="left" w:leader="none"/>
          <w:tab w:pos="4831" w:val="left" w:leader="none"/>
        </w:tabs>
        <w:spacing w:line="240" w:lineRule="auto" w:before="137" w:after="0"/>
        <w:ind w:left="1540" w:right="0" w:hanging="360"/>
        <w:jc w:val="left"/>
        <w:rPr>
          <w:sz w:val="24"/>
        </w:rPr>
      </w:pPr>
      <w:r>
        <w:rPr>
          <w:sz w:val="24"/>
        </w:rPr>
        <w:t>Number of</w:t>
      </w:r>
      <w:r>
        <w:rPr>
          <w:spacing w:val="-8"/>
          <w:sz w:val="24"/>
        </w:rPr>
        <w:t> </w:t>
      </w:r>
      <w:r>
        <w:rPr>
          <w:sz w:val="24"/>
        </w:rPr>
        <w:t>siblings</w:t>
      </w:r>
      <w:r>
        <w:rPr>
          <w:spacing w:val="-3"/>
          <w:sz w:val="24"/>
        </w:rPr>
        <w:t> </w:t>
      </w:r>
      <w:r>
        <w:rPr>
          <w:sz w:val="24"/>
        </w:rPr>
        <w:t>:</w:t>
      </w:r>
      <w:r>
        <w:rPr>
          <w:spacing w:val="2"/>
          <w:sz w:val="24"/>
        </w:rPr>
        <w:t> </w:t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ListParagraph"/>
        <w:numPr>
          <w:ilvl w:val="2"/>
          <w:numId w:val="34"/>
        </w:numPr>
        <w:tabs>
          <w:tab w:pos="1540" w:val="left" w:leader="none"/>
          <w:tab w:pos="7083" w:val="left" w:leader="none"/>
        </w:tabs>
        <w:spacing w:line="240" w:lineRule="auto" w:before="137" w:after="0"/>
        <w:ind w:left="1540" w:right="0" w:hanging="360"/>
        <w:jc w:val="left"/>
        <w:rPr>
          <w:sz w:val="24"/>
        </w:rPr>
      </w:pPr>
      <w:r>
        <w:rPr>
          <w:sz w:val="24"/>
        </w:rPr>
        <w:t>Number of</w:t>
      </w:r>
      <w:r>
        <w:rPr>
          <w:spacing w:val="-8"/>
          <w:sz w:val="24"/>
        </w:rPr>
        <w:t> </w:t>
      </w:r>
      <w:r>
        <w:rPr>
          <w:sz w:val="24"/>
        </w:rPr>
        <w:t>siblings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5"/>
          <w:sz w:val="24"/>
        </w:rPr>
        <w:t> </w:t>
      </w:r>
      <w:r>
        <w:rPr>
          <w:sz w:val="24"/>
        </w:rPr>
        <w:t>sickle</w:t>
      </w:r>
      <w:r>
        <w:rPr>
          <w:spacing w:val="-2"/>
          <w:sz w:val="24"/>
        </w:rPr>
        <w:t> </w:t>
      </w:r>
      <w:r>
        <w:rPr>
          <w:sz w:val="24"/>
        </w:rPr>
        <w:t>cell</w:t>
      </w:r>
      <w:r>
        <w:rPr>
          <w:spacing w:val="-4"/>
          <w:sz w:val="24"/>
        </w:rPr>
        <w:t> </w:t>
      </w:r>
      <w:r>
        <w:rPr>
          <w:sz w:val="24"/>
        </w:rPr>
        <w:t>anaemia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2"/>
          <w:sz w:val="24"/>
        </w:rPr>
        <w:t> </w:t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ListParagraph"/>
        <w:numPr>
          <w:ilvl w:val="2"/>
          <w:numId w:val="34"/>
        </w:numPr>
        <w:tabs>
          <w:tab w:pos="1540" w:val="left" w:leader="none"/>
          <w:tab w:pos="6409" w:val="left" w:leader="none"/>
        </w:tabs>
        <w:spacing w:line="240" w:lineRule="auto" w:before="137" w:after="0"/>
        <w:ind w:left="1540" w:right="0" w:hanging="360"/>
        <w:jc w:val="left"/>
        <w:rPr>
          <w:sz w:val="24"/>
        </w:rPr>
      </w:pPr>
      <w:r>
        <w:rPr>
          <w:sz w:val="24"/>
        </w:rPr>
        <w:t>Average</w:t>
      </w:r>
      <w:r>
        <w:rPr>
          <w:spacing w:val="1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crises</w:t>
      </w:r>
      <w:r>
        <w:rPr>
          <w:spacing w:val="-4"/>
          <w:sz w:val="24"/>
        </w:rPr>
        <w:t> </w:t>
      </w:r>
      <w:r>
        <w:rPr>
          <w:sz w:val="24"/>
        </w:rPr>
        <w:t>per</w:t>
      </w:r>
      <w:r>
        <w:rPr>
          <w:spacing w:val="3"/>
          <w:sz w:val="24"/>
        </w:rPr>
        <w:t> </w:t>
      </w:r>
      <w:r>
        <w:rPr>
          <w:sz w:val="24"/>
        </w:rPr>
        <w:t>year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2"/>
          <w:sz w:val="24"/>
        </w:rPr>
        <w:t> </w:t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ListParagraph"/>
        <w:numPr>
          <w:ilvl w:val="2"/>
          <w:numId w:val="34"/>
        </w:numPr>
        <w:tabs>
          <w:tab w:pos="1540" w:val="left" w:leader="none"/>
          <w:tab w:pos="10008" w:val="left" w:leader="none"/>
        </w:tabs>
        <w:spacing w:line="240" w:lineRule="auto" w:before="142" w:after="0"/>
        <w:ind w:left="1540" w:right="0" w:hanging="360"/>
        <w:jc w:val="left"/>
        <w:rPr>
          <w:sz w:val="24"/>
        </w:rPr>
      </w:pPr>
      <w:r>
        <w:rPr>
          <w:sz w:val="24"/>
        </w:rPr>
        <w:t>Most</w:t>
      </w:r>
      <w:r>
        <w:rPr>
          <w:spacing w:val="-2"/>
          <w:sz w:val="24"/>
        </w:rPr>
        <w:t> </w:t>
      </w:r>
      <w:r>
        <w:rPr>
          <w:sz w:val="24"/>
        </w:rPr>
        <w:t>common</w:t>
      </w:r>
      <w:r>
        <w:rPr>
          <w:spacing w:val="-6"/>
          <w:sz w:val="24"/>
        </w:rPr>
        <w:t> </w:t>
      </w:r>
      <w:r>
        <w:rPr>
          <w:sz w:val="24"/>
        </w:rPr>
        <w:t>presentation</w:t>
      </w:r>
      <w:r>
        <w:rPr>
          <w:spacing w:val="-6"/>
          <w:sz w:val="24"/>
        </w:rPr>
        <w:t> </w:t>
      </w:r>
      <w:r>
        <w:rPr>
          <w:sz w:val="24"/>
        </w:rPr>
        <w:t>during</w:t>
      </w:r>
      <w:r>
        <w:rPr>
          <w:spacing w:val="-1"/>
          <w:sz w:val="24"/>
        </w:rPr>
        <w:t> </w:t>
      </w:r>
      <w:r>
        <w:rPr>
          <w:sz w:val="24"/>
        </w:rPr>
        <w:t>crises</w:t>
      </w:r>
      <w:r>
        <w:rPr>
          <w:spacing w:val="-3"/>
          <w:sz w:val="24"/>
        </w:rPr>
        <w:t> </w:t>
      </w:r>
      <w:r>
        <w:rPr>
          <w:sz w:val="24"/>
        </w:rPr>
        <w:t>:</w:t>
      </w:r>
      <w:r>
        <w:rPr>
          <w:spacing w:val="2"/>
          <w:sz w:val="24"/>
        </w:rPr>
        <w:t> </w:t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ListParagraph"/>
        <w:numPr>
          <w:ilvl w:val="2"/>
          <w:numId w:val="34"/>
        </w:numPr>
        <w:tabs>
          <w:tab w:pos="1540" w:val="left" w:leader="none"/>
          <w:tab w:pos="7747" w:val="left" w:leader="none"/>
        </w:tabs>
        <w:spacing w:line="240" w:lineRule="auto" w:before="136" w:after="0"/>
        <w:ind w:left="1540" w:right="0" w:hanging="360"/>
        <w:jc w:val="left"/>
        <w:rPr>
          <w:sz w:val="24"/>
        </w:rPr>
      </w:pPr>
      <w:r>
        <w:rPr>
          <w:sz w:val="24"/>
        </w:rPr>
        <w:t>Average</w:t>
      </w:r>
      <w:r>
        <w:rPr>
          <w:spacing w:val="1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hospital</w:t>
      </w:r>
      <w:r>
        <w:rPr>
          <w:spacing w:val="-10"/>
          <w:sz w:val="24"/>
        </w:rPr>
        <w:t> </w:t>
      </w:r>
      <w:r>
        <w:rPr>
          <w:sz w:val="24"/>
        </w:rPr>
        <w:t>admissions</w:t>
      </w:r>
      <w:r>
        <w:rPr>
          <w:spacing w:val="-4"/>
          <w:sz w:val="24"/>
        </w:rPr>
        <w:t> </w:t>
      </w:r>
      <w:r>
        <w:rPr>
          <w:sz w:val="24"/>
        </w:rPr>
        <w:t>per</w:t>
      </w:r>
      <w:r>
        <w:rPr>
          <w:spacing w:val="4"/>
          <w:sz w:val="24"/>
        </w:rPr>
        <w:t> </w:t>
      </w:r>
      <w:r>
        <w:rPr>
          <w:sz w:val="24"/>
        </w:rPr>
        <w:t>year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2"/>
          <w:sz w:val="24"/>
        </w:rPr>
        <w:t> </w:t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ListParagraph"/>
        <w:numPr>
          <w:ilvl w:val="2"/>
          <w:numId w:val="34"/>
        </w:numPr>
        <w:tabs>
          <w:tab w:pos="1540" w:val="left" w:leader="none"/>
          <w:tab w:pos="10022" w:val="left" w:leader="none"/>
        </w:tabs>
        <w:spacing w:line="240" w:lineRule="auto" w:before="137" w:after="0"/>
        <w:ind w:left="1540" w:right="0" w:hanging="360"/>
        <w:jc w:val="left"/>
        <w:rPr>
          <w:sz w:val="24"/>
        </w:rPr>
      </w:pPr>
      <w:r>
        <w:rPr>
          <w:sz w:val="24"/>
        </w:rPr>
        <w:t>Most</w:t>
      </w:r>
      <w:r>
        <w:rPr>
          <w:spacing w:val="-2"/>
          <w:sz w:val="24"/>
        </w:rPr>
        <w:t> </w:t>
      </w:r>
      <w:r>
        <w:rPr>
          <w:sz w:val="24"/>
        </w:rPr>
        <w:t>common</w:t>
      </w:r>
      <w:r>
        <w:rPr>
          <w:spacing w:val="-5"/>
          <w:sz w:val="24"/>
        </w:rPr>
        <w:t> </w:t>
      </w:r>
      <w:r>
        <w:rPr>
          <w:sz w:val="24"/>
        </w:rPr>
        <w:t>clinical</w:t>
      </w:r>
      <w:r>
        <w:rPr>
          <w:spacing w:val="-10"/>
          <w:sz w:val="24"/>
        </w:rPr>
        <w:t> </w:t>
      </w:r>
      <w:r>
        <w:rPr>
          <w:sz w:val="24"/>
        </w:rPr>
        <w:t>presentation</w:t>
      </w:r>
      <w:r>
        <w:rPr>
          <w:spacing w:val="-1"/>
          <w:sz w:val="24"/>
        </w:rPr>
        <w:t> </w:t>
      </w:r>
      <w:r>
        <w:rPr>
          <w:sz w:val="24"/>
        </w:rPr>
        <w:t>for admission</w:t>
      </w:r>
      <w:r>
        <w:rPr>
          <w:spacing w:val="-6"/>
          <w:sz w:val="24"/>
        </w:rPr>
        <w:t> </w:t>
      </w:r>
      <w:r>
        <w:rPr>
          <w:sz w:val="24"/>
        </w:rPr>
        <w:t>:</w:t>
      </w:r>
      <w:r>
        <w:rPr>
          <w:spacing w:val="2"/>
          <w:sz w:val="24"/>
        </w:rPr>
        <w:t> </w:t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ListParagraph"/>
        <w:numPr>
          <w:ilvl w:val="2"/>
          <w:numId w:val="34"/>
        </w:numPr>
        <w:tabs>
          <w:tab w:pos="1540" w:val="left" w:leader="none"/>
          <w:tab w:pos="5967" w:val="left" w:leader="none"/>
        </w:tabs>
        <w:spacing w:line="240" w:lineRule="auto" w:before="137" w:after="0"/>
        <w:ind w:left="1540" w:right="0" w:hanging="360"/>
        <w:jc w:val="left"/>
        <w:rPr>
          <w:sz w:val="24"/>
        </w:rPr>
      </w:pP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blood</w:t>
      </w:r>
      <w:r>
        <w:rPr>
          <w:spacing w:val="-2"/>
          <w:sz w:val="24"/>
        </w:rPr>
        <w:t> </w:t>
      </w:r>
      <w:r>
        <w:rPr>
          <w:sz w:val="24"/>
        </w:rPr>
        <w:t>transfusions</w:t>
      </w:r>
      <w:r>
        <w:rPr>
          <w:spacing w:val="-3"/>
          <w:sz w:val="24"/>
        </w:rPr>
        <w:t> </w:t>
      </w:r>
      <w:r>
        <w:rPr>
          <w:sz w:val="24"/>
        </w:rPr>
        <w:t>:</w:t>
      </w:r>
      <w:r>
        <w:rPr>
          <w:spacing w:val="2"/>
          <w:sz w:val="24"/>
        </w:rPr>
        <w:t> </w:t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ListParagraph"/>
        <w:numPr>
          <w:ilvl w:val="2"/>
          <w:numId w:val="34"/>
        </w:numPr>
        <w:tabs>
          <w:tab w:pos="1540" w:val="left" w:leader="none"/>
          <w:tab w:pos="2825" w:val="left" w:leader="none"/>
          <w:tab w:pos="3664" w:val="left" w:leader="none"/>
          <w:tab w:pos="4384" w:val="left" w:leader="none"/>
          <w:tab w:pos="5074" w:val="left" w:leader="none"/>
          <w:tab w:pos="5866" w:val="left" w:leader="none"/>
          <w:tab w:pos="6446" w:val="left" w:leader="none"/>
          <w:tab w:pos="7473" w:val="left" w:leader="none"/>
          <w:tab w:pos="7775" w:val="left" w:leader="none"/>
          <w:tab w:pos="8322" w:val="left" w:leader="none"/>
          <w:tab w:pos="8634" w:val="left" w:leader="none"/>
          <w:tab w:pos="8945" w:val="left" w:leader="none"/>
          <w:tab w:pos="9247" w:val="left" w:leader="none"/>
          <w:tab w:pos="9705" w:val="left" w:leader="none"/>
          <w:tab w:pos="10029" w:val="left" w:leader="none"/>
        </w:tabs>
        <w:spacing w:line="360" w:lineRule="auto" w:before="142" w:after="0"/>
        <w:ind w:left="1540" w:right="1447" w:hanging="360"/>
        <w:jc w:val="left"/>
        <w:rPr>
          <w:sz w:val="24"/>
        </w:rPr>
      </w:pPr>
      <w:r>
        <w:rPr>
          <w:sz w:val="24"/>
        </w:rPr>
        <w:t>Co-morbid</w:t>
        <w:tab/>
        <w:t>illness</w:t>
        <w:tab/>
        <w:t>apart</w:t>
        <w:tab/>
        <w:t>from</w:t>
        <w:tab/>
        <w:t>sickle</w:t>
        <w:tab/>
        <w:t>cell</w:t>
        <w:tab/>
        <w:t>anaemia</w:t>
        <w:tab/>
        <w:t>:</w:t>
        <w:tab/>
        <w:t>yes</w:t>
        <w:tab/>
        <w:t>(</w:t>
        <w:tab/>
        <w:t>)</w:t>
        <w:tab/>
        <w:t>/</w:t>
        <w:tab/>
        <w:t>no</w:t>
        <w:tab/>
        <w:t>(</w:t>
        <w:tab/>
      </w:r>
      <w:r>
        <w:rPr>
          <w:spacing w:val="-2"/>
          <w:sz w:val="24"/>
        </w:rPr>
        <w:t>),</w:t>
      </w:r>
      <w:r>
        <w:rPr>
          <w:spacing w:val="-57"/>
          <w:sz w:val="24"/>
        </w:rPr>
        <w:t> </w:t>
      </w:r>
      <w:r>
        <w:rPr>
          <w:sz w:val="24"/>
        </w:rPr>
        <w:t>if</w:t>
      </w:r>
      <w:r>
        <w:rPr>
          <w:spacing w:val="-4"/>
          <w:sz w:val="24"/>
        </w:rPr>
        <w:t> </w:t>
      </w:r>
      <w:r>
        <w:rPr>
          <w:sz w:val="24"/>
        </w:rPr>
        <w:t>yes,</w:t>
      </w:r>
      <w:r>
        <w:rPr>
          <w:spacing w:val="2"/>
          <w:sz w:val="24"/>
        </w:rPr>
        <w:t> </w:t>
      </w:r>
      <w:r>
        <w:rPr>
          <w:sz w:val="24"/>
        </w:rPr>
        <w:t>specify: hypertension</w:t>
      </w:r>
      <w:r>
        <w:rPr>
          <w:spacing w:val="-5"/>
          <w:sz w:val="24"/>
        </w:rPr>
        <w:t> </w:t>
      </w:r>
      <w:r>
        <w:rPr>
          <w:sz w:val="24"/>
        </w:rPr>
        <w:t>(</w:t>
      </w:r>
      <w:r>
        <w:rPr>
          <w:spacing w:val="57"/>
          <w:sz w:val="24"/>
        </w:rPr>
        <w:t> </w:t>
      </w:r>
      <w:r>
        <w:rPr>
          <w:sz w:val="24"/>
        </w:rPr>
        <w:t>),</w:t>
      </w:r>
      <w:r>
        <w:rPr>
          <w:spacing w:val="-2"/>
          <w:sz w:val="24"/>
        </w:rPr>
        <w:t> </w:t>
      </w:r>
      <w:r>
        <w:rPr>
          <w:sz w:val="24"/>
        </w:rPr>
        <w:t>diabetes</w:t>
      </w:r>
      <w:r>
        <w:rPr>
          <w:spacing w:val="-3"/>
          <w:sz w:val="24"/>
        </w:rPr>
        <w:t> </w:t>
      </w:r>
      <w:r>
        <w:rPr>
          <w:sz w:val="24"/>
        </w:rPr>
        <w:t>(</w:t>
      </w:r>
      <w:r>
        <w:rPr>
          <w:spacing w:val="57"/>
          <w:sz w:val="24"/>
        </w:rPr>
        <w:t> </w:t>
      </w:r>
      <w:r>
        <w:rPr>
          <w:sz w:val="24"/>
        </w:rPr>
        <w:t>),</w:t>
      </w:r>
      <w:r>
        <w:rPr>
          <w:spacing w:val="-7"/>
          <w:sz w:val="24"/>
        </w:rPr>
        <w:t> </w:t>
      </w:r>
      <w:r>
        <w:rPr>
          <w:sz w:val="24"/>
        </w:rPr>
        <w:t>others</w:t>
      </w:r>
      <w:r>
        <w:rPr>
          <w:sz w:val="24"/>
          <w:u w:val="single"/>
        </w:rPr>
        <w:t> </w:t>
        <w:tab/>
        <w:tab/>
        <w:tab/>
        <w:tab/>
        <w:tab/>
        <w:tab/>
        <w:tab/>
      </w:r>
    </w:p>
    <w:p>
      <w:pPr>
        <w:pStyle w:val="ListParagraph"/>
        <w:numPr>
          <w:ilvl w:val="2"/>
          <w:numId w:val="34"/>
        </w:numPr>
        <w:tabs>
          <w:tab w:pos="1540" w:val="left" w:leader="none"/>
        </w:tabs>
        <w:spacing w:line="274" w:lineRule="exact" w:before="0" w:after="0"/>
        <w:ind w:left="1540" w:right="0" w:hanging="360"/>
        <w:jc w:val="left"/>
        <w:rPr>
          <w:sz w:val="24"/>
        </w:rPr>
      </w:pPr>
      <w:r>
        <w:rPr>
          <w:sz w:val="24"/>
        </w:rPr>
        <w:t>Drug use :</w:t>
      </w:r>
    </w:p>
    <w:p>
      <w:pPr>
        <w:pStyle w:val="ListParagraph"/>
        <w:numPr>
          <w:ilvl w:val="3"/>
          <w:numId w:val="34"/>
        </w:numPr>
        <w:tabs>
          <w:tab w:pos="2260" w:val="left" w:leader="none"/>
        </w:tabs>
        <w:spacing w:line="362" w:lineRule="auto" w:before="136" w:after="0"/>
        <w:ind w:left="2260" w:right="1452" w:hanging="360"/>
        <w:jc w:val="left"/>
        <w:rPr>
          <w:sz w:val="24"/>
        </w:rPr>
      </w:pPr>
      <w:r>
        <w:rPr>
          <w:sz w:val="24"/>
        </w:rPr>
        <w:t>Folic</w:t>
      </w:r>
      <w:r>
        <w:rPr>
          <w:spacing w:val="13"/>
          <w:sz w:val="24"/>
        </w:rPr>
        <w:t> </w:t>
      </w:r>
      <w:r>
        <w:rPr>
          <w:sz w:val="24"/>
        </w:rPr>
        <w:t>acid</w:t>
      </w:r>
      <w:r>
        <w:rPr>
          <w:spacing w:val="19"/>
          <w:sz w:val="24"/>
        </w:rPr>
        <w:t> </w:t>
      </w:r>
      <w:r>
        <w:rPr>
          <w:sz w:val="24"/>
        </w:rPr>
        <w:t>(</w:t>
      </w:r>
      <w:r>
        <w:rPr>
          <w:spacing w:val="32"/>
          <w:sz w:val="24"/>
        </w:rPr>
        <w:t> </w:t>
      </w:r>
      <w:r>
        <w:rPr>
          <w:sz w:val="24"/>
        </w:rPr>
        <w:t>),</w:t>
      </w:r>
      <w:r>
        <w:rPr>
          <w:spacing w:val="18"/>
          <w:sz w:val="24"/>
        </w:rPr>
        <w:t> </w:t>
      </w:r>
      <w:r>
        <w:rPr>
          <w:sz w:val="24"/>
        </w:rPr>
        <w:t>Proguanil</w:t>
      </w:r>
      <w:r>
        <w:rPr>
          <w:spacing w:val="10"/>
          <w:sz w:val="24"/>
        </w:rPr>
        <w:t> </w:t>
      </w:r>
      <w:r>
        <w:rPr>
          <w:sz w:val="24"/>
        </w:rPr>
        <w:t>(</w:t>
      </w:r>
      <w:r>
        <w:rPr>
          <w:spacing w:val="31"/>
          <w:sz w:val="24"/>
        </w:rPr>
        <w:t> </w:t>
      </w:r>
      <w:r>
        <w:rPr>
          <w:sz w:val="24"/>
        </w:rPr>
        <w:t>),</w:t>
      </w:r>
      <w:r>
        <w:rPr>
          <w:spacing w:val="18"/>
          <w:sz w:val="24"/>
        </w:rPr>
        <w:t> </w:t>
      </w:r>
      <w:r>
        <w:rPr>
          <w:sz w:val="24"/>
        </w:rPr>
        <w:t>Vitamin</w:t>
      </w:r>
      <w:r>
        <w:rPr>
          <w:spacing w:val="19"/>
          <w:sz w:val="24"/>
        </w:rPr>
        <w:t> </w:t>
      </w:r>
      <w:r>
        <w:rPr>
          <w:sz w:val="24"/>
        </w:rPr>
        <w:t>C</w:t>
      </w:r>
      <w:r>
        <w:rPr>
          <w:spacing w:val="14"/>
          <w:sz w:val="24"/>
        </w:rPr>
        <w:t> </w:t>
      </w:r>
      <w:r>
        <w:rPr>
          <w:sz w:val="24"/>
        </w:rPr>
        <w:t>(</w:t>
      </w:r>
      <w:r>
        <w:rPr>
          <w:spacing w:val="31"/>
          <w:sz w:val="24"/>
        </w:rPr>
        <w:t> </w:t>
      </w:r>
      <w:r>
        <w:rPr>
          <w:sz w:val="24"/>
        </w:rPr>
        <w:t>),</w:t>
      </w:r>
      <w:r>
        <w:rPr>
          <w:spacing w:val="17"/>
          <w:sz w:val="24"/>
        </w:rPr>
        <w:t> </w:t>
      </w:r>
      <w:r>
        <w:rPr>
          <w:sz w:val="24"/>
        </w:rPr>
        <w:t>Vitamin</w:t>
      </w:r>
      <w:r>
        <w:rPr>
          <w:spacing w:val="19"/>
          <w:sz w:val="24"/>
        </w:rPr>
        <w:t> </w:t>
      </w:r>
      <w:r>
        <w:rPr>
          <w:sz w:val="24"/>
        </w:rPr>
        <w:t>B12</w:t>
      </w:r>
      <w:r>
        <w:rPr>
          <w:spacing w:val="15"/>
          <w:sz w:val="24"/>
        </w:rPr>
        <w:t> </w:t>
      </w:r>
      <w:r>
        <w:rPr>
          <w:sz w:val="24"/>
        </w:rPr>
        <w:t>(</w:t>
      </w:r>
      <w:r>
        <w:rPr>
          <w:spacing w:val="31"/>
          <w:sz w:val="24"/>
        </w:rPr>
        <w:t> </w:t>
      </w:r>
      <w:r>
        <w:rPr>
          <w:sz w:val="24"/>
        </w:rPr>
        <w:t>),</w:t>
      </w:r>
      <w:r>
        <w:rPr>
          <w:spacing w:val="17"/>
          <w:sz w:val="24"/>
        </w:rPr>
        <w:t> </w:t>
      </w:r>
      <w:r>
        <w:rPr>
          <w:sz w:val="24"/>
        </w:rPr>
        <w:t>Vitamin</w:t>
      </w:r>
      <w:r>
        <w:rPr>
          <w:spacing w:val="20"/>
          <w:sz w:val="24"/>
        </w:rPr>
        <w:t> </w:t>
      </w:r>
      <w:r>
        <w:rPr>
          <w:sz w:val="24"/>
        </w:rPr>
        <w:t>B6</w:t>
      </w:r>
      <w:r>
        <w:rPr>
          <w:spacing w:val="14"/>
          <w:sz w:val="24"/>
        </w:rPr>
        <w:t> </w:t>
      </w:r>
      <w:r>
        <w:rPr>
          <w:sz w:val="24"/>
        </w:rPr>
        <w:t>(</w:t>
      </w:r>
      <w:r>
        <w:rPr>
          <w:spacing w:val="31"/>
          <w:sz w:val="24"/>
        </w:rPr>
        <w:t> </w:t>
      </w:r>
      <w:r>
        <w:rPr>
          <w:sz w:val="24"/>
        </w:rPr>
        <w:t>),</w:t>
      </w:r>
      <w:r>
        <w:rPr>
          <w:spacing w:val="-57"/>
          <w:sz w:val="24"/>
        </w:rPr>
        <w:t> </w:t>
      </w:r>
      <w:r>
        <w:rPr>
          <w:sz w:val="24"/>
        </w:rPr>
        <w:t>Vitamin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4"/>
          <w:sz w:val="24"/>
        </w:rPr>
        <w:t> </w:t>
      </w:r>
      <w:r>
        <w:rPr>
          <w:sz w:val="24"/>
        </w:rPr>
        <w:t>(</w:t>
      </w:r>
      <w:r>
        <w:rPr>
          <w:spacing w:val="6"/>
          <w:sz w:val="24"/>
        </w:rPr>
        <w:t> </w:t>
      </w:r>
      <w:r>
        <w:rPr>
          <w:sz w:val="24"/>
        </w:rPr>
        <w:t>),</w:t>
      </w:r>
      <w:r>
        <w:rPr>
          <w:spacing w:val="3"/>
          <w:sz w:val="24"/>
        </w:rPr>
        <w:t> </w:t>
      </w:r>
      <w:r>
        <w:rPr>
          <w:sz w:val="24"/>
        </w:rPr>
        <w:t>Liberal</w:t>
      </w:r>
      <w:r>
        <w:rPr>
          <w:spacing w:val="-2"/>
          <w:sz w:val="24"/>
        </w:rPr>
        <w:t> </w:t>
      </w:r>
      <w:r>
        <w:rPr>
          <w:sz w:val="24"/>
        </w:rPr>
        <w:t>Fluid</w:t>
      </w:r>
      <w:r>
        <w:rPr>
          <w:spacing w:val="2"/>
          <w:sz w:val="24"/>
        </w:rPr>
        <w:t> </w:t>
      </w:r>
      <w:r>
        <w:rPr>
          <w:sz w:val="24"/>
        </w:rPr>
        <w:t>Intake (</w:t>
      </w:r>
      <w:r>
        <w:rPr>
          <w:spacing w:val="1"/>
          <w:sz w:val="24"/>
        </w:rPr>
        <w:t> </w:t>
      </w:r>
      <w:r>
        <w:rPr>
          <w:sz w:val="24"/>
        </w:rPr>
        <w:t>)</w:t>
      </w:r>
    </w:p>
    <w:p>
      <w:pPr>
        <w:pStyle w:val="ListParagraph"/>
        <w:numPr>
          <w:ilvl w:val="3"/>
          <w:numId w:val="34"/>
        </w:numPr>
        <w:tabs>
          <w:tab w:pos="2260" w:val="left" w:leader="none"/>
          <w:tab w:pos="5104" w:val="left" w:leader="none"/>
          <w:tab w:pos="6739" w:val="left" w:leader="none"/>
          <w:tab w:pos="8408" w:val="left" w:leader="none"/>
          <w:tab w:pos="10035" w:val="left" w:leader="none"/>
        </w:tabs>
        <w:spacing w:line="360" w:lineRule="auto" w:before="0" w:after="0"/>
        <w:ind w:left="2260" w:right="1440" w:hanging="360"/>
        <w:jc w:val="left"/>
        <w:rPr>
          <w:sz w:val="24"/>
        </w:rPr>
      </w:pPr>
      <w:r>
        <w:rPr>
          <w:sz w:val="24"/>
        </w:rPr>
        <w:t>Analgesics:</w:t>
      </w:r>
      <w:r>
        <w:rPr>
          <w:spacing w:val="56"/>
          <w:sz w:val="24"/>
        </w:rPr>
        <w:t> </w:t>
      </w:r>
      <w:r>
        <w:rPr>
          <w:sz w:val="24"/>
        </w:rPr>
        <w:t>Paracetamol</w:t>
      </w:r>
      <w:r>
        <w:rPr>
          <w:spacing w:val="44"/>
          <w:sz w:val="24"/>
        </w:rPr>
        <w:t> </w:t>
      </w:r>
      <w:r>
        <w:rPr>
          <w:sz w:val="24"/>
        </w:rPr>
        <w:t>(</w:t>
        <w:tab/>
        <w:t>),</w:t>
      </w:r>
      <w:r>
        <w:rPr>
          <w:spacing w:val="57"/>
          <w:sz w:val="24"/>
        </w:rPr>
        <w:t> </w:t>
      </w:r>
      <w:r>
        <w:rPr>
          <w:sz w:val="24"/>
        </w:rPr>
        <w:t>Ibuprofen</w:t>
      </w:r>
      <w:r>
        <w:rPr>
          <w:spacing w:val="49"/>
          <w:sz w:val="24"/>
        </w:rPr>
        <w:t> </w:t>
      </w:r>
      <w:r>
        <w:rPr>
          <w:sz w:val="24"/>
        </w:rPr>
        <w:t>(</w:t>
        <w:tab/>
        <w:t>),</w:t>
      </w:r>
      <w:r>
        <w:rPr>
          <w:spacing w:val="55"/>
          <w:sz w:val="24"/>
        </w:rPr>
        <w:t> </w:t>
      </w:r>
      <w:r>
        <w:rPr>
          <w:sz w:val="24"/>
        </w:rPr>
        <w:t>Dicofenac</w:t>
      </w:r>
      <w:r>
        <w:rPr>
          <w:spacing w:val="55"/>
          <w:sz w:val="24"/>
        </w:rPr>
        <w:t> </w:t>
      </w:r>
      <w:r>
        <w:rPr>
          <w:sz w:val="24"/>
        </w:rPr>
        <w:t>(</w:t>
        <w:tab/>
        <w:t>),</w:t>
      </w:r>
      <w:r>
        <w:rPr>
          <w:spacing w:val="58"/>
          <w:sz w:val="24"/>
        </w:rPr>
        <w:t> </w:t>
      </w:r>
      <w:r>
        <w:rPr>
          <w:sz w:val="24"/>
        </w:rPr>
        <w:t>Tramadol</w:t>
      </w:r>
      <w:r>
        <w:rPr>
          <w:spacing w:val="47"/>
          <w:sz w:val="24"/>
        </w:rPr>
        <w:t> </w:t>
      </w:r>
      <w:r>
        <w:rPr>
          <w:sz w:val="24"/>
        </w:rPr>
        <w:t>(</w:t>
        <w:tab/>
      </w:r>
      <w:r>
        <w:rPr>
          <w:spacing w:val="-1"/>
          <w:sz w:val="24"/>
        </w:rPr>
        <w:t>),</w:t>
      </w:r>
      <w:r>
        <w:rPr>
          <w:spacing w:val="-57"/>
          <w:sz w:val="24"/>
        </w:rPr>
        <w:t> </w:t>
      </w:r>
      <w:r>
        <w:rPr>
          <w:sz w:val="24"/>
        </w:rPr>
        <w:t>Pentazocin</w:t>
      </w:r>
      <w:r>
        <w:rPr>
          <w:spacing w:val="-4"/>
          <w:sz w:val="24"/>
        </w:rPr>
        <w:t> </w:t>
      </w:r>
      <w:r>
        <w:rPr>
          <w:sz w:val="24"/>
        </w:rPr>
        <w:t>(</w:t>
      </w:r>
      <w:r>
        <w:rPr>
          <w:spacing w:val="6"/>
          <w:sz w:val="24"/>
        </w:rPr>
        <w:t> </w:t>
      </w:r>
      <w:r>
        <w:rPr>
          <w:sz w:val="24"/>
        </w:rPr>
        <w:t>), Pethidine (</w:t>
      </w:r>
      <w:r>
        <w:rPr>
          <w:spacing w:val="6"/>
          <w:sz w:val="24"/>
        </w:rPr>
        <w:t> </w:t>
      </w:r>
      <w:r>
        <w:rPr>
          <w:sz w:val="24"/>
        </w:rPr>
        <w:t>),</w:t>
      </w:r>
      <w:r>
        <w:rPr>
          <w:spacing w:val="4"/>
          <w:sz w:val="24"/>
        </w:rPr>
        <w:t> </w:t>
      </w:r>
      <w:r>
        <w:rPr>
          <w:sz w:val="24"/>
        </w:rPr>
        <w:t>Morphine (</w:t>
      </w:r>
      <w:r>
        <w:rPr>
          <w:spacing w:val="6"/>
          <w:sz w:val="24"/>
        </w:rPr>
        <w:t> </w:t>
      </w:r>
      <w:r>
        <w:rPr>
          <w:sz w:val="24"/>
        </w:rPr>
        <w:t>)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1017" w:top="1360" w:bottom="1200" w:left="620" w:right="0"/>
        </w:sectPr>
      </w:pPr>
    </w:p>
    <w:p>
      <w:pPr>
        <w:pStyle w:val="ListParagraph"/>
        <w:numPr>
          <w:ilvl w:val="3"/>
          <w:numId w:val="34"/>
        </w:numPr>
        <w:tabs>
          <w:tab w:pos="2260" w:val="left" w:leader="none"/>
        </w:tabs>
        <w:spacing w:line="240" w:lineRule="auto" w:before="72" w:after="0"/>
        <w:ind w:left="2260" w:right="0" w:hanging="360"/>
        <w:jc w:val="both"/>
        <w:rPr>
          <w:sz w:val="24"/>
        </w:rPr>
      </w:pPr>
      <w:r>
        <w:rPr>
          <w:sz w:val="24"/>
        </w:rPr>
        <w:t>Hydroxyurea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spacing w:val="2"/>
          <w:sz w:val="24"/>
        </w:rPr>
        <w:t> </w:t>
      </w:r>
      <w:r>
        <w:rPr>
          <w:sz w:val="24"/>
        </w:rPr>
        <w:t>)</w:t>
      </w:r>
    </w:p>
    <w:p>
      <w:pPr>
        <w:pStyle w:val="ListParagraph"/>
        <w:numPr>
          <w:ilvl w:val="2"/>
          <w:numId w:val="34"/>
        </w:numPr>
        <w:tabs>
          <w:tab w:pos="1540" w:val="left" w:leader="none"/>
        </w:tabs>
        <w:spacing w:line="360" w:lineRule="auto" w:before="136" w:after="0"/>
        <w:ind w:left="1540" w:right="1447" w:hanging="360"/>
        <w:jc w:val="both"/>
        <w:rPr>
          <w:sz w:val="24"/>
        </w:rPr>
      </w:pPr>
      <w:r>
        <w:rPr>
          <w:sz w:val="24"/>
        </w:rPr>
        <w:t>History of: septicaemia (</w:t>
      </w:r>
      <w:r>
        <w:rPr>
          <w:spacing w:val="1"/>
          <w:sz w:val="24"/>
        </w:rPr>
        <w:t> </w:t>
      </w:r>
      <w:r>
        <w:rPr>
          <w:sz w:val="24"/>
        </w:rPr>
        <w:t>), anaemia (</w:t>
      </w:r>
      <w:r>
        <w:rPr>
          <w:spacing w:val="1"/>
          <w:sz w:val="24"/>
        </w:rPr>
        <w:t> </w:t>
      </w:r>
      <w:r>
        <w:rPr>
          <w:sz w:val="24"/>
        </w:rPr>
        <w:t>), acute chest syndrome (</w:t>
      </w:r>
      <w:r>
        <w:rPr>
          <w:spacing w:val="1"/>
          <w:sz w:val="24"/>
        </w:rPr>
        <w:t> </w:t>
      </w:r>
      <w:r>
        <w:rPr>
          <w:sz w:val="24"/>
        </w:rPr>
        <w:t>), haematuria (</w:t>
      </w:r>
      <w:r>
        <w:rPr>
          <w:spacing w:val="1"/>
          <w:sz w:val="24"/>
        </w:rPr>
        <w:t> </w:t>
      </w:r>
      <w:r>
        <w:rPr>
          <w:sz w:val="24"/>
        </w:rPr>
        <w:t>),</w:t>
      </w:r>
      <w:r>
        <w:rPr>
          <w:spacing w:val="1"/>
          <w:sz w:val="24"/>
        </w:rPr>
        <w:t> </w:t>
      </w:r>
      <w:r>
        <w:rPr>
          <w:sz w:val="24"/>
        </w:rPr>
        <w:t>gnathopathy (</w:t>
      </w:r>
      <w:r>
        <w:rPr>
          <w:spacing w:val="1"/>
          <w:sz w:val="24"/>
        </w:rPr>
        <w:t> </w:t>
      </w:r>
      <w:r>
        <w:rPr>
          <w:sz w:val="24"/>
        </w:rPr>
        <w:t>), bossing of skull bones (</w:t>
      </w:r>
      <w:r>
        <w:rPr>
          <w:spacing w:val="1"/>
          <w:sz w:val="24"/>
        </w:rPr>
        <w:t> </w:t>
      </w:r>
      <w:r>
        <w:rPr>
          <w:sz w:val="24"/>
        </w:rPr>
        <w:t>), jaundice (</w:t>
      </w:r>
      <w:r>
        <w:rPr>
          <w:spacing w:val="1"/>
          <w:sz w:val="24"/>
        </w:rPr>
        <w:t> </w:t>
      </w:r>
      <w:r>
        <w:rPr>
          <w:sz w:val="24"/>
        </w:rPr>
        <w:t>), osteomyelitis (</w:t>
      </w:r>
      <w:r>
        <w:rPr>
          <w:spacing w:val="1"/>
          <w:sz w:val="24"/>
        </w:rPr>
        <w:t> </w:t>
      </w:r>
      <w:r>
        <w:rPr>
          <w:sz w:val="24"/>
        </w:rPr>
        <w:t>), avascular</w:t>
      </w:r>
      <w:r>
        <w:rPr>
          <w:spacing w:val="1"/>
          <w:sz w:val="24"/>
        </w:rPr>
        <w:t> </w:t>
      </w:r>
      <w:r>
        <w:rPr>
          <w:sz w:val="24"/>
        </w:rPr>
        <w:t>necrosis – humeral head (</w:t>
      </w:r>
      <w:r>
        <w:rPr>
          <w:spacing w:val="1"/>
          <w:sz w:val="24"/>
        </w:rPr>
        <w:t> </w:t>
      </w:r>
      <w:r>
        <w:rPr>
          <w:sz w:val="24"/>
        </w:rPr>
        <w:t>) / femoral head (</w:t>
      </w:r>
      <w:r>
        <w:rPr>
          <w:spacing w:val="1"/>
          <w:sz w:val="24"/>
        </w:rPr>
        <w:t> </w:t>
      </w:r>
      <w:r>
        <w:rPr>
          <w:sz w:val="24"/>
        </w:rPr>
        <w:t>), leg ulcers (</w:t>
      </w:r>
      <w:r>
        <w:rPr>
          <w:spacing w:val="1"/>
          <w:sz w:val="24"/>
        </w:rPr>
        <w:t> </w:t>
      </w:r>
      <w:r>
        <w:rPr>
          <w:sz w:val="24"/>
        </w:rPr>
        <w:t>), frequent headaches (</w:t>
      </w:r>
      <w:r>
        <w:rPr>
          <w:spacing w:val="1"/>
          <w:sz w:val="24"/>
        </w:rPr>
        <w:t> </w:t>
      </w:r>
      <w:r>
        <w:rPr>
          <w:sz w:val="24"/>
        </w:rPr>
        <w:t>), eye</w:t>
      </w:r>
      <w:r>
        <w:rPr>
          <w:spacing w:val="-57"/>
          <w:sz w:val="24"/>
        </w:rPr>
        <w:t> </w:t>
      </w:r>
      <w:r>
        <w:rPr>
          <w:sz w:val="24"/>
        </w:rPr>
        <w:t>disorder</w:t>
      </w:r>
      <w:r>
        <w:rPr>
          <w:spacing w:val="2"/>
          <w:sz w:val="24"/>
        </w:rPr>
        <w:t> </w:t>
      </w:r>
      <w:r>
        <w:rPr>
          <w:sz w:val="24"/>
        </w:rPr>
        <w:t>(</w:t>
      </w:r>
      <w:r>
        <w:rPr>
          <w:spacing w:val="2"/>
          <w:sz w:val="24"/>
        </w:rPr>
        <w:t> </w:t>
      </w:r>
      <w:r>
        <w:rPr>
          <w:sz w:val="24"/>
        </w:rPr>
        <w:t>),</w:t>
      </w:r>
      <w:r>
        <w:rPr>
          <w:spacing w:val="4"/>
          <w:sz w:val="24"/>
        </w:rPr>
        <w:t> </w:t>
      </w:r>
      <w:r>
        <w:rPr>
          <w:sz w:val="24"/>
        </w:rPr>
        <w:t>priapism</w:t>
      </w:r>
      <w:r>
        <w:rPr>
          <w:spacing w:val="-7"/>
          <w:sz w:val="24"/>
        </w:rPr>
        <w:t> </w:t>
      </w:r>
      <w:r>
        <w:rPr>
          <w:sz w:val="24"/>
        </w:rPr>
        <w:t>(</w:t>
      </w:r>
      <w:r>
        <w:rPr>
          <w:spacing w:val="6"/>
          <w:sz w:val="24"/>
        </w:rPr>
        <w:t> </w:t>
      </w:r>
      <w:r>
        <w:rPr>
          <w:sz w:val="24"/>
        </w:rPr>
        <w:t>),</w:t>
      </w:r>
      <w:r>
        <w:rPr>
          <w:spacing w:val="-1"/>
          <w:sz w:val="24"/>
        </w:rPr>
        <w:t> </w:t>
      </w:r>
      <w:r>
        <w:rPr>
          <w:sz w:val="24"/>
        </w:rPr>
        <w:t>hepatomegaly</w:t>
      </w:r>
      <w:r>
        <w:rPr>
          <w:spacing w:val="-8"/>
          <w:sz w:val="24"/>
        </w:rPr>
        <w:t> </w:t>
      </w:r>
      <w:r>
        <w:rPr>
          <w:sz w:val="24"/>
        </w:rPr>
        <w:t>(</w:t>
      </w:r>
      <w:r>
        <w:rPr>
          <w:spacing w:val="6"/>
          <w:sz w:val="24"/>
        </w:rPr>
        <w:t> </w:t>
      </w:r>
      <w:r>
        <w:rPr>
          <w:sz w:val="24"/>
        </w:rPr>
        <w:t>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7"/>
        </w:rPr>
      </w:pPr>
    </w:p>
    <w:p>
      <w:pPr>
        <w:spacing w:before="0"/>
        <w:ind w:left="820" w:right="0" w:firstLine="0"/>
        <w:jc w:val="left"/>
        <w:rPr>
          <w:sz w:val="24"/>
        </w:rPr>
      </w:pPr>
      <w:r>
        <w:rPr>
          <w:b/>
          <w:sz w:val="24"/>
        </w:rPr>
        <w:t>Diagnosis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Features</w:t>
      </w:r>
      <w:r>
        <w:rPr>
          <w:b/>
          <w:spacing w:val="-3"/>
          <w:sz w:val="24"/>
        </w:rPr>
        <w:t> </w:t>
      </w:r>
      <w:r>
        <w:rPr>
          <w:sz w:val="24"/>
        </w:rPr>
        <w:t>(to</w:t>
      </w:r>
      <w:r>
        <w:rPr>
          <w:spacing w:val="2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completed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11"/>
          <w:sz w:val="24"/>
        </w:rPr>
        <w:t> </w:t>
      </w:r>
      <w:r>
        <w:rPr>
          <w:sz w:val="24"/>
        </w:rPr>
        <w:t>researcher)</w:t>
      </w:r>
    </w:p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2"/>
          <w:numId w:val="34"/>
        </w:numPr>
        <w:tabs>
          <w:tab w:pos="1540" w:val="left" w:leader="none"/>
        </w:tabs>
        <w:spacing w:line="240" w:lineRule="auto" w:before="1" w:after="0"/>
        <w:ind w:left="1540" w:right="0" w:hanging="360"/>
        <w:jc w:val="left"/>
        <w:rPr>
          <w:sz w:val="24"/>
        </w:rPr>
      </w:pPr>
      <w:r>
        <w:rPr>
          <w:sz w:val="24"/>
        </w:rPr>
        <w:t>Laboratory</w:t>
      </w:r>
      <w:r>
        <w:rPr>
          <w:spacing w:val="-10"/>
          <w:sz w:val="24"/>
        </w:rPr>
        <w:t> </w:t>
      </w:r>
      <w:r>
        <w:rPr>
          <w:sz w:val="24"/>
        </w:rPr>
        <w:t>tests</w:t>
      </w:r>
      <w:r>
        <w:rPr>
          <w:spacing w:val="-6"/>
          <w:sz w:val="24"/>
        </w:rPr>
        <w:t> </w:t>
      </w:r>
      <w:r>
        <w:rPr>
          <w:sz w:val="24"/>
        </w:rPr>
        <w:t>to be carried out</w:t>
      </w:r>
      <w:r>
        <w:rPr>
          <w:spacing w:val="6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3"/>
          <w:numId w:val="34"/>
        </w:numPr>
        <w:tabs>
          <w:tab w:pos="2260" w:val="left" w:leader="none"/>
        </w:tabs>
        <w:spacing w:line="240" w:lineRule="auto" w:before="136" w:after="0"/>
        <w:ind w:left="2260" w:right="0" w:hanging="360"/>
        <w:jc w:val="both"/>
        <w:rPr>
          <w:sz w:val="24"/>
        </w:rPr>
      </w:pPr>
      <w:r>
        <w:rPr>
          <w:sz w:val="24"/>
        </w:rPr>
        <w:t>Full</w:t>
      </w:r>
      <w:r>
        <w:rPr>
          <w:spacing w:val="-4"/>
          <w:sz w:val="24"/>
        </w:rPr>
        <w:t> </w:t>
      </w:r>
      <w:r>
        <w:rPr>
          <w:sz w:val="24"/>
        </w:rPr>
        <w:t>blood count</w:t>
      </w:r>
    </w:p>
    <w:p>
      <w:pPr>
        <w:pStyle w:val="ListParagraph"/>
        <w:numPr>
          <w:ilvl w:val="4"/>
          <w:numId w:val="34"/>
        </w:numPr>
        <w:tabs>
          <w:tab w:pos="2980" w:val="left" w:leader="none"/>
        </w:tabs>
        <w:spacing w:line="240" w:lineRule="auto" w:before="142" w:after="0"/>
        <w:ind w:left="2980" w:right="0" w:hanging="308"/>
        <w:jc w:val="left"/>
        <w:rPr>
          <w:sz w:val="24"/>
        </w:rPr>
      </w:pPr>
      <w:r>
        <w:rPr>
          <w:sz w:val="24"/>
        </w:rPr>
        <w:t>Platelet</w:t>
      </w:r>
      <w:r>
        <w:rPr>
          <w:spacing w:val="-1"/>
          <w:sz w:val="24"/>
        </w:rPr>
        <w:t> </w:t>
      </w:r>
      <w:r>
        <w:rPr>
          <w:sz w:val="24"/>
        </w:rPr>
        <w:t>count</w:t>
      </w:r>
    </w:p>
    <w:p>
      <w:pPr>
        <w:pStyle w:val="ListParagraph"/>
        <w:numPr>
          <w:ilvl w:val="4"/>
          <w:numId w:val="34"/>
        </w:numPr>
        <w:tabs>
          <w:tab w:pos="2980" w:val="left" w:leader="none"/>
        </w:tabs>
        <w:spacing w:line="240" w:lineRule="auto" w:before="137" w:after="0"/>
        <w:ind w:left="2980" w:right="0" w:hanging="375"/>
        <w:jc w:val="left"/>
        <w:rPr>
          <w:sz w:val="24"/>
        </w:rPr>
      </w:pPr>
      <w:r>
        <w:rPr>
          <w:sz w:val="24"/>
        </w:rPr>
        <w:t>White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-3"/>
          <w:sz w:val="24"/>
        </w:rPr>
        <w:t> </w:t>
      </w:r>
      <w:r>
        <w:rPr>
          <w:sz w:val="24"/>
        </w:rPr>
        <w:t>cell</w:t>
      </w:r>
      <w:r>
        <w:rPr>
          <w:spacing w:val="-6"/>
          <w:sz w:val="24"/>
        </w:rPr>
        <w:t> </w:t>
      </w:r>
      <w:r>
        <w:rPr>
          <w:sz w:val="24"/>
        </w:rPr>
        <w:t>count</w:t>
      </w:r>
    </w:p>
    <w:p>
      <w:pPr>
        <w:pStyle w:val="ListParagraph"/>
        <w:numPr>
          <w:ilvl w:val="4"/>
          <w:numId w:val="34"/>
        </w:numPr>
        <w:tabs>
          <w:tab w:pos="2980" w:val="left" w:leader="none"/>
        </w:tabs>
        <w:spacing w:line="240" w:lineRule="auto" w:before="137" w:after="0"/>
        <w:ind w:left="2980" w:right="0" w:hanging="442"/>
        <w:jc w:val="left"/>
        <w:rPr>
          <w:sz w:val="24"/>
        </w:rPr>
      </w:pPr>
      <w:r>
        <w:rPr>
          <w:sz w:val="24"/>
        </w:rPr>
        <w:t>Packed</w:t>
      </w:r>
      <w:r>
        <w:rPr>
          <w:spacing w:val="-4"/>
          <w:sz w:val="24"/>
        </w:rPr>
        <w:t> </w:t>
      </w:r>
      <w:r>
        <w:rPr>
          <w:sz w:val="24"/>
        </w:rPr>
        <w:t>cell</w:t>
      </w:r>
      <w:r>
        <w:rPr>
          <w:spacing w:val="-2"/>
          <w:sz w:val="24"/>
        </w:rPr>
        <w:t> </w:t>
      </w:r>
      <w:r>
        <w:rPr>
          <w:sz w:val="24"/>
        </w:rPr>
        <w:t>volume</w:t>
      </w:r>
      <w:r>
        <w:rPr>
          <w:spacing w:val="-4"/>
          <w:sz w:val="24"/>
        </w:rPr>
        <w:t> </w:t>
      </w:r>
      <w:r>
        <w:rPr>
          <w:sz w:val="24"/>
        </w:rPr>
        <w:t>(PCV)</w:t>
      </w:r>
    </w:p>
    <w:p>
      <w:pPr>
        <w:pStyle w:val="ListParagraph"/>
        <w:numPr>
          <w:ilvl w:val="4"/>
          <w:numId w:val="34"/>
        </w:numPr>
        <w:tabs>
          <w:tab w:pos="2980" w:val="left" w:leader="none"/>
        </w:tabs>
        <w:spacing w:line="240" w:lineRule="auto" w:before="136" w:after="0"/>
        <w:ind w:left="2980" w:right="0" w:hanging="428"/>
        <w:jc w:val="left"/>
        <w:rPr>
          <w:sz w:val="24"/>
        </w:rPr>
      </w:pPr>
      <w:r>
        <w:rPr>
          <w:sz w:val="24"/>
        </w:rPr>
        <w:t>Reticulocyte</w:t>
      </w:r>
      <w:r>
        <w:rPr>
          <w:spacing w:val="-5"/>
          <w:sz w:val="24"/>
        </w:rPr>
        <w:t> </w:t>
      </w:r>
      <w:r>
        <w:rPr>
          <w:sz w:val="24"/>
        </w:rPr>
        <w:t>count</w:t>
      </w:r>
    </w:p>
    <w:p>
      <w:pPr>
        <w:pStyle w:val="ListParagraph"/>
        <w:numPr>
          <w:ilvl w:val="3"/>
          <w:numId w:val="34"/>
        </w:numPr>
        <w:tabs>
          <w:tab w:pos="2260" w:val="left" w:leader="none"/>
        </w:tabs>
        <w:spacing w:line="240" w:lineRule="auto" w:before="137" w:after="0"/>
        <w:ind w:left="2260" w:right="0" w:hanging="360"/>
        <w:jc w:val="left"/>
        <w:rPr>
          <w:sz w:val="24"/>
        </w:rPr>
      </w:pPr>
      <w:r>
        <w:rPr>
          <w:sz w:val="24"/>
        </w:rPr>
        <w:t>Film</w:t>
      </w:r>
    </w:p>
    <w:p>
      <w:pPr>
        <w:pStyle w:val="ListParagraph"/>
        <w:numPr>
          <w:ilvl w:val="3"/>
          <w:numId w:val="34"/>
        </w:numPr>
        <w:tabs>
          <w:tab w:pos="2260" w:val="left" w:leader="none"/>
        </w:tabs>
        <w:spacing w:line="240" w:lineRule="auto" w:before="142" w:after="0"/>
        <w:ind w:left="2260" w:right="0" w:hanging="360"/>
        <w:jc w:val="left"/>
        <w:rPr>
          <w:sz w:val="24"/>
        </w:rPr>
      </w:pPr>
      <w:r>
        <w:rPr>
          <w:sz w:val="24"/>
        </w:rPr>
        <w:t>Haemoglobin</w:t>
      </w:r>
      <w:r>
        <w:rPr>
          <w:spacing w:val="-8"/>
          <w:sz w:val="24"/>
        </w:rPr>
        <w:t> </w:t>
      </w:r>
      <w:r>
        <w:rPr>
          <w:sz w:val="24"/>
        </w:rPr>
        <w:t>electrophoresis</w:t>
      </w:r>
    </w:p>
    <w:p>
      <w:pPr>
        <w:pStyle w:val="ListParagraph"/>
        <w:numPr>
          <w:ilvl w:val="3"/>
          <w:numId w:val="34"/>
        </w:numPr>
        <w:tabs>
          <w:tab w:pos="2260" w:val="left" w:leader="none"/>
        </w:tabs>
        <w:spacing w:line="240" w:lineRule="auto" w:before="137" w:after="0"/>
        <w:ind w:left="2260" w:right="0" w:hanging="360"/>
        <w:jc w:val="left"/>
        <w:rPr>
          <w:sz w:val="24"/>
        </w:rPr>
      </w:pPr>
      <w:r>
        <w:rPr>
          <w:sz w:val="24"/>
        </w:rPr>
        <w:t>Assay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micronutrients:</w:t>
      </w:r>
    </w:p>
    <w:p>
      <w:pPr>
        <w:pStyle w:val="BodyText"/>
        <w:spacing w:before="6" w:after="1"/>
        <w:rPr>
          <w:sz w:val="12"/>
        </w:rPr>
      </w:pPr>
    </w:p>
    <w:tbl>
      <w:tblPr>
        <w:tblW w:w="0" w:type="auto"/>
        <w:jc w:val="left"/>
        <w:tblInd w:w="2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49"/>
        <w:gridCol w:w="3423"/>
      </w:tblGrid>
      <w:tr>
        <w:trPr>
          <w:trHeight w:val="417" w:hRule="atLeast"/>
        </w:trPr>
        <w:tc>
          <w:tcPr>
            <w:tcW w:w="314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MICRONUTRIENT</w:t>
            </w:r>
          </w:p>
        </w:tc>
        <w:tc>
          <w:tcPr>
            <w:tcW w:w="3423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PLASMA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LEVEL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(µg/dL)</w:t>
            </w:r>
          </w:p>
        </w:tc>
      </w:tr>
      <w:tr>
        <w:trPr>
          <w:trHeight w:val="412" w:hRule="atLeast"/>
        </w:trPr>
        <w:tc>
          <w:tcPr>
            <w:tcW w:w="314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Magnesium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(Mg</w:t>
            </w:r>
            <w:r>
              <w:rPr>
                <w:sz w:val="24"/>
                <w:vertAlign w:val="superscript"/>
              </w:rPr>
              <w:t>2+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342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314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Zinc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(Zn</w:t>
            </w:r>
            <w:r>
              <w:rPr>
                <w:sz w:val="24"/>
                <w:vertAlign w:val="superscript"/>
              </w:rPr>
              <w:t>2+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342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7" w:hRule="atLeast"/>
        </w:trPr>
        <w:tc>
          <w:tcPr>
            <w:tcW w:w="314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Copper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(Cu</w:t>
            </w:r>
            <w:r>
              <w:rPr>
                <w:sz w:val="24"/>
                <w:vertAlign w:val="superscript"/>
              </w:rPr>
              <w:t>2+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342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314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Iron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(Fe</w:t>
            </w:r>
            <w:r>
              <w:rPr>
                <w:sz w:val="24"/>
                <w:vertAlign w:val="superscript"/>
              </w:rPr>
              <w:t>2+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3423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jc w:val="left"/>
      </w:pPr>
      <w:r>
        <w:rPr/>
        <w:t>APPENDIX</w:t>
      </w:r>
      <w:r>
        <w:rPr>
          <w:spacing w:val="-3"/>
        </w:rPr>
        <w:t> </w:t>
      </w:r>
      <w:r>
        <w:rPr/>
        <w:t>III:</w:t>
      </w:r>
      <w:r>
        <w:rPr>
          <w:spacing w:val="-1"/>
        </w:rPr>
        <w:t> </w:t>
      </w:r>
      <w:r>
        <w:rPr/>
        <w:t>ANOVA:</w:t>
      </w:r>
      <w:r>
        <w:rPr>
          <w:spacing w:val="-2"/>
        </w:rPr>
        <w:t> </w:t>
      </w:r>
      <w:r>
        <w:rPr/>
        <w:t>Single</w:t>
      </w:r>
      <w:r>
        <w:rPr>
          <w:spacing w:val="-3"/>
        </w:rPr>
        <w:t> </w:t>
      </w:r>
      <w:r>
        <w:rPr/>
        <w:t>Factor:</w:t>
      </w:r>
      <w:r>
        <w:rPr>
          <w:spacing w:val="-2"/>
        </w:rPr>
        <w:t> </w:t>
      </w:r>
      <w:r>
        <w:rPr/>
        <w:t>Mean</w:t>
      </w:r>
      <w:r>
        <w:rPr>
          <w:spacing w:val="-6"/>
        </w:rPr>
        <w:t> </w:t>
      </w:r>
      <w:r>
        <w:rPr/>
        <w:t>Age</w:t>
      </w:r>
      <w:r>
        <w:rPr>
          <w:spacing w:val="-3"/>
        </w:rPr>
        <w:t> </w:t>
      </w:r>
      <w:r>
        <w:rPr/>
        <w:t>(Years)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Groups</w:t>
      </w:r>
    </w:p>
    <w:p>
      <w:pPr>
        <w:pStyle w:val="BodyText"/>
        <w:spacing w:before="10"/>
        <w:rPr>
          <w:b/>
          <w:sz w:val="29"/>
        </w:rPr>
      </w:pPr>
    </w:p>
    <w:tbl>
      <w:tblPr>
        <w:tblW w:w="0" w:type="auto"/>
        <w:jc w:val="left"/>
        <w:tblInd w:w="8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4"/>
        <w:gridCol w:w="1078"/>
        <w:gridCol w:w="1014"/>
        <w:gridCol w:w="1839"/>
        <w:gridCol w:w="1108"/>
        <w:gridCol w:w="1081"/>
        <w:gridCol w:w="1153"/>
      </w:tblGrid>
      <w:tr>
        <w:trPr>
          <w:trHeight w:val="616" w:hRule="atLeast"/>
        </w:trPr>
        <w:tc>
          <w:tcPr>
            <w:tcW w:w="21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SUMMARY</w:t>
            </w:r>
          </w:p>
        </w:tc>
        <w:tc>
          <w:tcPr>
            <w:tcW w:w="7273" w:type="dxa"/>
            <w:gridSpan w:val="6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3" w:hRule="atLeast"/>
        </w:trPr>
        <w:tc>
          <w:tcPr>
            <w:tcW w:w="218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Groups</w:t>
            </w:r>
          </w:p>
        </w:tc>
        <w:tc>
          <w:tcPr>
            <w:tcW w:w="1078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63" w:right="90"/>
              <w:jc w:val="center"/>
              <w:rPr>
                <w:sz w:val="24"/>
              </w:rPr>
            </w:pPr>
            <w:r>
              <w:rPr>
                <w:sz w:val="24"/>
              </w:rPr>
              <w:t>Count</w:t>
            </w:r>
          </w:p>
        </w:tc>
        <w:tc>
          <w:tcPr>
            <w:tcW w:w="101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89" w:right="104"/>
              <w:jc w:val="center"/>
              <w:rPr>
                <w:sz w:val="24"/>
              </w:rPr>
            </w:pPr>
            <w:r>
              <w:rPr>
                <w:sz w:val="24"/>
              </w:rPr>
              <w:t>Sum</w:t>
            </w:r>
          </w:p>
        </w:tc>
        <w:tc>
          <w:tcPr>
            <w:tcW w:w="1839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1" w:right="109"/>
              <w:jc w:val="center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(Years)</w:t>
            </w:r>
          </w:p>
        </w:tc>
        <w:tc>
          <w:tcPr>
            <w:tcW w:w="1108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1" w:right="100"/>
              <w:jc w:val="center"/>
              <w:rPr>
                <w:sz w:val="24"/>
              </w:rPr>
            </w:pPr>
            <w:r>
              <w:rPr>
                <w:sz w:val="24"/>
              </w:rPr>
              <w:t>Variance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7" w:hRule="atLeast"/>
        </w:trPr>
        <w:tc>
          <w:tcPr>
            <w:tcW w:w="21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HbSS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Crises</w:t>
            </w:r>
          </w:p>
        </w:tc>
        <w:tc>
          <w:tcPr>
            <w:tcW w:w="10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67" w:right="90"/>
              <w:jc w:val="center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0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89" w:right="104"/>
              <w:jc w:val="center"/>
              <w:rPr>
                <w:sz w:val="24"/>
              </w:rPr>
            </w:pPr>
            <w:r>
              <w:rPr>
                <w:sz w:val="24"/>
              </w:rPr>
              <w:t>1055.00</w:t>
            </w:r>
          </w:p>
        </w:tc>
        <w:tc>
          <w:tcPr>
            <w:tcW w:w="18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23.44</w:t>
            </w:r>
          </w:p>
        </w:tc>
        <w:tc>
          <w:tcPr>
            <w:tcW w:w="11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1" w:right="92"/>
              <w:jc w:val="center"/>
              <w:rPr>
                <w:sz w:val="24"/>
              </w:rPr>
            </w:pPr>
            <w:r>
              <w:rPr>
                <w:sz w:val="24"/>
              </w:rPr>
              <w:t>15.39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2184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HbAA</w:t>
            </w:r>
          </w:p>
        </w:tc>
        <w:tc>
          <w:tcPr>
            <w:tcW w:w="1078" w:type="dxa"/>
          </w:tcPr>
          <w:p>
            <w:pPr>
              <w:pStyle w:val="TableParagraph"/>
              <w:spacing w:before="164"/>
              <w:ind w:left="167" w:right="90"/>
              <w:jc w:val="center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014" w:type="dxa"/>
          </w:tcPr>
          <w:p>
            <w:pPr>
              <w:pStyle w:val="TableParagraph"/>
              <w:spacing w:before="164"/>
              <w:ind w:left="89" w:right="104"/>
              <w:jc w:val="center"/>
              <w:rPr>
                <w:sz w:val="24"/>
              </w:rPr>
            </w:pPr>
            <w:r>
              <w:rPr>
                <w:sz w:val="24"/>
              </w:rPr>
              <w:t>1079.00</w:t>
            </w:r>
          </w:p>
        </w:tc>
        <w:tc>
          <w:tcPr>
            <w:tcW w:w="1839" w:type="dxa"/>
          </w:tcPr>
          <w:p>
            <w:pPr>
              <w:pStyle w:val="TableParagraph"/>
              <w:spacing w:before="164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23.98</w:t>
            </w:r>
          </w:p>
        </w:tc>
        <w:tc>
          <w:tcPr>
            <w:tcW w:w="1108" w:type="dxa"/>
          </w:tcPr>
          <w:p>
            <w:pPr>
              <w:pStyle w:val="TableParagraph"/>
              <w:spacing w:before="164"/>
              <w:ind w:left="101" w:right="87"/>
              <w:jc w:val="center"/>
              <w:rPr>
                <w:sz w:val="24"/>
              </w:rPr>
            </w:pPr>
            <w:r>
              <w:rPr>
                <w:sz w:val="24"/>
              </w:rPr>
              <w:t>8.75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90" w:hRule="atLeast"/>
        </w:trPr>
        <w:tc>
          <w:tcPr>
            <w:tcW w:w="21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HbSS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Steady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107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167" w:right="90"/>
              <w:jc w:val="center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01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89" w:right="104"/>
              <w:jc w:val="center"/>
              <w:rPr>
                <w:sz w:val="24"/>
              </w:rPr>
            </w:pPr>
            <w:r>
              <w:rPr>
                <w:sz w:val="24"/>
              </w:rPr>
              <w:t>1043.00</w:t>
            </w:r>
          </w:p>
        </w:tc>
        <w:tc>
          <w:tcPr>
            <w:tcW w:w="18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23.18</w:t>
            </w:r>
          </w:p>
        </w:tc>
        <w:tc>
          <w:tcPr>
            <w:tcW w:w="11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101" w:right="92"/>
              <w:jc w:val="center"/>
              <w:rPr>
                <w:sz w:val="24"/>
              </w:rPr>
            </w:pPr>
            <w:r>
              <w:rPr>
                <w:sz w:val="24"/>
              </w:rPr>
              <w:t>14.42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13" w:hRule="atLeast"/>
        </w:trPr>
        <w:tc>
          <w:tcPr>
            <w:tcW w:w="218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ANOVA</w:t>
            </w:r>
          </w:p>
        </w:tc>
        <w:tc>
          <w:tcPr>
            <w:tcW w:w="107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1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3" w:hRule="atLeast"/>
        </w:trPr>
        <w:tc>
          <w:tcPr>
            <w:tcW w:w="218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Variation</w:t>
            </w:r>
          </w:p>
        </w:tc>
        <w:tc>
          <w:tcPr>
            <w:tcW w:w="1078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62" w:right="90"/>
              <w:jc w:val="center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101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88" w:right="104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839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1" w:right="103"/>
              <w:jc w:val="center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  <w:tc>
          <w:tcPr>
            <w:tcW w:w="1108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81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61" w:right="146"/>
              <w:jc w:val="center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1153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39" w:right="117"/>
              <w:jc w:val="center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critical</w:t>
            </w:r>
          </w:p>
        </w:tc>
      </w:tr>
      <w:tr>
        <w:trPr>
          <w:trHeight w:val="437" w:hRule="atLeast"/>
        </w:trPr>
        <w:tc>
          <w:tcPr>
            <w:tcW w:w="21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0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67" w:right="90"/>
              <w:jc w:val="center"/>
              <w:rPr>
                <w:sz w:val="24"/>
              </w:rPr>
            </w:pPr>
            <w:r>
              <w:rPr>
                <w:sz w:val="24"/>
              </w:rPr>
              <w:t>14.93</w:t>
            </w:r>
          </w:p>
        </w:tc>
        <w:tc>
          <w:tcPr>
            <w:tcW w:w="10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89" w:right="99"/>
              <w:jc w:val="center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8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1" w:right="103"/>
              <w:jc w:val="center"/>
              <w:rPr>
                <w:sz w:val="24"/>
              </w:rPr>
            </w:pPr>
            <w:r>
              <w:rPr>
                <w:sz w:val="24"/>
              </w:rPr>
              <w:t>7.47</w:t>
            </w:r>
          </w:p>
        </w:tc>
        <w:tc>
          <w:tcPr>
            <w:tcW w:w="11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1" w:right="87"/>
              <w:jc w:val="center"/>
              <w:rPr>
                <w:sz w:val="24"/>
              </w:rPr>
            </w:pPr>
            <w:r>
              <w:rPr>
                <w:sz w:val="24"/>
              </w:rPr>
              <w:t>0.58</w:t>
            </w:r>
          </w:p>
        </w:tc>
        <w:tc>
          <w:tcPr>
            <w:tcW w:w="10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61" w:right="137"/>
              <w:jc w:val="center"/>
              <w:rPr>
                <w:sz w:val="24"/>
              </w:rPr>
            </w:pPr>
            <w:r>
              <w:rPr>
                <w:sz w:val="24"/>
              </w:rPr>
              <w:t>0.56</w:t>
            </w:r>
          </w:p>
        </w:tc>
        <w:tc>
          <w:tcPr>
            <w:tcW w:w="11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39" w:right="113"/>
              <w:jc w:val="center"/>
              <w:rPr>
                <w:sz w:val="24"/>
              </w:rPr>
            </w:pPr>
            <w:r>
              <w:rPr>
                <w:sz w:val="24"/>
              </w:rPr>
              <w:t>3.06</w:t>
            </w:r>
          </w:p>
        </w:tc>
      </w:tr>
      <w:tr>
        <w:trPr>
          <w:trHeight w:val="763" w:hRule="atLeast"/>
        </w:trPr>
        <w:tc>
          <w:tcPr>
            <w:tcW w:w="2184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078" w:type="dxa"/>
          </w:tcPr>
          <w:p>
            <w:pPr>
              <w:pStyle w:val="TableParagraph"/>
              <w:spacing w:before="164"/>
              <w:ind w:left="167" w:right="90"/>
              <w:jc w:val="center"/>
              <w:rPr>
                <w:sz w:val="24"/>
              </w:rPr>
            </w:pPr>
            <w:r>
              <w:rPr>
                <w:sz w:val="24"/>
              </w:rPr>
              <w:t>1696.67</w:t>
            </w:r>
          </w:p>
        </w:tc>
        <w:tc>
          <w:tcPr>
            <w:tcW w:w="1014" w:type="dxa"/>
          </w:tcPr>
          <w:p>
            <w:pPr>
              <w:pStyle w:val="TableParagraph"/>
              <w:spacing w:before="164"/>
              <w:ind w:left="89" w:right="99"/>
              <w:jc w:val="center"/>
              <w:rPr>
                <w:sz w:val="24"/>
              </w:rPr>
            </w:pPr>
            <w:r>
              <w:rPr>
                <w:sz w:val="24"/>
              </w:rPr>
              <w:t>132.00</w:t>
            </w:r>
          </w:p>
        </w:tc>
        <w:tc>
          <w:tcPr>
            <w:tcW w:w="1839" w:type="dxa"/>
          </w:tcPr>
          <w:p>
            <w:pPr>
              <w:pStyle w:val="TableParagraph"/>
              <w:spacing w:before="164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12.85</w:t>
            </w:r>
          </w:p>
        </w:tc>
        <w:tc>
          <w:tcPr>
            <w:tcW w:w="11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8" w:hRule="atLeast"/>
        </w:trPr>
        <w:tc>
          <w:tcPr>
            <w:tcW w:w="2184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078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line="256" w:lineRule="exact"/>
              <w:ind w:left="167" w:right="90"/>
              <w:jc w:val="center"/>
              <w:rPr>
                <w:sz w:val="24"/>
              </w:rPr>
            </w:pPr>
            <w:r>
              <w:rPr>
                <w:sz w:val="24"/>
              </w:rPr>
              <w:t>1711.60</w:t>
            </w:r>
          </w:p>
        </w:tc>
        <w:tc>
          <w:tcPr>
            <w:tcW w:w="1014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line="256" w:lineRule="exact"/>
              <w:ind w:left="89" w:right="99"/>
              <w:jc w:val="center"/>
              <w:rPr>
                <w:sz w:val="24"/>
              </w:rPr>
            </w:pPr>
            <w:r>
              <w:rPr>
                <w:sz w:val="24"/>
              </w:rPr>
              <w:t>134.00</w:t>
            </w:r>
          </w:p>
        </w:tc>
        <w:tc>
          <w:tcPr>
            <w:tcW w:w="18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1"/>
        <w:rPr>
          <w:b/>
          <w:sz w:val="27"/>
        </w:rPr>
      </w:pPr>
      <w:r>
        <w:rPr/>
        <w:pict>
          <v:shape style="position:absolute;margin-left:70.560005pt;margin-top:17.565281pt;width:473.3pt;height:1pt;mso-position-horizontal-relative:page;mso-position-vertical-relative:paragraph;z-index:-15685632;mso-wrap-distance-left:0;mso-wrap-distance-right:0" coordorigin="1411,351" coordsize="9466,20" path="m7565,351l7560,351,7546,351,5688,351,5683,351,5669,351,4690,351,4685,351,4670,351,3696,351,3691,351,3677,351,1411,351,1411,370,3677,370,3691,370,3696,370,4670,370,4685,370,4690,370,5669,370,5683,370,5688,370,7546,370,7560,370,7565,370,7565,351xm8650,351l8645,351,8630,351,7565,351,7565,370,8630,370,8645,370,8650,370,8650,351xm9763,351l9758,351,9744,351,8650,351,8650,370,9744,370,9758,370,9763,370,9763,351xm10877,351l9763,351,9763,370,10877,370,10877,35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</w:rPr>
      </w:pPr>
    </w:p>
    <w:p>
      <w:pPr>
        <w:pStyle w:val="BodyText"/>
        <w:spacing w:line="355" w:lineRule="auto"/>
        <w:ind w:left="820" w:right="1433"/>
      </w:pPr>
      <w:r>
        <w:rPr/>
        <w:t>Since</w:t>
      </w:r>
      <w:r>
        <w:rPr>
          <w:spacing w:val="35"/>
        </w:rPr>
        <w:t> </w:t>
      </w:r>
      <w:r>
        <w:rPr/>
        <w:t>F</w:t>
      </w:r>
      <w:r>
        <w:rPr>
          <w:spacing w:val="29"/>
        </w:rPr>
        <w:t> </w:t>
      </w:r>
      <w:r>
        <w:rPr/>
        <w:t>(0.58)</w:t>
      </w:r>
      <w:r>
        <w:rPr>
          <w:spacing w:val="39"/>
        </w:rPr>
        <w:t> </w:t>
      </w:r>
      <w:r>
        <w:rPr/>
        <w:t>is</w:t>
      </w:r>
      <w:r>
        <w:rPr>
          <w:spacing w:val="39"/>
        </w:rPr>
        <w:t> </w:t>
      </w:r>
      <w:r>
        <w:rPr/>
        <w:t>less</w:t>
      </w:r>
      <w:r>
        <w:rPr>
          <w:spacing w:val="30"/>
        </w:rPr>
        <w:t> </w:t>
      </w:r>
      <w:r>
        <w:rPr/>
        <w:t>than</w:t>
      </w:r>
      <w:r>
        <w:rPr>
          <w:spacing w:val="33"/>
        </w:rPr>
        <w:t> </w:t>
      </w:r>
      <w:r>
        <w:rPr/>
        <w:t>F</w:t>
      </w:r>
      <w:r>
        <w:rPr>
          <w:spacing w:val="29"/>
        </w:rPr>
        <w:t> </w:t>
      </w:r>
      <w:r>
        <w:rPr/>
        <w:t>critical</w:t>
      </w:r>
      <w:r>
        <w:rPr>
          <w:spacing w:val="28"/>
        </w:rPr>
        <w:t> </w:t>
      </w:r>
      <w:r>
        <w:rPr/>
        <w:t>(3.06);</w:t>
      </w:r>
      <w:r>
        <w:rPr>
          <w:spacing w:val="33"/>
        </w:rPr>
        <w:t> </w:t>
      </w:r>
      <w:r>
        <w:rPr/>
        <w:t>it</w:t>
      </w:r>
      <w:r>
        <w:rPr>
          <w:spacing w:val="41"/>
        </w:rPr>
        <w:t> </w:t>
      </w:r>
      <w:r>
        <w:rPr/>
        <w:t>implies</w:t>
      </w:r>
      <w:r>
        <w:rPr>
          <w:spacing w:val="30"/>
        </w:rPr>
        <w:t> </w:t>
      </w:r>
      <w:r>
        <w:rPr/>
        <w:t>that</w:t>
      </w:r>
      <w:r>
        <w:rPr>
          <w:spacing w:val="33"/>
        </w:rPr>
        <w:t> </w:t>
      </w:r>
      <w:r>
        <w:rPr/>
        <w:t>there</w:t>
      </w:r>
      <w:r>
        <w:rPr>
          <w:spacing w:val="36"/>
        </w:rPr>
        <w:t> </w:t>
      </w:r>
      <w:r>
        <w:rPr/>
        <w:t>is</w:t>
      </w:r>
      <w:r>
        <w:rPr>
          <w:spacing w:val="35"/>
        </w:rPr>
        <w:t> </w:t>
      </w:r>
      <w:r>
        <w:rPr/>
        <w:t>no</w:t>
      </w:r>
      <w:r>
        <w:rPr>
          <w:spacing w:val="42"/>
        </w:rPr>
        <w:t> </w:t>
      </w:r>
      <w:r>
        <w:rPr/>
        <w:t>statistically</w:t>
      </w:r>
      <w:r>
        <w:rPr>
          <w:spacing w:val="33"/>
        </w:rPr>
        <w:t> </w:t>
      </w:r>
      <w:r>
        <w:rPr/>
        <w:t>significant</w:t>
      </w:r>
      <w:r>
        <w:rPr>
          <w:spacing w:val="-57"/>
        </w:rPr>
        <w:t> </w:t>
      </w:r>
      <w:r>
        <w:rPr/>
        <w:t>difference between</w:t>
      </w:r>
      <w:r>
        <w:rPr>
          <w:spacing w:val="-3"/>
        </w:rPr>
        <w:t> </w:t>
      </w:r>
      <w:r>
        <w:rPr/>
        <w:t>the</w:t>
      </w:r>
      <w:r>
        <w:rPr>
          <w:spacing w:val="6"/>
        </w:rPr>
        <w:t> </w:t>
      </w:r>
      <w:r>
        <w:rPr/>
        <w:t>mean</w:t>
      </w:r>
      <w:r>
        <w:rPr>
          <w:spacing w:val="-4"/>
        </w:rPr>
        <w:t> </w:t>
      </w:r>
      <w:r>
        <w:rPr/>
        <w:t>ages 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three groups.</w:t>
      </w:r>
    </w:p>
    <w:p>
      <w:pPr>
        <w:spacing w:after="0" w:line="355" w:lineRule="auto"/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</w:pPr>
      <w:r>
        <w:rPr/>
        <w:t>APPENDIX</w:t>
      </w:r>
      <w:r>
        <w:rPr>
          <w:spacing w:val="-1"/>
        </w:rPr>
        <w:t> </w:t>
      </w:r>
      <w:r>
        <w:rPr/>
        <w:t>IV: ANOVA: Single</w:t>
      </w:r>
      <w:r>
        <w:rPr>
          <w:spacing w:val="-2"/>
        </w:rPr>
        <w:t> </w:t>
      </w:r>
      <w:r>
        <w:rPr/>
        <w:t>Factor: Mean</w:t>
      </w:r>
      <w:r>
        <w:rPr>
          <w:spacing w:val="-9"/>
        </w:rPr>
        <w:t> </w:t>
      </w:r>
      <w:r>
        <w:rPr/>
        <w:t>Weights</w:t>
      </w:r>
      <w:r>
        <w:rPr>
          <w:spacing w:val="-3"/>
        </w:rPr>
        <w:t> </w:t>
      </w:r>
      <w:r>
        <w:rPr/>
        <w:t>(Kg)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Groups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0"/>
        </w:rPr>
      </w:pPr>
    </w:p>
    <w:tbl>
      <w:tblPr>
        <w:tblW w:w="0" w:type="auto"/>
        <w:jc w:val="left"/>
        <w:tblInd w:w="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7"/>
        <w:gridCol w:w="1238"/>
        <w:gridCol w:w="1116"/>
        <w:gridCol w:w="1643"/>
        <w:gridCol w:w="1126"/>
        <w:gridCol w:w="1139"/>
        <w:gridCol w:w="1111"/>
      </w:tblGrid>
      <w:tr>
        <w:trPr>
          <w:trHeight w:val="472" w:hRule="atLeast"/>
        </w:trPr>
        <w:tc>
          <w:tcPr>
            <w:tcW w:w="21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SUMMARY</w:t>
            </w:r>
          </w:p>
        </w:tc>
        <w:tc>
          <w:tcPr>
            <w:tcW w:w="123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4" w:hRule="atLeast"/>
        </w:trPr>
        <w:tc>
          <w:tcPr>
            <w:tcW w:w="216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Groups</w:t>
            </w:r>
          </w:p>
        </w:tc>
        <w:tc>
          <w:tcPr>
            <w:tcW w:w="1238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45" w:right="147"/>
              <w:jc w:val="center"/>
              <w:rPr>
                <w:sz w:val="24"/>
              </w:rPr>
            </w:pPr>
            <w:r>
              <w:rPr>
                <w:sz w:val="24"/>
              </w:rPr>
              <w:t>Count</w:t>
            </w:r>
          </w:p>
        </w:tc>
        <w:tc>
          <w:tcPr>
            <w:tcW w:w="111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48" w:right="148"/>
              <w:jc w:val="center"/>
              <w:rPr>
                <w:sz w:val="24"/>
              </w:rPr>
            </w:pPr>
            <w:r>
              <w:rPr>
                <w:sz w:val="24"/>
              </w:rPr>
              <w:t>Sum</w:t>
            </w:r>
          </w:p>
        </w:tc>
        <w:tc>
          <w:tcPr>
            <w:tcW w:w="1643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48" w:right="132"/>
              <w:jc w:val="center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(Kg)</w:t>
            </w:r>
          </w:p>
        </w:tc>
        <w:tc>
          <w:tcPr>
            <w:tcW w:w="112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9" w:right="90"/>
              <w:jc w:val="center"/>
              <w:rPr>
                <w:sz w:val="24"/>
              </w:rPr>
            </w:pPr>
            <w:r>
              <w:rPr>
                <w:sz w:val="24"/>
              </w:rPr>
              <w:t>Variance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4" w:hRule="atLeast"/>
        </w:trPr>
        <w:tc>
          <w:tcPr>
            <w:tcW w:w="21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Crises</w:t>
            </w:r>
          </w:p>
        </w:tc>
        <w:tc>
          <w:tcPr>
            <w:tcW w:w="12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7" w:right="147"/>
              <w:jc w:val="center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1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8" w:right="148"/>
              <w:jc w:val="center"/>
              <w:rPr>
                <w:sz w:val="24"/>
              </w:rPr>
            </w:pPr>
            <w:r>
              <w:rPr>
                <w:sz w:val="24"/>
              </w:rPr>
              <w:t>2321.50</w:t>
            </w:r>
          </w:p>
        </w:tc>
        <w:tc>
          <w:tcPr>
            <w:tcW w:w="16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8" w:right="126"/>
              <w:jc w:val="center"/>
              <w:rPr>
                <w:sz w:val="24"/>
              </w:rPr>
            </w:pPr>
            <w:r>
              <w:rPr>
                <w:sz w:val="24"/>
              </w:rPr>
              <w:t>51.59</w:t>
            </w:r>
          </w:p>
        </w:tc>
        <w:tc>
          <w:tcPr>
            <w:tcW w:w="11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9" w:right="82"/>
              <w:jc w:val="center"/>
              <w:rPr>
                <w:sz w:val="24"/>
              </w:rPr>
            </w:pPr>
            <w:r>
              <w:rPr>
                <w:sz w:val="24"/>
              </w:rPr>
              <w:t>71.15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7" w:hRule="atLeast"/>
        </w:trPr>
        <w:tc>
          <w:tcPr>
            <w:tcW w:w="2167" w:type="dxa"/>
          </w:tcPr>
          <w:p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HbAA</w:t>
            </w:r>
          </w:p>
        </w:tc>
        <w:tc>
          <w:tcPr>
            <w:tcW w:w="1238" w:type="dxa"/>
          </w:tcPr>
          <w:p>
            <w:pPr>
              <w:pStyle w:val="TableParagraph"/>
              <w:spacing w:before="97"/>
              <w:ind w:left="147" w:right="147"/>
              <w:jc w:val="center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116" w:type="dxa"/>
          </w:tcPr>
          <w:p>
            <w:pPr>
              <w:pStyle w:val="TableParagraph"/>
              <w:spacing w:before="97"/>
              <w:ind w:left="148" w:right="148"/>
              <w:jc w:val="center"/>
              <w:rPr>
                <w:sz w:val="24"/>
              </w:rPr>
            </w:pPr>
            <w:r>
              <w:rPr>
                <w:sz w:val="24"/>
              </w:rPr>
              <w:t>2802.00</w:t>
            </w:r>
          </w:p>
        </w:tc>
        <w:tc>
          <w:tcPr>
            <w:tcW w:w="1643" w:type="dxa"/>
          </w:tcPr>
          <w:p>
            <w:pPr>
              <w:pStyle w:val="TableParagraph"/>
              <w:spacing w:before="97"/>
              <w:ind w:left="148" w:right="126"/>
              <w:jc w:val="center"/>
              <w:rPr>
                <w:sz w:val="24"/>
              </w:rPr>
            </w:pPr>
            <w:r>
              <w:rPr>
                <w:sz w:val="24"/>
              </w:rPr>
              <w:t>62.27</w:t>
            </w:r>
          </w:p>
        </w:tc>
        <w:tc>
          <w:tcPr>
            <w:tcW w:w="1126" w:type="dxa"/>
          </w:tcPr>
          <w:p>
            <w:pPr>
              <w:pStyle w:val="TableParagraph"/>
              <w:spacing w:before="97"/>
              <w:ind w:left="129" w:right="82"/>
              <w:jc w:val="center"/>
              <w:rPr>
                <w:sz w:val="24"/>
              </w:rPr>
            </w:pPr>
            <w:r>
              <w:rPr>
                <w:sz w:val="24"/>
              </w:rPr>
              <w:t>94.88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77" w:hRule="atLeast"/>
        </w:trPr>
        <w:tc>
          <w:tcPr>
            <w:tcW w:w="21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4"/>
              <w:ind w:left="105"/>
              <w:rPr>
                <w:sz w:val="24"/>
              </w:rPr>
            </w:pPr>
            <w:r>
              <w:rPr>
                <w:sz w:val="24"/>
              </w:rPr>
              <w:t>Steady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12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4"/>
              <w:ind w:left="147" w:right="147"/>
              <w:jc w:val="center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1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4"/>
              <w:ind w:left="148" w:right="148"/>
              <w:jc w:val="center"/>
              <w:rPr>
                <w:sz w:val="24"/>
              </w:rPr>
            </w:pPr>
            <w:r>
              <w:rPr>
                <w:sz w:val="24"/>
              </w:rPr>
              <w:t>2359.40</w:t>
            </w:r>
          </w:p>
        </w:tc>
        <w:tc>
          <w:tcPr>
            <w:tcW w:w="164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4"/>
              <w:ind w:left="148" w:right="126"/>
              <w:jc w:val="center"/>
              <w:rPr>
                <w:sz w:val="24"/>
              </w:rPr>
            </w:pPr>
            <w:r>
              <w:rPr>
                <w:sz w:val="24"/>
              </w:rPr>
              <w:t>52.43</w:t>
            </w:r>
          </w:p>
        </w:tc>
        <w:tc>
          <w:tcPr>
            <w:tcW w:w="11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4"/>
              <w:ind w:left="129" w:right="82"/>
              <w:jc w:val="center"/>
              <w:rPr>
                <w:sz w:val="24"/>
              </w:rPr>
            </w:pPr>
            <w:r>
              <w:rPr>
                <w:sz w:val="24"/>
              </w:rPr>
              <w:t>80.23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74" w:hRule="atLeast"/>
        </w:trPr>
        <w:tc>
          <w:tcPr>
            <w:tcW w:w="216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ANOVA</w:t>
            </w:r>
          </w:p>
        </w:tc>
        <w:tc>
          <w:tcPr>
            <w:tcW w:w="12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9" w:hRule="atLeast"/>
        </w:trPr>
        <w:tc>
          <w:tcPr>
            <w:tcW w:w="216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Variation</w:t>
            </w:r>
          </w:p>
        </w:tc>
        <w:tc>
          <w:tcPr>
            <w:tcW w:w="1238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44" w:right="147"/>
              <w:jc w:val="center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111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47" w:right="148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643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48" w:right="131"/>
              <w:jc w:val="center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  <w:tc>
          <w:tcPr>
            <w:tcW w:w="112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39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1111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critical</w:t>
            </w:r>
          </w:p>
        </w:tc>
      </w:tr>
      <w:tr>
        <w:trPr>
          <w:trHeight w:val="372" w:hRule="atLeast"/>
        </w:trPr>
        <w:tc>
          <w:tcPr>
            <w:tcW w:w="21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2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7" w:right="147"/>
              <w:jc w:val="center"/>
              <w:rPr>
                <w:sz w:val="24"/>
              </w:rPr>
            </w:pPr>
            <w:r>
              <w:rPr>
                <w:sz w:val="24"/>
              </w:rPr>
              <w:t>3171.94</w:t>
            </w:r>
          </w:p>
        </w:tc>
        <w:tc>
          <w:tcPr>
            <w:tcW w:w="11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4" w:right="148"/>
              <w:jc w:val="center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6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8" w:right="126"/>
              <w:jc w:val="center"/>
              <w:rPr>
                <w:sz w:val="24"/>
              </w:rPr>
            </w:pPr>
            <w:r>
              <w:rPr>
                <w:sz w:val="24"/>
              </w:rPr>
              <w:t>1585.97</w:t>
            </w:r>
          </w:p>
        </w:tc>
        <w:tc>
          <w:tcPr>
            <w:tcW w:w="11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9" w:right="82"/>
              <w:jc w:val="center"/>
              <w:rPr>
                <w:sz w:val="24"/>
              </w:rPr>
            </w:pPr>
            <w:r>
              <w:rPr>
                <w:sz w:val="24"/>
              </w:rPr>
              <w:t>19.32</w:t>
            </w:r>
          </w:p>
        </w:tc>
        <w:tc>
          <w:tcPr>
            <w:tcW w:w="11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4.37E-08</w:t>
            </w:r>
          </w:p>
        </w:tc>
        <w:tc>
          <w:tcPr>
            <w:tcW w:w="11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3.06</w:t>
            </w:r>
          </w:p>
        </w:tc>
      </w:tr>
      <w:tr>
        <w:trPr>
          <w:trHeight w:val="626" w:hRule="atLeast"/>
        </w:trPr>
        <w:tc>
          <w:tcPr>
            <w:tcW w:w="2167" w:type="dxa"/>
          </w:tcPr>
          <w:p>
            <w:pPr>
              <w:pStyle w:val="TableParagraph"/>
              <w:spacing w:before="94"/>
              <w:ind w:left="105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238" w:type="dxa"/>
          </w:tcPr>
          <w:p>
            <w:pPr>
              <w:pStyle w:val="TableParagraph"/>
              <w:spacing w:before="94"/>
              <w:ind w:left="150" w:right="147"/>
              <w:jc w:val="center"/>
              <w:rPr>
                <w:sz w:val="24"/>
              </w:rPr>
            </w:pPr>
            <w:r>
              <w:rPr>
                <w:sz w:val="24"/>
              </w:rPr>
              <w:t>10835.74</w:t>
            </w:r>
          </w:p>
        </w:tc>
        <w:tc>
          <w:tcPr>
            <w:tcW w:w="1116" w:type="dxa"/>
          </w:tcPr>
          <w:p>
            <w:pPr>
              <w:pStyle w:val="TableParagraph"/>
              <w:spacing w:before="94"/>
              <w:ind w:left="143" w:right="148"/>
              <w:jc w:val="center"/>
              <w:rPr>
                <w:sz w:val="24"/>
              </w:rPr>
            </w:pPr>
            <w:r>
              <w:rPr>
                <w:sz w:val="24"/>
              </w:rPr>
              <w:t>132.00</w:t>
            </w:r>
          </w:p>
        </w:tc>
        <w:tc>
          <w:tcPr>
            <w:tcW w:w="1643" w:type="dxa"/>
          </w:tcPr>
          <w:p>
            <w:pPr>
              <w:pStyle w:val="TableParagraph"/>
              <w:spacing w:before="94"/>
              <w:ind w:left="148" w:right="126"/>
              <w:jc w:val="center"/>
              <w:rPr>
                <w:sz w:val="24"/>
              </w:rPr>
            </w:pPr>
            <w:r>
              <w:rPr>
                <w:sz w:val="24"/>
              </w:rPr>
              <w:t>82.09</w:t>
            </w:r>
          </w:p>
        </w:tc>
        <w:tc>
          <w:tcPr>
            <w:tcW w:w="11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21" w:hRule="atLeast"/>
        </w:trPr>
        <w:tc>
          <w:tcPr>
            <w:tcW w:w="2167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238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56" w:lineRule="exact"/>
              <w:ind w:left="150" w:right="147"/>
              <w:jc w:val="center"/>
              <w:rPr>
                <w:sz w:val="24"/>
              </w:rPr>
            </w:pPr>
            <w:r>
              <w:rPr>
                <w:sz w:val="24"/>
              </w:rPr>
              <w:t>14007.68</w:t>
            </w:r>
          </w:p>
        </w:tc>
        <w:tc>
          <w:tcPr>
            <w:tcW w:w="1116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56" w:lineRule="exact"/>
              <w:ind w:left="143" w:right="148"/>
              <w:jc w:val="center"/>
              <w:rPr>
                <w:sz w:val="24"/>
              </w:rPr>
            </w:pPr>
            <w:r>
              <w:rPr>
                <w:sz w:val="24"/>
              </w:rPr>
              <w:t>134.00</w:t>
            </w:r>
          </w:p>
        </w:tc>
        <w:tc>
          <w:tcPr>
            <w:tcW w:w="16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7"/>
        <w:rPr>
          <w:b/>
          <w:sz w:val="14"/>
        </w:rPr>
      </w:pPr>
      <w:r>
        <w:rPr/>
        <w:pict>
          <v:shape style="position:absolute;margin-left:57.840004pt;margin-top:10.365278pt;width:477.85pt;height:1pt;mso-position-horizontal-relative:page;mso-position-vertical-relative:paragraph;z-index:-15685120;mso-wrap-distance-left:0;mso-wrap-distance-right:0" coordorigin="1157,207" coordsize="9557,20" path="m7387,207l7382,207,7368,207,5674,207,5669,207,5654,207,4594,207,4589,207,4574,207,3336,207,3331,207,3317,207,1157,207,1157,226,3317,226,3331,226,3336,226,4574,226,4589,226,4594,226,5654,226,5669,226,5674,226,7368,226,7382,226,7387,226,7387,207xm8467,207l8462,207,8448,207,7387,207,7387,226,8448,226,8462,226,8467,226,8467,207xm9638,207l9634,207,9619,207,8467,207,8467,226,9619,226,9634,226,9638,226,9638,207xm10714,207l9638,207,9638,226,10714,226,10714,20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357" w:lineRule="auto"/>
        <w:ind w:left="820" w:right="1443"/>
        <w:jc w:val="both"/>
      </w:pPr>
      <w:r>
        <w:rPr/>
        <w:t>Since F (19.32) is greater than F critical (3.06); it implies that there is a statistically significant</w:t>
      </w:r>
      <w:r>
        <w:rPr>
          <w:spacing w:val="1"/>
        </w:rPr>
        <w:t> </w:t>
      </w:r>
      <w:r>
        <w:rPr/>
        <w:t>difference between the weights of SCD patients in crises, SCD patients in steady state, and</w:t>
      </w:r>
      <w:r>
        <w:rPr>
          <w:spacing w:val="1"/>
        </w:rPr>
        <w:t> </w:t>
      </w:r>
      <w:r>
        <w:rPr/>
        <w:t>HbAA</w:t>
      </w:r>
      <w:r>
        <w:rPr>
          <w:spacing w:val="1"/>
        </w:rPr>
        <w:t> </w:t>
      </w:r>
      <w:r>
        <w:rPr/>
        <w:t>individuals.</w:t>
      </w:r>
    </w:p>
    <w:p>
      <w:pPr>
        <w:spacing w:after="0" w:line="357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spacing w:line="357" w:lineRule="auto" w:before="76"/>
        <w:ind w:right="1444"/>
      </w:pPr>
      <w:r>
        <w:rPr/>
        <w:t>APPENDIX V: t-Test: Mean Weights (Kg) of SCD Patients in Crises and HbAA Group;</w:t>
      </w:r>
      <w:r>
        <w:rPr>
          <w:spacing w:val="1"/>
        </w:rPr>
        <w:t> </w:t>
      </w:r>
      <w:r>
        <w:rPr/>
        <w:t>SCD Patients in Steady State and HbAA Group; and SCD Patients in Crises and SCD</w:t>
      </w:r>
      <w:r>
        <w:rPr>
          <w:spacing w:val="1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in</w:t>
      </w:r>
      <w:r>
        <w:rPr>
          <w:spacing w:val="3"/>
        </w:rPr>
        <w:t> </w:t>
      </w:r>
      <w:r>
        <w:rPr/>
        <w:t>Steady</w:t>
      </w:r>
      <w:r>
        <w:rPr>
          <w:spacing w:val="2"/>
        </w:rPr>
        <w:t> </w:t>
      </w:r>
      <w:r>
        <w:rPr/>
        <w:t>State.</w:t>
      </w:r>
    </w:p>
    <w:p>
      <w:pPr>
        <w:pStyle w:val="BodyText"/>
        <w:spacing w:before="1"/>
        <w:rPr>
          <w:b/>
          <w:sz w:val="19"/>
        </w:rPr>
      </w:pPr>
    </w:p>
    <w:tbl>
      <w:tblPr>
        <w:tblW w:w="0" w:type="auto"/>
        <w:jc w:val="left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8"/>
        <w:gridCol w:w="1419"/>
        <w:gridCol w:w="1045"/>
        <w:gridCol w:w="1630"/>
        <w:gridCol w:w="1025"/>
        <w:gridCol w:w="879"/>
        <w:gridCol w:w="1487"/>
      </w:tblGrid>
      <w:tr>
        <w:trPr>
          <w:trHeight w:val="613" w:hRule="atLeast"/>
        </w:trPr>
        <w:tc>
          <w:tcPr>
            <w:tcW w:w="3408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Parameters</w:t>
            </w:r>
          </w:p>
        </w:tc>
        <w:tc>
          <w:tcPr>
            <w:tcW w:w="1419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Crises</w:t>
            </w:r>
          </w:p>
        </w:tc>
        <w:tc>
          <w:tcPr>
            <w:tcW w:w="1045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06" w:right="158"/>
              <w:jc w:val="center"/>
              <w:rPr>
                <w:sz w:val="24"/>
              </w:rPr>
            </w:pPr>
            <w:r>
              <w:rPr>
                <w:sz w:val="24"/>
              </w:rPr>
              <w:t>HbAA</w:t>
            </w:r>
          </w:p>
        </w:tc>
        <w:tc>
          <w:tcPr>
            <w:tcW w:w="1630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Steady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1025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HbAA</w:t>
            </w:r>
          </w:p>
        </w:tc>
        <w:tc>
          <w:tcPr>
            <w:tcW w:w="879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7"/>
              <w:rPr>
                <w:sz w:val="24"/>
              </w:rPr>
            </w:pPr>
            <w:r>
              <w:rPr>
                <w:sz w:val="24"/>
              </w:rPr>
              <w:t>Crises</w:t>
            </w:r>
          </w:p>
        </w:tc>
        <w:tc>
          <w:tcPr>
            <w:tcW w:w="148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50"/>
              <w:rPr>
                <w:sz w:val="24"/>
              </w:rPr>
            </w:pPr>
            <w:r>
              <w:rPr>
                <w:sz w:val="24"/>
              </w:rPr>
              <w:t>Steady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</w:tr>
      <w:tr>
        <w:trPr>
          <w:trHeight w:val="439" w:hRule="atLeast"/>
        </w:trPr>
        <w:tc>
          <w:tcPr>
            <w:tcW w:w="34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(Kg)</w:t>
            </w:r>
          </w:p>
        </w:tc>
        <w:tc>
          <w:tcPr>
            <w:tcW w:w="14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51.59</w:t>
            </w:r>
          </w:p>
        </w:tc>
        <w:tc>
          <w:tcPr>
            <w:tcW w:w="10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2" w:right="158"/>
              <w:jc w:val="center"/>
              <w:rPr>
                <w:sz w:val="24"/>
              </w:rPr>
            </w:pPr>
            <w:r>
              <w:rPr>
                <w:sz w:val="24"/>
              </w:rPr>
              <w:t>62.26</w:t>
            </w:r>
          </w:p>
        </w:tc>
        <w:tc>
          <w:tcPr>
            <w:tcW w:w="16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52.43</w:t>
            </w:r>
          </w:p>
        </w:tc>
        <w:tc>
          <w:tcPr>
            <w:tcW w:w="10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62.26</w:t>
            </w:r>
          </w:p>
        </w:tc>
        <w:tc>
          <w:tcPr>
            <w:tcW w:w="8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7"/>
              <w:rPr>
                <w:sz w:val="24"/>
              </w:rPr>
            </w:pPr>
            <w:r>
              <w:rPr>
                <w:sz w:val="24"/>
              </w:rPr>
              <w:t>51.59</w:t>
            </w:r>
          </w:p>
        </w:tc>
        <w:tc>
          <w:tcPr>
            <w:tcW w:w="14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0"/>
              <w:rPr>
                <w:sz w:val="24"/>
              </w:rPr>
            </w:pPr>
            <w:r>
              <w:rPr>
                <w:sz w:val="24"/>
              </w:rPr>
              <w:t>52.43</w:t>
            </w:r>
          </w:p>
        </w:tc>
      </w:tr>
      <w:tr>
        <w:trPr>
          <w:trHeight w:val="611" w:hRule="atLeast"/>
        </w:trPr>
        <w:tc>
          <w:tcPr>
            <w:tcW w:w="3408" w:type="dxa"/>
          </w:tcPr>
          <w:p>
            <w:pPr>
              <w:pStyle w:val="TableParagraph"/>
              <w:spacing w:before="161"/>
              <w:ind w:left="105"/>
              <w:rPr>
                <w:sz w:val="24"/>
              </w:rPr>
            </w:pPr>
            <w:r>
              <w:rPr>
                <w:sz w:val="24"/>
              </w:rPr>
              <w:t>Variance</w:t>
            </w:r>
          </w:p>
        </w:tc>
        <w:tc>
          <w:tcPr>
            <w:tcW w:w="1419" w:type="dxa"/>
          </w:tcPr>
          <w:p>
            <w:pPr>
              <w:pStyle w:val="TableParagraph"/>
              <w:spacing w:before="161"/>
              <w:ind w:left="297"/>
              <w:rPr>
                <w:sz w:val="24"/>
              </w:rPr>
            </w:pPr>
            <w:r>
              <w:rPr>
                <w:sz w:val="24"/>
              </w:rPr>
              <w:t>71.15</w:t>
            </w:r>
          </w:p>
        </w:tc>
        <w:tc>
          <w:tcPr>
            <w:tcW w:w="1045" w:type="dxa"/>
          </w:tcPr>
          <w:p>
            <w:pPr>
              <w:pStyle w:val="TableParagraph"/>
              <w:spacing w:before="161"/>
              <w:ind w:left="112" w:right="158"/>
              <w:jc w:val="center"/>
              <w:rPr>
                <w:sz w:val="24"/>
              </w:rPr>
            </w:pPr>
            <w:r>
              <w:rPr>
                <w:sz w:val="24"/>
              </w:rPr>
              <w:t>94.88</w:t>
            </w:r>
          </w:p>
        </w:tc>
        <w:tc>
          <w:tcPr>
            <w:tcW w:w="1630" w:type="dxa"/>
          </w:tcPr>
          <w:p>
            <w:pPr>
              <w:pStyle w:val="TableParagraph"/>
              <w:spacing w:before="161"/>
              <w:ind w:left="175"/>
              <w:rPr>
                <w:sz w:val="24"/>
              </w:rPr>
            </w:pPr>
            <w:r>
              <w:rPr>
                <w:sz w:val="24"/>
              </w:rPr>
              <w:t>80.23</w:t>
            </w:r>
          </w:p>
        </w:tc>
        <w:tc>
          <w:tcPr>
            <w:tcW w:w="1025" w:type="dxa"/>
          </w:tcPr>
          <w:p>
            <w:pPr>
              <w:pStyle w:val="TableParagraph"/>
              <w:spacing w:before="161"/>
              <w:ind w:left="254"/>
              <w:rPr>
                <w:sz w:val="24"/>
              </w:rPr>
            </w:pPr>
            <w:r>
              <w:rPr>
                <w:sz w:val="24"/>
              </w:rPr>
              <w:t>94.88</w:t>
            </w:r>
          </w:p>
        </w:tc>
        <w:tc>
          <w:tcPr>
            <w:tcW w:w="879" w:type="dxa"/>
          </w:tcPr>
          <w:p>
            <w:pPr>
              <w:pStyle w:val="TableParagraph"/>
              <w:spacing w:before="161"/>
              <w:ind w:left="127"/>
              <w:rPr>
                <w:sz w:val="24"/>
              </w:rPr>
            </w:pPr>
            <w:r>
              <w:rPr>
                <w:sz w:val="24"/>
              </w:rPr>
              <w:t>71.15</w:t>
            </w:r>
          </w:p>
        </w:tc>
        <w:tc>
          <w:tcPr>
            <w:tcW w:w="1487" w:type="dxa"/>
          </w:tcPr>
          <w:p>
            <w:pPr>
              <w:pStyle w:val="TableParagraph"/>
              <w:spacing w:before="161"/>
              <w:ind w:left="150"/>
              <w:rPr>
                <w:sz w:val="24"/>
              </w:rPr>
            </w:pPr>
            <w:r>
              <w:rPr>
                <w:sz w:val="24"/>
              </w:rPr>
              <w:t>80.23</w:t>
            </w:r>
          </w:p>
        </w:tc>
      </w:tr>
      <w:tr>
        <w:trPr>
          <w:trHeight w:val="614" w:hRule="atLeast"/>
        </w:trPr>
        <w:tc>
          <w:tcPr>
            <w:tcW w:w="3408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Observations</w:t>
            </w:r>
          </w:p>
        </w:tc>
        <w:tc>
          <w:tcPr>
            <w:tcW w:w="1419" w:type="dxa"/>
          </w:tcPr>
          <w:p>
            <w:pPr>
              <w:pStyle w:val="TableParagraph"/>
              <w:spacing w:before="164"/>
              <w:ind w:left="297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045" w:type="dxa"/>
          </w:tcPr>
          <w:p>
            <w:pPr>
              <w:pStyle w:val="TableParagraph"/>
              <w:spacing w:before="164"/>
              <w:ind w:left="112" w:right="158"/>
              <w:jc w:val="center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630" w:type="dxa"/>
          </w:tcPr>
          <w:p>
            <w:pPr>
              <w:pStyle w:val="TableParagraph"/>
              <w:spacing w:before="164"/>
              <w:ind w:left="175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025" w:type="dxa"/>
          </w:tcPr>
          <w:p>
            <w:pPr>
              <w:pStyle w:val="TableParagraph"/>
              <w:spacing w:before="164"/>
              <w:ind w:left="254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879" w:type="dxa"/>
          </w:tcPr>
          <w:p>
            <w:pPr>
              <w:pStyle w:val="TableParagraph"/>
              <w:spacing w:before="164"/>
              <w:ind w:left="127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487" w:type="dxa"/>
          </w:tcPr>
          <w:p>
            <w:pPr>
              <w:pStyle w:val="TableParagraph"/>
              <w:spacing w:before="164"/>
              <w:ind w:left="150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</w:tr>
      <w:tr>
        <w:trPr>
          <w:trHeight w:val="614" w:hRule="atLeast"/>
        </w:trPr>
        <w:tc>
          <w:tcPr>
            <w:tcW w:w="3408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Hypothesized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Difference</w:t>
            </w:r>
          </w:p>
        </w:tc>
        <w:tc>
          <w:tcPr>
            <w:tcW w:w="1419" w:type="dxa"/>
          </w:tcPr>
          <w:p>
            <w:pPr>
              <w:pStyle w:val="TableParagraph"/>
              <w:spacing w:before="164"/>
              <w:ind w:left="297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0" w:type="dxa"/>
          </w:tcPr>
          <w:p>
            <w:pPr>
              <w:pStyle w:val="TableParagraph"/>
              <w:spacing w:before="164"/>
              <w:ind w:left="175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</w:tcPr>
          <w:p>
            <w:pPr>
              <w:pStyle w:val="TableParagraph"/>
              <w:spacing w:before="164"/>
              <w:ind w:left="127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3408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419" w:type="dxa"/>
          </w:tcPr>
          <w:p>
            <w:pPr>
              <w:pStyle w:val="TableParagraph"/>
              <w:spacing w:before="164"/>
              <w:ind w:left="297"/>
              <w:rPr>
                <w:sz w:val="24"/>
              </w:rPr>
            </w:pPr>
            <w:r>
              <w:rPr>
                <w:sz w:val="24"/>
              </w:rPr>
              <w:t>86.00</w:t>
            </w:r>
          </w:p>
        </w:tc>
        <w:tc>
          <w:tcPr>
            <w:tcW w:w="10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0" w:type="dxa"/>
          </w:tcPr>
          <w:p>
            <w:pPr>
              <w:pStyle w:val="TableParagraph"/>
              <w:spacing w:before="164"/>
              <w:ind w:left="175"/>
              <w:rPr>
                <w:sz w:val="24"/>
              </w:rPr>
            </w:pPr>
            <w:r>
              <w:rPr>
                <w:sz w:val="24"/>
              </w:rPr>
              <w:t>87.00</w:t>
            </w:r>
          </w:p>
        </w:tc>
        <w:tc>
          <w:tcPr>
            <w:tcW w:w="10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</w:tcPr>
          <w:p>
            <w:pPr>
              <w:pStyle w:val="TableParagraph"/>
              <w:spacing w:before="164"/>
              <w:ind w:left="127"/>
              <w:rPr>
                <w:sz w:val="24"/>
              </w:rPr>
            </w:pPr>
            <w:r>
              <w:rPr>
                <w:sz w:val="24"/>
              </w:rPr>
              <w:t>88.00</w:t>
            </w:r>
          </w:p>
        </w:tc>
        <w:tc>
          <w:tcPr>
            <w:tcW w:w="14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3408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</w:t>
            </w:r>
          </w:p>
        </w:tc>
        <w:tc>
          <w:tcPr>
            <w:tcW w:w="1419" w:type="dxa"/>
          </w:tcPr>
          <w:p>
            <w:pPr>
              <w:pStyle w:val="TableParagraph"/>
              <w:spacing w:before="164"/>
              <w:ind w:left="297"/>
              <w:rPr>
                <w:sz w:val="24"/>
              </w:rPr>
            </w:pPr>
            <w:r>
              <w:rPr>
                <w:sz w:val="24"/>
              </w:rPr>
              <w:t>-5.56</w:t>
            </w:r>
          </w:p>
        </w:tc>
        <w:tc>
          <w:tcPr>
            <w:tcW w:w="10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0" w:type="dxa"/>
          </w:tcPr>
          <w:p>
            <w:pPr>
              <w:pStyle w:val="TableParagraph"/>
              <w:spacing w:before="164"/>
              <w:ind w:left="175"/>
              <w:rPr>
                <w:sz w:val="24"/>
              </w:rPr>
            </w:pPr>
            <w:r>
              <w:rPr>
                <w:sz w:val="24"/>
              </w:rPr>
              <w:t>-4.99</w:t>
            </w:r>
          </w:p>
        </w:tc>
        <w:tc>
          <w:tcPr>
            <w:tcW w:w="10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</w:tcPr>
          <w:p>
            <w:pPr>
              <w:pStyle w:val="TableParagraph"/>
              <w:spacing w:before="164"/>
              <w:ind w:left="127"/>
              <w:rPr>
                <w:sz w:val="24"/>
              </w:rPr>
            </w:pPr>
            <w:r>
              <w:rPr>
                <w:sz w:val="24"/>
              </w:rPr>
              <w:t>-0.46</w:t>
            </w:r>
          </w:p>
        </w:tc>
        <w:tc>
          <w:tcPr>
            <w:tcW w:w="14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3408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P(T&lt;=t)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one-tail</w:t>
            </w:r>
          </w:p>
        </w:tc>
        <w:tc>
          <w:tcPr>
            <w:tcW w:w="1419" w:type="dxa"/>
          </w:tcPr>
          <w:p>
            <w:pPr>
              <w:pStyle w:val="TableParagraph"/>
              <w:spacing w:before="164"/>
              <w:ind w:left="297"/>
              <w:rPr>
                <w:sz w:val="24"/>
              </w:rPr>
            </w:pPr>
            <w:r>
              <w:rPr>
                <w:sz w:val="24"/>
              </w:rPr>
              <w:t>1.49E-07</w:t>
            </w:r>
          </w:p>
        </w:tc>
        <w:tc>
          <w:tcPr>
            <w:tcW w:w="10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0" w:type="dxa"/>
          </w:tcPr>
          <w:p>
            <w:pPr>
              <w:pStyle w:val="TableParagraph"/>
              <w:spacing w:before="164"/>
              <w:ind w:left="175"/>
              <w:rPr>
                <w:sz w:val="24"/>
              </w:rPr>
            </w:pPr>
            <w:r>
              <w:rPr>
                <w:sz w:val="24"/>
              </w:rPr>
              <w:t>1.56E-06</w:t>
            </w:r>
          </w:p>
        </w:tc>
        <w:tc>
          <w:tcPr>
            <w:tcW w:w="10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</w:tcPr>
          <w:p>
            <w:pPr>
              <w:pStyle w:val="TableParagraph"/>
              <w:spacing w:before="164"/>
              <w:ind w:left="127"/>
              <w:rPr>
                <w:sz w:val="24"/>
              </w:rPr>
            </w:pPr>
            <w:r>
              <w:rPr>
                <w:sz w:val="24"/>
              </w:rPr>
              <w:t>0.32</w:t>
            </w:r>
          </w:p>
        </w:tc>
        <w:tc>
          <w:tcPr>
            <w:tcW w:w="14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3408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Critical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one-tail</w:t>
            </w:r>
          </w:p>
        </w:tc>
        <w:tc>
          <w:tcPr>
            <w:tcW w:w="1419" w:type="dxa"/>
          </w:tcPr>
          <w:p>
            <w:pPr>
              <w:pStyle w:val="TableParagraph"/>
              <w:spacing w:before="164"/>
              <w:ind w:left="297"/>
              <w:rPr>
                <w:sz w:val="24"/>
              </w:rPr>
            </w:pPr>
            <w:r>
              <w:rPr>
                <w:sz w:val="24"/>
              </w:rPr>
              <w:t>1.66</w:t>
            </w:r>
          </w:p>
        </w:tc>
        <w:tc>
          <w:tcPr>
            <w:tcW w:w="10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0" w:type="dxa"/>
          </w:tcPr>
          <w:p>
            <w:pPr>
              <w:pStyle w:val="TableParagraph"/>
              <w:spacing w:before="164"/>
              <w:ind w:left="175"/>
              <w:rPr>
                <w:sz w:val="24"/>
              </w:rPr>
            </w:pPr>
            <w:r>
              <w:rPr>
                <w:sz w:val="24"/>
              </w:rPr>
              <w:t>1.66</w:t>
            </w:r>
          </w:p>
        </w:tc>
        <w:tc>
          <w:tcPr>
            <w:tcW w:w="10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</w:tcPr>
          <w:p>
            <w:pPr>
              <w:pStyle w:val="TableParagraph"/>
              <w:spacing w:before="164"/>
              <w:ind w:left="127"/>
              <w:rPr>
                <w:sz w:val="24"/>
              </w:rPr>
            </w:pPr>
            <w:r>
              <w:rPr>
                <w:sz w:val="24"/>
              </w:rPr>
              <w:t>1.66</w:t>
            </w:r>
          </w:p>
        </w:tc>
        <w:tc>
          <w:tcPr>
            <w:tcW w:w="14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3408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P(T&lt;=t)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two-tail</w:t>
            </w:r>
          </w:p>
        </w:tc>
        <w:tc>
          <w:tcPr>
            <w:tcW w:w="1419" w:type="dxa"/>
          </w:tcPr>
          <w:p>
            <w:pPr>
              <w:pStyle w:val="TableParagraph"/>
              <w:spacing w:before="164"/>
              <w:ind w:left="297"/>
              <w:rPr>
                <w:sz w:val="24"/>
              </w:rPr>
            </w:pPr>
            <w:r>
              <w:rPr>
                <w:sz w:val="24"/>
              </w:rPr>
              <w:t>2.99E-07</w:t>
            </w:r>
          </w:p>
        </w:tc>
        <w:tc>
          <w:tcPr>
            <w:tcW w:w="10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0" w:type="dxa"/>
          </w:tcPr>
          <w:p>
            <w:pPr>
              <w:pStyle w:val="TableParagraph"/>
              <w:spacing w:before="164"/>
              <w:ind w:left="175"/>
              <w:rPr>
                <w:sz w:val="24"/>
              </w:rPr>
            </w:pPr>
            <w:r>
              <w:rPr>
                <w:sz w:val="24"/>
              </w:rPr>
              <w:t>3.12E-06</w:t>
            </w:r>
          </w:p>
        </w:tc>
        <w:tc>
          <w:tcPr>
            <w:tcW w:w="10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</w:tcPr>
          <w:p>
            <w:pPr>
              <w:pStyle w:val="TableParagraph"/>
              <w:spacing w:before="164"/>
              <w:ind w:left="127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14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0" w:hRule="atLeast"/>
        </w:trPr>
        <w:tc>
          <w:tcPr>
            <w:tcW w:w="3408" w:type="dxa"/>
          </w:tcPr>
          <w:p>
            <w:pPr>
              <w:pStyle w:val="TableParagraph"/>
              <w:spacing w:line="256" w:lineRule="exact" w:before="164"/>
              <w:ind w:left="105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Critical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two-tail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 w:before="164"/>
              <w:ind w:left="297"/>
              <w:rPr>
                <w:sz w:val="24"/>
              </w:rPr>
            </w:pPr>
            <w:r>
              <w:rPr>
                <w:sz w:val="24"/>
              </w:rPr>
              <w:t>1.99</w:t>
            </w:r>
          </w:p>
        </w:tc>
        <w:tc>
          <w:tcPr>
            <w:tcW w:w="10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0" w:type="dxa"/>
          </w:tcPr>
          <w:p>
            <w:pPr>
              <w:pStyle w:val="TableParagraph"/>
              <w:spacing w:line="256" w:lineRule="exact" w:before="164"/>
              <w:ind w:left="175"/>
              <w:rPr>
                <w:sz w:val="24"/>
              </w:rPr>
            </w:pPr>
            <w:r>
              <w:rPr>
                <w:sz w:val="24"/>
              </w:rPr>
              <w:t>1.99</w:t>
            </w:r>
          </w:p>
        </w:tc>
        <w:tc>
          <w:tcPr>
            <w:tcW w:w="10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</w:tcPr>
          <w:p>
            <w:pPr>
              <w:pStyle w:val="TableParagraph"/>
              <w:spacing w:line="256" w:lineRule="exact" w:before="164"/>
              <w:ind w:left="127"/>
              <w:rPr>
                <w:sz w:val="24"/>
              </w:rPr>
            </w:pPr>
            <w:r>
              <w:rPr>
                <w:sz w:val="24"/>
              </w:rPr>
              <w:t>1.99</w:t>
            </w:r>
          </w:p>
        </w:tc>
        <w:tc>
          <w:tcPr>
            <w:tcW w:w="1487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1"/>
        <w:rPr>
          <w:b/>
          <w:sz w:val="27"/>
        </w:rPr>
      </w:pPr>
      <w:r>
        <w:rPr/>
        <w:pict>
          <v:shape style="position:absolute;margin-left:39.840pt;margin-top:17.564281pt;width:545.3pt;height:1pt;mso-position-horizontal-relative:page;mso-position-vertical-relative:paragraph;z-index:-15684608;mso-wrap-distance-left:0;mso-wrap-distance-right:0" coordorigin="797,351" coordsize="10906,20" path="m5765,351l5760,351,5746,351,4416,351,4411,351,4397,351,797,351,797,370,4397,370,4411,370,4416,370,5746,370,5760,370,5765,370,5765,351xm8467,351l8462,351,8448,351,6754,351,6749,351,6734,351,5765,351,5765,370,6734,370,6749,370,6754,370,8448,370,8462,370,8467,370,8467,351xm9365,351l9360,351,9346,351,8467,351,8467,370,9346,370,9360,370,9365,370,9365,351xm11702,351l10267,351,10262,351,10248,351,9365,351,9365,370,10248,370,10262,370,10267,370,11702,370,11702,35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</w:rPr>
      </w:pPr>
    </w:p>
    <w:p>
      <w:pPr>
        <w:pStyle w:val="BodyText"/>
        <w:spacing w:line="357" w:lineRule="auto"/>
        <w:ind w:left="820" w:right="1436"/>
        <w:jc w:val="both"/>
      </w:pPr>
      <w:r>
        <w:rPr/>
        <w:t>Since t Stat (5.56) is greater than t Critical two-tail (1.99); it implies that there is a statistically</w:t>
      </w:r>
      <w:r>
        <w:rPr>
          <w:spacing w:val="1"/>
        </w:rPr>
        <w:t> </w:t>
      </w:r>
      <w:r>
        <w:rPr/>
        <w:t>significant difference between the weights of SCD patients in steady state and healthy HbAA</w:t>
      </w:r>
      <w:r>
        <w:rPr>
          <w:spacing w:val="1"/>
        </w:rPr>
        <w:t> </w:t>
      </w:r>
      <w:r>
        <w:rPr/>
        <w:t>volunteers.</w:t>
      </w:r>
    </w:p>
    <w:p>
      <w:pPr>
        <w:pStyle w:val="BodyText"/>
        <w:spacing w:line="360" w:lineRule="auto" w:before="206"/>
        <w:ind w:left="820" w:right="1435"/>
        <w:jc w:val="both"/>
      </w:pPr>
      <w:r>
        <w:rPr/>
        <w:t>Since t Stat (4.99) is greater than t Critical two-tail (1.99); it implies that there is a statistically</w:t>
      </w:r>
      <w:r>
        <w:rPr>
          <w:spacing w:val="1"/>
        </w:rPr>
        <w:t> </w:t>
      </w:r>
      <w:r>
        <w:rPr/>
        <w:t>significant</w:t>
      </w:r>
      <w:r>
        <w:rPr>
          <w:spacing w:val="60"/>
        </w:rPr>
        <w:t> </w:t>
      </w:r>
      <w:r>
        <w:rPr/>
        <w:t>difference between the weights of HbAA individuals and SCD patients in steady</w:t>
      </w:r>
      <w:r>
        <w:rPr>
          <w:spacing w:val="1"/>
        </w:rPr>
        <w:t> </w:t>
      </w:r>
      <w:r>
        <w:rPr/>
        <w:t>state.</w:t>
      </w:r>
    </w:p>
    <w:p>
      <w:pPr>
        <w:pStyle w:val="BodyText"/>
        <w:spacing w:line="355" w:lineRule="auto" w:before="203"/>
        <w:ind w:left="820" w:right="1436"/>
        <w:jc w:val="both"/>
      </w:pPr>
      <w:r>
        <w:rPr/>
        <w:t>Since t Stat (0.46) is less than t Critical two-tail (1.99); it implies that there is no statistically</w:t>
      </w:r>
      <w:r>
        <w:rPr>
          <w:spacing w:val="1"/>
        </w:rPr>
        <w:t> </w:t>
      </w:r>
      <w:r>
        <w:rPr/>
        <w:t>significant</w:t>
      </w:r>
      <w:r>
        <w:rPr>
          <w:spacing w:val="6"/>
        </w:rPr>
        <w:t> </w:t>
      </w:r>
      <w:r>
        <w:rPr/>
        <w:t>difference</w:t>
      </w:r>
      <w:r>
        <w:rPr>
          <w:spacing w:val="5"/>
        </w:rPr>
        <w:t> </w:t>
      </w:r>
      <w:r>
        <w:rPr/>
        <w:t>between</w:t>
      </w:r>
      <w:r>
        <w:rPr>
          <w:spacing w:val="-4"/>
        </w:rPr>
        <w:t> </w:t>
      </w:r>
      <w:r>
        <w:rPr/>
        <w:t>the</w:t>
      </w:r>
      <w:r>
        <w:rPr>
          <w:spacing w:val="5"/>
        </w:rPr>
        <w:t> </w:t>
      </w:r>
      <w:r>
        <w:rPr/>
        <w:t>mean</w:t>
      </w:r>
      <w:r>
        <w:rPr>
          <w:spacing w:val="-3"/>
        </w:rPr>
        <w:t> </w:t>
      </w:r>
      <w:r>
        <w:rPr/>
        <w:t>weights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both</w:t>
      </w:r>
      <w:r>
        <w:rPr>
          <w:spacing w:val="-3"/>
        </w:rPr>
        <w:t> </w:t>
      </w:r>
      <w:r>
        <w:rPr/>
        <w:t>SCD</w:t>
      </w:r>
      <w:r>
        <w:rPr>
          <w:spacing w:val="1"/>
        </w:rPr>
        <w:t> </w:t>
      </w:r>
      <w:r>
        <w:rPr/>
        <w:t>groups.</w:t>
      </w:r>
    </w:p>
    <w:p>
      <w:pPr>
        <w:spacing w:after="0" w:line="355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jc w:val="left"/>
      </w:pPr>
      <w:r>
        <w:rPr/>
        <w:t>APPENDIX</w:t>
      </w:r>
      <w:r>
        <w:rPr>
          <w:spacing w:val="-2"/>
        </w:rPr>
        <w:t> </w:t>
      </w:r>
      <w:r>
        <w:rPr/>
        <w:t>VI:</w:t>
      </w:r>
      <w:r>
        <w:rPr>
          <w:spacing w:val="-1"/>
        </w:rPr>
        <w:t> </w:t>
      </w:r>
      <w:r>
        <w:rPr/>
        <w:t>ANOVA:</w:t>
      </w:r>
      <w:r>
        <w:rPr>
          <w:spacing w:val="-1"/>
        </w:rPr>
        <w:t> </w:t>
      </w:r>
      <w:r>
        <w:rPr/>
        <w:t>Single</w:t>
      </w:r>
      <w:r>
        <w:rPr>
          <w:spacing w:val="-3"/>
        </w:rPr>
        <w:t> </w:t>
      </w:r>
      <w:r>
        <w:rPr/>
        <w:t>Factor:</w:t>
      </w:r>
      <w:r>
        <w:rPr>
          <w:spacing w:val="-1"/>
        </w:rPr>
        <w:t> </w:t>
      </w:r>
      <w:r>
        <w:rPr/>
        <w:t>Mean</w:t>
      </w:r>
      <w:r>
        <w:rPr>
          <w:spacing w:val="-9"/>
        </w:rPr>
        <w:t> </w:t>
      </w:r>
      <w:r>
        <w:rPr/>
        <w:t>Age</w:t>
      </w:r>
      <w:r>
        <w:rPr>
          <w:spacing w:val="-2"/>
        </w:rPr>
        <w:t> </w:t>
      </w:r>
      <w:r>
        <w:rPr/>
        <w:t>(Years)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Diagnosis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Groups</w:t>
      </w:r>
    </w:p>
    <w:p>
      <w:pPr>
        <w:pStyle w:val="BodyText"/>
        <w:spacing w:before="10"/>
        <w:rPr>
          <w:b/>
          <w:sz w:val="29"/>
        </w:rPr>
      </w:pPr>
    </w:p>
    <w:tbl>
      <w:tblPr>
        <w:tblW w:w="0" w:type="auto"/>
        <w:jc w:val="left"/>
        <w:tblInd w:w="8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4"/>
        <w:gridCol w:w="958"/>
        <w:gridCol w:w="920"/>
        <w:gridCol w:w="1916"/>
        <w:gridCol w:w="1154"/>
        <w:gridCol w:w="1031"/>
        <w:gridCol w:w="1203"/>
      </w:tblGrid>
      <w:tr>
        <w:trPr>
          <w:trHeight w:val="616" w:hRule="atLeast"/>
        </w:trPr>
        <w:tc>
          <w:tcPr>
            <w:tcW w:w="21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SUMMARY</w:t>
            </w:r>
          </w:p>
        </w:tc>
        <w:tc>
          <w:tcPr>
            <w:tcW w:w="7182" w:type="dxa"/>
            <w:gridSpan w:val="6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3" w:hRule="atLeast"/>
        </w:trPr>
        <w:tc>
          <w:tcPr>
            <w:tcW w:w="218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Groups</w:t>
            </w:r>
          </w:p>
        </w:tc>
        <w:tc>
          <w:tcPr>
            <w:tcW w:w="958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87"/>
              <w:rPr>
                <w:sz w:val="24"/>
              </w:rPr>
            </w:pPr>
            <w:r>
              <w:rPr>
                <w:sz w:val="24"/>
              </w:rPr>
              <w:t>Count</w:t>
            </w:r>
          </w:p>
        </w:tc>
        <w:tc>
          <w:tcPr>
            <w:tcW w:w="920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Sum</w:t>
            </w:r>
          </w:p>
        </w:tc>
        <w:tc>
          <w:tcPr>
            <w:tcW w:w="191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(Years)</w:t>
            </w:r>
          </w:p>
        </w:tc>
        <w:tc>
          <w:tcPr>
            <w:tcW w:w="115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75"/>
              <w:rPr>
                <w:sz w:val="24"/>
              </w:rPr>
            </w:pPr>
            <w:r>
              <w:rPr>
                <w:sz w:val="24"/>
              </w:rPr>
              <w:t>Variance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7" w:hRule="atLeast"/>
        </w:trPr>
        <w:tc>
          <w:tcPr>
            <w:tcW w:w="21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HbSC</w:t>
            </w:r>
          </w:p>
        </w:tc>
        <w:tc>
          <w:tcPr>
            <w:tcW w:w="9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87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9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23.00</w:t>
            </w:r>
          </w:p>
        </w:tc>
        <w:tc>
          <w:tcPr>
            <w:tcW w:w="19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3.83</w:t>
            </w:r>
          </w:p>
        </w:tc>
        <w:tc>
          <w:tcPr>
            <w:tcW w:w="11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75"/>
              <w:rPr>
                <w:sz w:val="24"/>
              </w:rPr>
            </w:pPr>
            <w:r>
              <w:rPr>
                <w:sz w:val="24"/>
              </w:rPr>
              <w:t>1.77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2184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HbSS</w:t>
            </w:r>
          </w:p>
        </w:tc>
        <w:tc>
          <w:tcPr>
            <w:tcW w:w="958" w:type="dxa"/>
          </w:tcPr>
          <w:p>
            <w:pPr>
              <w:pStyle w:val="TableParagraph"/>
              <w:spacing w:before="164"/>
              <w:ind w:left="187"/>
              <w:rPr>
                <w:sz w:val="24"/>
              </w:rPr>
            </w:pPr>
            <w:r>
              <w:rPr>
                <w:sz w:val="24"/>
              </w:rPr>
              <w:t>63.00</w:t>
            </w:r>
          </w:p>
        </w:tc>
        <w:tc>
          <w:tcPr>
            <w:tcW w:w="920" w:type="dxa"/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219.60</w:t>
            </w:r>
          </w:p>
        </w:tc>
        <w:tc>
          <w:tcPr>
            <w:tcW w:w="1916" w:type="dxa"/>
          </w:tcPr>
          <w:p>
            <w:pPr>
              <w:pStyle w:val="TableParagraph"/>
              <w:spacing w:before="164"/>
              <w:ind w:left="147"/>
              <w:rPr>
                <w:sz w:val="24"/>
              </w:rPr>
            </w:pPr>
            <w:r>
              <w:rPr>
                <w:sz w:val="24"/>
              </w:rPr>
              <w:t>3.49</w:t>
            </w:r>
          </w:p>
        </w:tc>
        <w:tc>
          <w:tcPr>
            <w:tcW w:w="1154" w:type="dxa"/>
          </w:tcPr>
          <w:p>
            <w:pPr>
              <w:pStyle w:val="TableParagraph"/>
              <w:spacing w:before="164"/>
              <w:ind w:left="175"/>
              <w:rPr>
                <w:sz w:val="24"/>
              </w:rPr>
            </w:pPr>
            <w:r>
              <w:rPr>
                <w:sz w:val="24"/>
              </w:rPr>
              <w:t>5.02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90" w:hRule="atLeast"/>
        </w:trPr>
        <w:tc>
          <w:tcPr>
            <w:tcW w:w="21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HbSS+F</w:t>
            </w:r>
          </w:p>
        </w:tc>
        <w:tc>
          <w:tcPr>
            <w:tcW w:w="95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187"/>
              <w:rPr>
                <w:sz w:val="24"/>
              </w:rPr>
            </w:pPr>
            <w:r>
              <w:rPr>
                <w:sz w:val="24"/>
              </w:rPr>
              <w:t>21.00</w:t>
            </w:r>
          </w:p>
        </w:tc>
        <w:tc>
          <w:tcPr>
            <w:tcW w:w="9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89.50</w:t>
            </w:r>
          </w:p>
        </w:tc>
        <w:tc>
          <w:tcPr>
            <w:tcW w:w="19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147"/>
              <w:rPr>
                <w:sz w:val="24"/>
              </w:rPr>
            </w:pPr>
            <w:r>
              <w:rPr>
                <w:sz w:val="24"/>
              </w:rPr>
              <w:t>4.26</w:t>
            </w:r>
          </w:p>
        </w:tc>
        <w:tc>
          <w:tcPr>
            <w:tcW w:w="115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175"/>
              <w:rPr>
                <w:sz w:val="24"/>
              </w:rPr>
            </w:pPr>
            <w:r>
              <w:rPr>
                <w:sz w:val="24"/>
              </w:rPr>
              <w:t>12.92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13" w:hRule="atLeast"/>
        </w:trPr>
        <w:tc>
          <w:tcPr>
            <w:tcW w:w="218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ANOVA</w:t>
            </w:r>
          </w:p>
        </w:tc>
        <w:tc>
          <w:tcPr>
            <w:tcW w:w="95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3" w:hRule="atLeast"/>
        </w:trPr>
        <w:tc>
          <w:tcPr>
            <w:tcW w:w="218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Variation</w:t>
            </w:r>
          </w:p>
        </w:tc>
        <w:tc>
          <w:tcPr>
            <w:tcW w:w="958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87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920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91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  <w:tc>
          <w:tcPr>
            <w:tcW w:w="115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75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31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1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1203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88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critical</w:t>
            </w:r>
          </w:p>
        </w:tc>
      </w:tr>
      <w:tr>
        <w:trPr>
          <w:trHeight w:val="437" w:hRule="atLeast"/>
        </w:trPr>
        <w:tc>
          <w:tcPr>
            <w:tcW w:w="21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9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87"/>
              <w:rPr>
                <w:sz w:val="24"/>
              </w:rPr>
            </w:pPr>
            <w:r>
              <w:rPr>
                <w:sz w:val="24"/>
              </w:rPr>
              <w:t>9.62</w:t>
            </w:r>
          </w:p>
        </w:tc>
        <w:tc>
          <w:tcPr>
            <w:tcW w:w="9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9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4.81</w:t>
            </w:r>
          </w:p>
        </w:tc>
        <w:tc>
          <w:tcPr>
            <w:tcW w:w="11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75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10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1"/>
              <w:rPr>
                <w:sz w:val="24"/>
              </w:rPr>
            </w:pPr>
            <w:r>
              <w:rPr>
                <w:sz w:val="24"/>
              </w:rPr>
              <w:t>0.49</w:t>
            </w:r>
          </w:p>
        </w:tc>
        <w:tc>
          <w:tcPr>
            <w:tcW w:w="12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88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</w:tr>
      <w:tr>
        <w:trPr>
          <w:trHeight w:val="763" w:hRule="atLeast"/>
        </w:trPr>
        <w:tc>
          <w:tcPr>
            <w:tcW w:w="2184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958" w:type="dxa"/>
          </w:tcPr>
          <w:p>
            <w:pPr>
              <w:pStyle w:val="TableParagraph"/>
              <w:spacing w:before="164"/>
              <w:ind w:left="187"/>
              <w:rPr>
                <w:sz w:val="24"/>
              </w:rPr>
            </w:pPr>
            <w:r>
              <w:rPr>
                <w:sz w:val="24"/>
              </w:rPr>
              <w:t>578.16</w:t>
            </w:r>
          </w:p>
        </w:tc>
        <w:tc>
          <w:tcPr>
            <w:tcW w:w="920" w:type="dxa"/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87.00</w:t>
            </w:r>
          </w:p>
        </w:tc>
        <w:tc>
          <w:tcPr>
            <w:tcW w:w="1916" w:type="dxa"/>
          </w:tcPr>
          <w:p>
            <w:pPr>
              <w:pStyle w:val="TableParagraph"/>
              <w:spacing w:before="164"/>
              <w:ind w:left="147"/>
              <w:rPr>
                <w:sz w:val="24"/>
              </w:rPr>
            </w:pPr>
            <w:r>
              <w:rPr>
                <w:sz w:val="24"/>
              </w:rPr>
              <w:t>6.65</w:t>
            </w:r>
          </w:p>
        </w:tc>
        <w:tc>
          <w:tcPr>
            <w:tcW w:w="11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8" w:hRule="atLeast"/>
        </w:trPr>
        <w:tc>
          <w:tcPr>
            <w:tcW w:w="2184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958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line="256" w:lineRule="exact"/>
              <w:ind w:left="187"/>
              <w:rPr>
                <w:sz w:val="24"/>
              </w:rPr>
            </w:pPr>
            <w:r>
              <w:rPr>
                <w:sz w:val="24"/>
              </w:rPr>
              <w:t>587.78</w:t>
            </w:r>
          </w:p>
        </w:tc>
        <w:tc>
          <w:tcPr>
            <w:tcW w:w="920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89.00</w:t>
            </w:r>
          </w:p>
        </w:tc>
        <w:tc>
          <w:tcPr>
            <w:tcW w:w="19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1"/>
        <w:rPr>
          <w:b/>
          <w:sz w:val="27"/>
        </w:rPr>
      </w:pPr>
      <w:r>
        <w:rPr/>
        <w:pict>
          <v:shape style="position:absolute;margin-left:70.560005pt;margin-top:17.565281pt;width:468.75pt;height:1pt;mso-position-horizontal-relative:page;mso-position-vertical-relative:paragraph;z-index:-15684096;mso-wrap-distance-left:0;mso-wrap-distance-right:0" coordorigin="1411,351" coordsize="9375,20" path="m5530,351l5525,351,5510,351,4570,351,4565,351,4550,351,3696,351,3691,351,3677,351,1411,351,1411,370,3677,370,3691,370,3696,370,4550,370,4565,370,4570,370,5510,370,5525,370,5530,370,5530,351xm8558,351l8554,351,8539,351,7474,351,7469,351,7454,351,5530,351,5530,370,7454,370,7469,370,7474,370,8539,370,8554,370,8558,370,8558,351xm9672,351l9667,351,9653,351,8558,351,8558,370,9653,370,9667,370,9672,370,9672,351xm10786,351l9672,351,9672,370,10786,370,10786,35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</w:rPr>
      </w:pPr>
    </w:p>
    <w:p>
      <w:pPr>
        <w:pStyle w:val="BodyText"/>
        <w:spacing w:line="355" w:lineRule="auto"/>
        <w:ind w:left="820" w:right="1433"/>
      </w:pPr>
      <w:r>
        <w:rPr/>
        <w:t>Since</w:t>
      </w:r>
      <w:r>
        <w:rPr>
          <w:spacing w:val="35"/>
        </w:rPr>
        <w:t> </w:t>
      </w:r>
      <w:r>
        <w:rPr/>
        <w:t>F</w:t>
      </w:r>
      <w:r>
        <w:rPr>
          <w:spacing w:val="29"/>
        </w:rPr>
        <w:t> </w:t>
      </w:r>
      <w:r>
        <w:rPr/>
        <w:t>(0.72)</w:t>
      </w:r>
      <w:r>
        <w:rPr>
          <w:spacing w:val="39"/>
        </w:rPr>
        <w:t> </w:t>
      </w:r>
      <w:r>
        <w:rPr/>
        <w:t>is</w:t>
      </w:r>
      <w:r>
        <w:rPr>
          <w:spacing w:val="39"/>
        </w:rPr>
        <w:t> </w:t>
      </w:r>
      <w:r>
        <w:rPr/>
        <w:t>less</w:t>
      </w:r>
      <w:r>
        <w:rPr>
          <w:spacing w:val="30"/>
        </w:rPr>
        <w:t> </w:t>
      </w:r>
      <w:r>
        <w:rPr/>
        <w:t>than</w:t>
      </w:r>
      <w:r>
        <w:rPr>
          <w:spacing w:val="33"/>
        </w:rPr>
        <w:t> </w:t>
      </w:r>
      <w:r>
        <w:rPr/>
        <w:t>F</w:t>
      </w:r>
      <w:r>
        <w:rPr>
          <w:spacing w:val="29"/>
        </w:rPr>
        <w:t> </w:t>
      </w:r>
      <w:r>
        <w:rPr/>
        <w:t>critical</w:t>
      </w:r>
      <w:r>
        <w:rPr>
          <w:spacing w:val="28"/>
        </w:rPr>
        <w:t> </w:t>
      </w:r>
      <w:r>
        <w:rPr/>
        <w:t>(3.10);</w:t>
      </w:r>
      <w:r>
        <w:rPr>
          <w:spacing w:val="33"/>
        </w:rPr>
        <w:t> </w:t>
      </w:r>
      <w:r>
        <w:rPr/>
        <w:t>it</w:t>
      </w:r>
      <w:r>
        <w:rPr>
          <w:spacing w:val="41"/>
        </w:rPr>
        <w:t> </w:t>
      </w:r>
      <w:r>
        <w:rPr/>
        <w:t>implies</w:t>
      </w:r>
      <w:r>
        <w:rPr>
          <w:spacing w:val="30"/>
        </w:rPr>
        <w:t> </w:t>
      </w:r>
      <w:r>
        <w:rPr/>
        <w:t>that</w:t>
      </w:r>
      <w:r>
        <w:rPr>
          <w:spacing w:val="33"/>
        </w:rPr>
        <w:t> </w:t>
      </w:r>
      <w:r>
        <w:rPr/>
        <w:t>there</w:t>
      </w:r>
      <w:r>
        <w:rPr>
          <w:spacing w:val="36"/>
        </w:rPr>
        <w:t> </w:t>
      </w:r>
      <w:r>
        <w:rPr/>
        <w:t>is</w:t>
      </w:r>
      <w:r>
        <w:rPr>
          <w:spacing w:val="35"/>
        </w:rPr>
        <w:t> </w:t>
      </w:r>
      <w:r>
        <w:rPr/>
        <w:t>no</w:t>
      </w:r>
      <w:r>
        <w:rPr>
          <w:spacing w:val="36"/>
        </w:rPr>
        <w:t> </w:t>
      </w:r>
      <w:r>
        <w:rPr/>
        <w:t>statistically</w:t>
      </w:r>
      <w:r>
        <w:rPr>
          <w:spacing w:val="33"/>
        </w:rPr>
        <w:t> </w:t>
      </w:r>
      <w:r>
        <w:rPr/>
        <w:t>significant</w:t>
      </w:r>
      <w:r>
        <w:rPr>
          <w:spacing w:val="-57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between</w:t>
      </w:r>
      <w:r>
        <w:rPr>
          <w:spacing w:val="-5"/>
        </w:rPr>
        <w:t> </w:t>
      </w:r>
      <w:r>
        <w:rPr/>
        <w:t>the</w:t>
      </w:r>
      <w:r>
        <w:rPr>
          <w:spacing w:val="5"/>
        </w:rPr>
        <w:t> </w:t>
      </w:r>
      <w:r>
        <w:rPr/>
        <w:t>mean</w:t>
      </w:r>
      <w:r>
        <w:rPr>
          <w:spacing w:val="-5"/>
        </w:rPr>
        <w:t> </w:t>
      </w:r>
      <w:r>
        <w:rPr/>
        <w:t>ages</w:t>
      </w:r>
      <w:r>
        <w:rPr>
          <w:spacing w:val="-2"/>
        </w:rPr>
        <w:t> </w:t>
      </w:r>
      <w:r>
        <w:rPr/>
        <w:t>at</w:t>
      </w:r>
      <w:r>
        <w:rPr>
          <w:spacing w:val="4"/>
        </w:rPr>
        <w:t> </w:t>
      </w:r>
      <w:r>
        <w:rPr/>
        <w:t>diagnosis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different</w:t>
      </w:r>
      <w:r>
        <w:rPr>
          <w:spacing w:val="5"/>
        </w:rPr>
        <w:t> </w:t>
      </w:r>
      <w:r>
        <w:rPr/>
        <w:t>sickle</w:t>
      </w:r>
      <w:r>
        <w:rPr>
          <w:spacing w:val="-1"/>
        </w:rPr>
        <w:t> </w:t>
      </w:r>
      <w:r>
        <w:rPr/>
        <w:t>cell</w:t>
      </w:r>
      <w:r>
        <w:rPr>
          <w:spacing w:val="-9"/>
        </w:rPr>
        <w:t> </w:t>
      </w:r>
      <w:r>
        <w:rPr/>
        <w:t>disease</w:t>
      </w:r>
      <w:r>
        <w:rPr>
          <w:spacing w:val="3"/>
        </w:rPr>
        <w:t> </w:t>
      </w:r>
      <w:r>
        <w:rPr/>
        <w:t>variants.</w:t>
      </w:r>
    </w:p>
    <w:p>
      <w:pPr>
        <w:spacing w:after="0" w:line="355" w:lineRule="auto"/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spacing w:line="360" w:lineRule="auto" w:before="76"/>
        <w:ind w:right="1433"/>
        <w:jc w:val="left"/>
      </w:pPr>
      <w:r>
        <w:rPr/>
        <w:t>APPENDIX</w:t>
      </w:r>
      <w:r>
        <w:rPr>
          <w:spacing w:val="22"/>
        </w:rPr>
        <w:t> </w:t>
      </w:r>
      <w:r>
        <w:rPr/>
        <w:t>VII:</w:t>
      </w:r>
      <w:r>
        <w:rPr>
          <w:spacing w:val="20"/>
        </w:rPr>
        <w:t> </w:t>
      </w:r>
      <w:r>
        <w:rPr/>
        <w:t>t-Test:</w:t>
      </w:r>
      <w:r>
        <w:rPr>
          <w:spacing w:val="20"/>
        </w:rPr>
        <w:t> </w:t>
      </w:r>
      <w:r>
        <w:rPr/>
        <w:t>Two</w:t>
      </w:r>
      <w:r>
        <w:rPr>
          <w:spacing w:val="23"/>
        </w:rPr>
        <w:t> </w:t>
      </w:r>
      <w:r>
        <w:rPr/>
        <w:t>Sample</w:t>
      </w:r>
      <w:r>
        <w:rPr>
          <w:spacing w:val="22"/>
        </w:rPr>
        <w:t> </w:t>
      </w:r>
      <w:r>
        <w:rPr/>
        <w:t>assuming</w:t>
      </w:r>
      <w:r>
        <w:rPr>
          <w:spacing w:val="18"/>
        </w:rPr>
        <w:t> </w:t>
      </w:r>
      <w:r>
        <w:rPr/>
        <w:t>Unequal</w:t>
      </w:r>
      <w:r>
        <w:rPr>
          <w:spacing w:val="19"/>
        </w:rPr>
        <w:t> </w:t>
      </w:r>
      <w:r>
        <w:rPr/>
        <w:t>Variance:</w:t>
      </w:r>
      <w:r>
        <w:rPr>
          <w:spacing w:val="20"/>
        </w:rPr>
        <w:t> </w:t>
      </w:r>
      <w:r>
        <w:rPr/>
        <w:t>Showing</w:t>
      </w:r>
      <w:r>
        <w:rPr>
          <w:spacing w:val="18"/>
        </w:rPr>
        <w:t> </w:t>
      </w:r>
      <w:r>
        <w:rPr/>
        <w:t>White</w:t>
      </w:r>
      <w:r>
        <w:rPr>
          <w:spacing w:val="17"/>
        </w:rPr>
        <w:t> </w:t>
      </w:r>
      <w:r>
        <w:rPr/>
        <w:t>Blood</w:t>
      </w:r>
      <w:r>
        <w:rPr>
          <w:spacing w:val="-57"/>
        </w:rPr>
        <w:t> </w:t>
      </w:r>
      <w:r>
        <w:rPr/>
        <w:t>Cell</w:t>
      </w:r>
      <w:r>
        <w:rPr>
          <w:spacing w:val="-5"/>
        </w:rPr>
        <w:t> </w:t>
      </w:r>
      <w:r>
        <w:rPr/>
        <w:t>Counts</w:t>
      </w:r>
      <w:r>
        <w:rPr>
          <w:spacing w:val="-3"/>
        </w:rPr>
        <w:t> </w:t>
      </w:r>
      <w:r>
        <w:rPr/>
        <w:t>(</w:t>
      </w:r>
      <w:r>
        <w:rPr>
          <w:rFonts w:ascii="Cambria Math" w:hAnsi="Cambria Math"/>
          <w:b w:val="0"/>
        </w:rPr>
        <w:t>×</w:t>
      </w:r>
      <w:r>
        <w:rPr>
          <w:rFonts w:ascii="Cambria Math" w:hAnsi="Cambria Math"/>
          <w:b w:val="0"/>
          <w:spacing w:val="44"/>
        </w:rPr>
        <w:t> </w:t>
      </w:r>
      <w:r>
        <w:rPr/>
        <w:t>10</w:t>
      </w:r>
      <w:r>
        <w:rPr>
          <w:vertAlign w:val="superscript"/>
        </w:rPr>
        <w:t>9</w:t>
      </w:r>
      <w:r>
        <w:rPr>
          <w:vertAlign w:val="baseline"/>
        </w:rPr>
        <w:t>) of</w:t>
      </w:r>
      <w:r>
        <w:rPr>
          <w:spacing w:val="-4"/>
          <w:vertAlign w:val="baseline"/>
        </w:rPr>
        <w:t> </w:t>
      </w:r>
      <w:r>
        <w:rPr>
          <w:vertAlign w:val="baseline"/>
        </w:rPr>
        <w:t>SCD</w:t>
      </w:r>
      <w:r>
        <w:rPr>
          <w:spacing w:val="-6"/>
          <w:vertAlign w:val="baseline"/>
        </w:rPr>
        <w:t> </w:t>
      </w:r>
      <w:r>
        <w:rPr>
          <w:vertAlign w:val="baseline"/>
        </w:rPr>
        <w:t>Patients</w:t>
      </w:r>
      <w:r>
        <w:rPr>
          <w:spacing w:val="-3"/>
          <w:vertAlign w:val="baseline"/>
        </w:rPr>
        <w:t> </w:t>
      </w:r>
      <w:r>
        <w:rPr>
          <w:vertAlign w:val="baseline"/>
        </w:rPr>
        <w:t>as</w:t>
      </w:r>
      <w:r>
        <w:rPr>
          <w:spacing w:val="-3"/>
          <w:vertAlign w:val="baseline"/>
        </w:rPr>
        <w:t> </w:t>
      </w:r>
      <w:r>
        <w:rPr>
          <w:vertAlign w:val="baseline"/>
        </w:rPr>
        <w:t>compared with their</w:t>
      </w:r>
      <w:r>
        <w:rPr>
          <w:spacing w:val="-7"/>
          <w:vertAlign w:val="baseline"/>
        </w:rPr>
        <w:t> </w:t>
      </w:r>
      <w:r>
        <w:rPr>
          <w:vertAlign w:val="baseline"/>
        </w:rPr>
        <w:t>Amoxicillin Utilisation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 w:after="1"/>
        <w:rPr>
          <w:b/>
          <w:sz w:val="25"/>
        </w:rPr>
      </w:pPr>
    </w:p>
    <w:tbl>
      <w:tblPr>
        <w:tblW w:w="0" w:type="auto"/>
        <w:jc w:val="left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4"/>
        <w:gridCol w:w="2737"/>
        <w:gridCol w:w="2577"/>
      </w:tblGrid>
      <w:tr>
        <w:trPr>
          <w:trHeight w:val="803" w:hRule="atLeast"/>
        </w:trPr>
        <w:tc>
          <w:tcPr>
            <w:tcW w:w="344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3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304" w:right="126"/>
              <w:jc w:val="center"/>
              <w:rPr>
                <w:sz w:val="24"/>
              </w:rPr>
            </w:pPr>
            <w:r>
              <w:rPr>
                <w:sz w:val="24"/>
              </w:rPr>
              <w:t>WBC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Patients</w:t>
            </w:r>
          </w:p>
          <w:p>
            <w:pPr>
              <w:pStyle w:val="TableParagraph"/>
              <w:spacing w:before="137"/>
              <w:ind w:left="291" w:right="126"/>
              <w:jc w:val="center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Amoxicillin</w:t>
            </w:r>
          </w:p>
        </w:tc>
        <w:tc>
          <w:tcPr>
            <w:tcW w:w="257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26" w:right="143"/>
              <w:jc w:val="center"/>
              <w:rPr>
                <w:sz w:val="24"/>
              </w:rPr>
            </w:pPr>
            <w:r>
              <w:rPr>
                <w:sz w:val="24"/>
              </w:rPr>
              <w:t>WBC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Patients</w:t>
            </w:r>
          </w:p>
          <w:p>
            <w:pPr>
              <w:pStyle w:val="TableParagraph"/>
              <w:spacing w:before="137"/>
              <w:ind w:left="124" w:right="143"/>
              <w:jc w:val="center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Amoxicillin</w:t>
            </w:r>
          </w:p>
        </w:tc>
      </w:tr>
      <w:tr>
        <w:trPr>
          <w:trHeight w:val="376" w:hRule="atLeast"/>
        </w:trPr>
        <w:tc>
          <w:tcPr>
            <w:tcW w:w="34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17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32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9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27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301" w:right="126"/>
              <w:jc w:val="center"/>
              <w:rPr>
                <w:sz w:val="24"/>
              </w:rPr>
            </w:pPr>
            <w:r>
              <w:rPr>
                <w:sz w:val="24"/>
              </w:rPr>
              <w:t>10.55</w:t>
            </w:r>
          </w:p>
        </w:tc>
        <w:tc>
          <w:tcPr>
            <w:tcW w:w="25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26" w:right="140"/>
              <w:jc w:val="center"/>
              <w:rPr>
                <w:sz w:val="24"/>
              </w:rPr>
            </w:pPr>
            <w:r>
              <w:rPr>
                <w:sz w:val="24"/>
              </w:rPr>
              <w:t>7.82</w:t>
            </w:r>
          </w:p>
        </w:tc>
      </w:tr>
      <w:tr>
        <w:trPr>
          <w:trHeight w:val="412" w:hRule="atLeast"/>
        </w:trPr>
        <w:tc>
          <w:tcPr>
            <w:tcW w:w="3444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Variance</w:t>
            </w:r>
          </w:p>
        </w:tc>
        <w:tc>
          <w:tcPr>
            <w:tcW w:w="2737" w:type="dxa"/>
          </w:tcPr>
          <w:p>
            <w:pPr>
              <w:pStyle w:val="TableParagraph"/>
              <w:spacing w:before="63"/>
              <w:ind w:left="301" w:right="126"/>
              <w:jc w:val="center"/>
              <w:rPr>
                <w:sz w:val="24"/>
              </w:rPr>
            </w:pPr>
            <w:r>
              <w:rPr>
                <w:sz w:val="24"/>
              </w:rPr>
              <w:t>10.42</w:t>
            </w:r>
          </w:p>
        </w:tc>
        <w:tc>
          <w:tcPr>
            <w:tcW w:w="2577" w:type="dxa"/>
          </w:tcPr>
          <w:p>
            <w:pPr>
              <w:pStyle w:val="TableParagraph"/>
              <w:spacing w:before="63"/>
              <w:ind w:left="126" w:right="136"/>
              <w:jc w:val="center"/>
              <w:rPr>
                <w:sz w:val="24"/>
              </w:rPr>
            </w:pPr>
            <w:r>
              <w:rPr>
                <w:sz w:val="24"/>
              </w:rPr>
              <w:t>12.23</w:t>
            </w:r>
          </w:p>
        </w:tc>
      </w:tr>
      <w:tr>
        <w:trPr>
          <w:trHeight w:val="415" w:hRule="atLeast"/>
        </w:trPr>
        <w:tc>
          <w:tcPr>
            <w:tcW w:w="3444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Observations</w:t>
            </w:r>
          </w:p>
        </w:tc>
        <w:tc>
          <w:tcPr>
            <w:tcW w:w="2737" w:type="dxa"/>
          </w:tcPr>
          <w:p>
            <w:pPr>
              <w:pStyle w:val="TableParagraph"/>
              <w:spacing w:before="63"/>
              <w:ind w:left="301" w:right="126"/>
              <w:jc w:val="center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2577" w:type="dxa"/>
          </w:tcPr>
          <w:p>
            <w:pPr>
              <w:pStyle w:val="TableParagraph"/>
              <w:spacing w:before="63"/>
              <w:ind w:left="126" w:right="136"/>
              <w:jc w:val="center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</w:tr>
      <w:tr>
        <w:trPr>
          <w:trHeight w:val="415" w:hRule="atLeast"/>
        </w:trPr>
        <w:tc>
          <w:tcPr>
            <w:tcW w:w="3444" w:type="dxa"/>
          </w:tcPr>
          <w:p>
            <w:pPr>
              <w:pStyle w:val="TableParagraph"/>
              <w:spacing w:before="65"/>
              <w:ind w:left="117"/>
              <w:rPr>
                <w:sz w:val="24"/>
              </w:rPr>
            </w:pPr>
            <w:r>
              <w:rPr>
                <w:sz w:val="24"/>
              </w:rPr>
              <w:t>Hypothesized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Difference</w:t>
            </w:r>
          </w:p>
        </w:tc>
        <w:tc>
          <w:tcPr>
            <w:tcW w:w="2737" w:type="dxa"/>
          </w:tcPr>
          <w:p>
            <w:pPr>
              <w:pStyle w:val="TableParagraph"/>
              <w:spacing w:before="65"/>
              <w:ind w:left="304" w:right="124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257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3444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2737" w:type="dxa"/>
          </w:tcPr>
          <w:p>
            <w:pPr>
              <w:pStyle w:val="TableParagraph"/>
              <w:spacing w:before="63"/>
              <w:ind w:left="301" w:right="126"/>
              <w:jc w:val="center"/>
              <w:rPr>
                <w:sz w:val="24"/>
              </w:rPr>
            </w:pPr>
            <w:r>
              <w:rPr>
                <w:sz w:val="24"/>
              </w:rPr>
              <w:t>87.00</w:t>
            </w:r>
          </w:p>
        </w:tc>
        <w:tc>
          <w:tcPr>
            <w:tcW w:w="257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3444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</w:t>
            </w:r>
          </w:p>
        </w:tc>
        <w:tc>
          <w:tcPr>
            <w:tcW w:w="2737" w:type="dxa"/>
          </w:tcPr>
          <w:p>
            <w:pPr>
              <w:pStyle w:val="TableParagraph"/>
              <w:spacing w:before="63"/>
              <w:ind w:left="304" w:right="124"/>
              <w:jc w:val="center"/>
              <w:rPr>
                <w:sz w:val="24"/>
              </w:rPr>
            </w:pPr>
            <w:r>
              <w:rPr>
                <w:sz w:val="24"/>
              </w:rPr>
              <w:t>3.85</w:t>
            </w:r>
          </w:p>
        </w:tc>
        <w:tc>
          <w:tcPr>
            <w:tcW w:w="257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3444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P(T&lt;=t)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one-tail</w:t>
            </w:r>
          </w:p>
        </w:tc>
        <w:tc>
          <w:tcPr>
            <w:tcW w:w="2737" w:type="dxa"/>
          </w:tcPr>
          <w:p>
            <w:pPr>
              <w:pStyle w:val="TableParagraph"/>
              <w:spacing w:before="63"/>
              <w:ind w:left="304" w:right="124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257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3444" w:type="dxa"/>
          </w:tcPr>
          <w:p>
            <w:pPr>
              <w:pStyle w:val="TableParagraph"/>
              <w:spacing w:before="65"/>
              <w:ind w:left="117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Critical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one-tail</w:t>
            </w:r>
          </w:p>
        </w:tc>
        <w:tc>
          <w:tcPr>
            <w:tcW w:w="2737" w:type="dxa"/>
          </w:tcPr>
          <w:p>
            <w:pPr>
              <w:pStyle w:val="TableParagraph"/>
              <w:spacing w:before="65"/>
              <w:ind w:left="304" w:right="124"/>
              <w:jc w:val="center"/>
              <w:rPr>
                <w:sz w:val="24"/>
              </w:rPr>
            </w:pPr>
            <w:r>
              <w:rPr>
                <w:sz w:val="24"/>
              </w:rPr>
              <w:t>1.66</w:t>
            </w:r>
          </w:p>
        </w:tc>
        <w:tc>
          <w:tcPr>
            <w:tcW w:w="257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3444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P(T&lt;=t)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two-tail</w:t>
            </w:r>
          </w:p>
        </w:tc>
        <w:tc>
          <w:tcPr>
            <w:tcW w:w="2737" w:type="dxa"/>
          </w:tcPr>
          <w:p>
            <w:pPr>
              <w:pStyle w:val="TableParagraph"/>
              <w:spacing w:before="63"/>
              <w:ind w:left="304" w:right="124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257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3" w:hRule="atLeast"/>
        </w:trPr>
        <w:tc>
          <w:tcPr>
            <w:tcW w:w="34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Critical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two-tail</w:t>
            </w:r>
          </w:p>
        </w:tc>
        <w:tc>
          <w:tcPr>
            <w:tcW w:w="27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3"/>
              <w:ind w:left="304" w:right="124"/>
              <w:jc w:val="center"/>
              <w:rPr>
                <w:sz w:val="24"/>
              </w:rPr>
            </w:pPr>
            <w:r>
              <w:rPr>
                <w:sz w:val="24"/>
              </w:rPr>
              <w:t>1.99</w:t>
            </w:r>
          </w:p>
        </w:tc>
        <w:tc>
          <w:tcPr>
            <w:tcW w:w="257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1017" w:top="1360" w:bottom="1200" w:left="620" w:right="0"/>
        </w:sectPr>
      </w:pPr>
    </w:p>
    <w:p>
      <w:pPr>
        <w:spacing w:before="97"/>
        <w:ind w:left="820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VIII: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ANOVA: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Single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Factor: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Platelet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Count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</w:t>
      </w:r>
      <w:r>
        <w:rPr>
          <w:rFonts w:ascii="Cambria Math" w:hAnsi="Cambria Math"/>
          <w:sz w:val="24"/>
        </w:rPr>
        <w:t>×</w:t>
      </w:r>
      <w:r>
        <w:rPr>
          <w:rFonts w:ascii="Cambria Math" w:hAnsi="Cambria Math"/>
          <w:spacing w:val="38"/>
          <w:sz w:val="24"/>
        </w:rPr>
        <w:t> </w:t>
      </w:r>
      <w:r>
        <w:rPr>
          <w:b/>
          <w:sz w:val="24"/>
        </w:rPr>
        <w:t>10</w:t>
      </w:r>
      <w:r>
        <w:rPr>
          <w:b/>
          <w:sz w:val="24"/>
          <w:vertAlign w:val="superscript"/>
        </w:rPr>
        <w:t>9</w:t>
      </w:r>
      <w:r>
        <w:rPr>
          <w:b/>
          <w:sz w:val="24"/>
          <w:vertAlign w:val="baseline"/>
        </w:rPr>
        <w:t>)</w:t>
      </w:r>
      <w:r>
        <w:rPr>
          <w:b/>
          <w:spacing w:val="-7"/>
          <w:sz w:val="24"/>
          <w:vertAlign w:val="baseline"/>
        </w:rPr>
        <w:t> </w:t>
      </w:r>
      <w:r>
        <w:rPr>
          <w:b/>
          <w:sz w:val="24"/>
          <w:vertAlign w:val="baseline"/>
        </w:rPr>
        <w:t>of</w:t>
      </w:r>
      <w:r>
        <w:rPr>
          <w:b/>
          <w:spacing w:val="-8"/>
          <w:sz w:val="24"/>
          <w:vertAlign w:val="baseline"/>
        </w:rPr>
        <w:t> </w:t>
      </w:r>
      <w:r>
        <w:rPr>
          <w:b/>
          <w:sz w:val="24"/>
          <w:vertAlign w:val="baseline"/>
        </w:rPr>
        <w:t>the</w:t>
      </w:r>
      <w:r>
        <w:rPr>
          <w:b/>
          <w:spacing w:val="-10"/>
          <w:sz w:val="24"/>
          <w:vertAlign w:val="baseline"/>
        </w:rPr>
        <w:t> </w:t>
      </w:r>
      <w:r>
        <w:rPr>
          <w:b/>
          <w:sz w:val="24"/>
          <w:vertAlign w:val="baseline"/>
        </w:rPr>
        <w:t>Groups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1"/>
        </w:rPr>
      </w:pPr>
    </w:p>
    <w:tbl>
      <w:tblPr>
        <w:tblW w:w="0" w:type="auto"/>
        <w:jc w:val="left"/>
        <w:tblInd w:w="8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8"/>
        <w:gridCol w:w="1271"/>
        <w:gridCol w:w="998"/>
        <w:gridCol w:w="1235"/>
        <w:gridCol w:w="1114"/>
        <w:gridCol w:w="1139"/>
        <w:gridCol w:w="1207"/>
      </w:tblGrid>
      <w:tr>
        <w:trPr>
          <w:trHeight w:val="472" w:hRule="atLeast"/>
        </w:trPr>
        <w:tc>
          <w:tcPr>
            <w:tcW w:w="21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SUMMARY</w:t>
            </w:r>
          </w:p>
        </w:tc>
        <w:tc>
          <w:tcPr>
            <w:tcW w:w="6964" w:type="dxa"/>
            <w:gridSpan w:val="6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4" w:hRule="atLeast"/>
        </w:trPr>
        <w:tc>
          <w:tcPr>
            <w:tcW w:w="2138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Groups</w:t>
            </w:r>
          </w:p>
        </w:tc>
        <w:tc>
          <w:tcPr>
            <w:tcW w:w="1271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Count</w:t>
            </w:r>
          </w:p>
        </w:tc>
        <w:tc>
          <w:tcPr>
            <w:tcW w:w="998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Sum</w:t>
            </w:r>
          </w:p>
        </w:tc>
        <w:tc>
          <w:tcPr>
            <w:tcW w:w="1235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</w:t>
            </w:r>
          </w:p>
        </w:tc>
        <w:tc>
          <w:tcPr>
            <w:tcW w:w="111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Variance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2" w:hRule="atLeast"/>
        </w:trPr>
        <w:tc>
          <w:tcPr>
            <w:tcW w:w="21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Crises</w:t>
            </w:r>
          </w:p>
        </w:tc>
        <w:tc>
          <w:tcPr>
            <w:tcW w:w="12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9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5565.00</w:t>
            </w:r>
          </w:p>
        </w:tc>
        <w:tc>
          <w:tcPr>
            <w:tcW w:w="12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347.81</w:t>
            </w:r>
          </w:p>
        </w:tc>
        <w:tc>
          <w:tcPr>
            <w:tcW w:w="11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20665.50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7" w:hRule="atLeast"/>
        </w:trPr>
        <w:tc>
          <w:tcPr>
            <w:tcW w:w="2138" w:type="dxa"/>
          </w:tcPr>
          <w:p>
            <w:pPr>
              <w:pStyle w:val="TableParagraph"/>
              <w:spacing w:before="94"/>
              <w:ind w:left="105"/>
              <w:rPr>
                <w:sz w:val="24"/>
              </w:rPr>
            </w:pPr>
            <w:r>
              <w:rPr>
                <w:sz w:val="24"/>
              </w:rPr>
              <w:t>HbAA</w:t>
            </w:r>
          </w:p>
        </w:tc>
        <w:tc>
          <w:tcPr>
            <w:tcW w:w="1271" w:type="dxa"/>
          </w:tcPr>
          <w:p>
            <w:pPr>
              <w:pStyle w:val="TableParagraph"/>
              <w:spacing w:before="94"/>
              <w:ind w:left="141"/>
              <w:rPr>
                <w:sz w:val="24"/>
              </w:rPr>
            </w:pPr>
            <w:r>
              <w:rPr>
                <w:sz w:val="24"/>
              </w:rPr>
              <w:t>27.00</w:t>
            </w:r>
          </w:p>
        </w:tc>
        <w:tc>
          <w:tcPr>
            <w:tcW w:w="998" w:type="dxa"/>
          </w:tcPr>
          <w:p>
            <w:pPr>
              <w:pStyle w:val="TableParagraph"/>
              <w:spacing w:before="94"/>
              <w:ind w:left="109"/>
              <w:rPr>
                <w:sz w:val="24"/>
              </w:rPr>
            </w:pPr>
            <w:r>
              <w:rPr>
                <w:sz w:val="24"/>
              </w:rPr>
              <w:t>6994.00</w:t>
            </w:r>
          </w:p>
        </w:tc>
        <w:tc>
          <w:tcPr>
            <w:tcW w:w="1235" w:type="dxa"/>
          </w:tcPr>
          <w:p>
            <w:pPr>
              <w:pStyle w:val="TableParagraph"/>
              <w:spacing w:before="94"/>
              <w:ind w:left="109"/>
              <w:rPr>
                <w:sz w:val="24"/>
              </w:rPr>
            </w:pPr>
            <w:r>
              <w:rPr>
                <w:sz w:val="24"/>
              </w:rPr>
              <w:t>259.04</w:t>
            </w:r>
          </w:p>
        </w:tc>
        <w:tc>
          <w:tcPr>
            <w:tcW w:w="1114" w:type="dxa"/>
          </w:tcPr>
          <w:p>
            <w:pPr>
              <w:pStyle w:val="TableParagraph"/>
              <w:spacing w:before="94"/>
              <w:ind w:left="108"/>
              <w:rPr>
                <w:sz w:val="24"/>
              </w:rPr>
            </w:pPr>
            <w:r>
              <w:rPr>
                <w:sz w:val="24"/>
              </w:rPr>
              <w:t>4852.04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79" w:hRule="atLeast"/>
        </w:trPr>
        <w:tc>
          <w:tcPr>
            <w:tcW w:w="21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Steady</w:t>
            </w:r>
          </w:p>
        </w:tc>
        <w:tc>
          <w:tcPr>
            <w:tcW w:w="12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141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99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109"/>
              <w:rPr>
                <w:sz w:val="24"/>
              </w:rPr>
            </w:pPr>
            <w:r>
              <w:rPr>
                <w:sz w:val="24"/>
              </w:rPr>
              <w:t>4147.00</w:t>
            </w:r>
          </w:p>
        </w:tc>
        <w:tc>
          <w:tcPr>
            <w:tcW w:w="123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109"/>
              <w:rPr>
                <w:sz w:val="24"/>
              </w:rPr>
            </w:pPr>
            <w:r>
              <w:rPr>
                <w:sz w:val="24"/>
              </w:rPr>
              <w:t>518.37</w:t>
            </w:r>
          </w:p>
        </w:tc>
        <w:tc>
          <w:tcPr>
            <w:tcW w:w="111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10949.41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74" w:hRule="atLeast"/>
        </w:trPr>
        <w:tc>
          <w:tcPr>
            <w:tcW w:w="21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ANOVA</w:t>
            </w:r>
          </w:p>
        </w:tc>
        <w:tc>
          <w:tcPr>
            <w:tcW w:w="127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4" w:hRule="atLeast"/>
        </w:trPr>
        <w:tc>
          <w:tcPr>
            <w:tcW w:w="2138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Variation</w:t>
            </w:r>
          </w:p>
        </w:tc>
        <w:tc>
          <w:tcPr>
            <w:tcW w:w="1271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998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235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  <w:tc>
          <w:tcPr>
            <w:tcW w:w="111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39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120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45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critical</w:t>
            </w:r>
          </w:p>
        </w:tc>
      </w:tr>
      <w:tr>
        <w:trPr>
          <w:trHeight w:val="377" w:hRule="atLeast"/>
        </w:trPr>
        <w:tc>
          <w:tcPr>
            <w:tcW w:w="21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2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41"/>
              <w:rPr>
                <w:sz w:val="24"/>
              </w:rPr>
            </w:pPr>
            <w:r>
              <w:rPr>
                <w:sz w:val="24"/>
              </w:rPr>
              <w:t>424621.20</w:t>
            </w:r>
          </w:p>
        </w:tc>
        <w:tc>
          <w:tcPr>
            <w:tcW w:w="9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2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212310.60</w:t>
            </w:r>
          </w:p>
        </w:tc>
        <w:tc>
          <w:tcPr>
            <w:tcW w:w="11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19.87</w:t>
            </w:r>
          </w:p>
        </w:tc>
        <w:tc>
          <w:tcPr>
            <w:tcW w:w="11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5.15E-07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3.19</w:t>
            </w:r>
          </w:p>
        </w:tc>
      </w:tr>
      <w:tr>
        <w:trPr>
          <w:trHeight w:val="624" w:hRule="atLeast"/>
        </w:trPr>
        <w:tc>
          <w:tcPr>
            <w:tcW w:w="2138" w:type="dxa"/>
          </w:tcPr>
          <w:p>
            <w:pPr>
              <w:pStyle w:val="TableParagraph"/>
              <w:spacing w:before="94"/>
              <w:ind w:left="105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271" w:type="dxa"/>
          </w:tcPr>
          <w:p>
            <w:pPr>
              <w:pStyle w:val="TableParagraph"/>
              <w:spacing w:before="94"/>
              <w:ind w:left="141"/>
              <w:rPr>
                <w:sz w:val="24"/>
              </w:rPr>
            </w:pPr>
            <w:r>
              <w:rPr>
                <w:sz w:val="24"/>
              </w:rPr>
              <w:t>512781.30</w:t>
            </w:r>
          </w:p>
        </w:tc>
        <w:tc>
          <w:tcPr>
            <w:tcW w:w="998" w:type="dxa"/>
          </w:tcPr>
          <w:p>
            <w:pPr>
              <w:pStyle w:val="TableParagraph"/>
              <w:spacing w:before="94"/>
              <w:ind w:left="109"/>
              <w:rPr>
                <w:sz w:val="24"/>
              </w:rPr>
            </w:pPr>
            <w:r>
              <w:rPr>
                <w:sz w:val="24"/>
              </w:rPr>
              <w:t>48.00</w:t>
            </w:r>
          </w:p>
        </w:tc>
        <w:tc>
          <w:tcPr>
            <w:tcW w:w="1235" w:type="dxa"/>
          </w:tcPr>
          <w:p>
            <w:pPr>
              <w:pStyle w:val="TableParagraph"/>
              <w:spacing w:before="94"/>
              <w:ind w:left="109"/>
              <w:rPr>
                <w:sz w:val="24"/>
              </w:rPr>
            </w:pPr>
            <w:r>
              <w:rPr>
                <w:sz w:val="24"/>
              </w:rPr>
              <w:t>10682.94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9" w:hRule="atLeast"/>
        </w:trPr>
        <w:tc>
          <w:tcPr>
            <w:tcW w:w="2138" w:type="dxa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line="256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271" w:type="dxa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line="256" w:lineRule="exact" w:before="1"/>
              <w:ind w:left="141"/>
              <w:rPr>
                <w:sz w:val="24"/>
              </w:rPr>
            </w:pPr>
            <w:r>
              <w:rPr>
                <w:sz w:val="24"/>
              </w:rPr>
              <w:t>937402.50</w:t>
            </w:r>
          </w:p>
        </w:tc>
        <w:tc>
          <w:tcPr>
            <w:tcW w:w="998" w:type="dxa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line="256" w:lineRule="exact" w:before="1"/>
              <w:ind w:left="109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12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7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15"/>
        </w:rPr>
      </w:pPr>
      <w:r>
        <w:rPr/>
        <w:pict>
          <v:shape style="position:absolute;margin-left:70.560005pt;margin-top:10.604279pt;width:456pt;height:1pt;mso-position-horizontal-relative:page;mso-position-vertical-relative:paragraph;z-index:-15683584;mso-wrap-distance-left:0;mso-wrap-distance-right:0" coordorigin="1411,212" coordsize="9120,20" path="m9365,212l9360,212,9346,212,8189,212,8184,212,8170,212,7075,212,7070,212,7056,212,5837,212,5832,212,5818,212,4843,212,4838,212,4824,212,3605,212,3600,212,3586,212,1411,212,1411,231,3586,231,3600,231,3605,231,4824,231,4838,231,4843,231,5818,231,5832,231,5837,231,7056,231,7070,231,7075,231,8170,231,8184,231,8189,231,9346,231,9360,231,9365,231,9365,212xm10531,212l9365,212,9365,231,10531,231,10531,212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355" w:lineRule="auto" w:before="90"/>
        <w:ind w:left="820" w:right="1433"/>
      </w:pPr>
      <w:r>
        <w:rPr/>
        <w:t>Since</w:t>
      </w:r>
      <w:r>
        <w:rPr>
          <w:spacing w:val="17"/>
        </w:rPr>
        <w:t> </w:t>
      </w:r>
      <w:r>
        <w:rPr/>
        <w:t>F</w:t>
      </w:r>
      <w:r>
        <w:rPr>
          <w:spacing w:val="15"/>
        </w:rPr>
        <w:t> </w:t>
      </w:r>
      <w:r>
        <w:rPr/>
        <w:t>(19.87)</w:t>
      </w:r>
      <w:r>
        <w:rPr>
          <w:spacing w:val="21"/>
        </w:rPr>
        <w:t> </w:t>
      </w:r>
      <w:r>
        <w:rPr/>
        <w:t>is</w:t>
      </w:r>
      <w:r>
        <w:rPr>
          <w:spacing w:val="11"/>
        </w:rPr>
        <w:t> </w:t>
      </w:r>
      <w:r>
        <w:rPr/>
        <w:t>greater</w:t>
      </w:r>
      <w:r>
        <w:rPr>
          <w:spacing w:val="16"/>
        </w:rPr>
        <w:t> </w:t>
      </w:r>
      <w:r>
        <w:rPr/>
        <w:t>than</w:t>
      </w:r>
      <w:r>
        <w:rPr>
          <w:spacing w:val="14"/>
        </w:rPr>
        <w:t> </w:t>
      </w:r>
      <w:r>
        <w:rPr/>
        <w:t>F</w:t>
      </w:r>
      <w:r>
        <w:rPr>
          <w:spacing w:val="11"/>
        </w:rPr>
        <w:t> </w:t>
      </w:r>
      <w:r>
        <w:rPr/>
        <w:t>critical</w:t>
      </w:r>
      <w:r>
        <w:rPr>
          <w:spacing w:val="10"/>
        </w:rPr>
        <w:t> </w:t>
      </w:r>
      <w:r>
        <w:rPr/>
        <w:t>(3.19);</w:t>
      </w:r>
      <w:r>
        <w:rPr>
          <w:spacing w:val="15"/>
        </w:rPr>
        <w:t> </w:t>
      </w:r>
      <w:r>
        <w:rPr/>
        <w:t>it</w:t>
      </w:r>
      <w:r>
        <w:rPr>
          <w:spacing w:val="28"/>
        </w:rPr>
        <w:t> </w:t>
      </w:r>
      <w:r>
        <w:rPr/>
        <w:t>implies</w:t>
      </w:r>
      <w:r>
        <w:rPr>
          <w:spacing w:val="12"/>
        </w:rPr>
        <w:t> </w:t>
      </w:r>
      <w:r>
        <w:rPr/>
        <w:t>that</w:t>
      </w:r>
      <w:r>
        <w:rPr>
          <w:spacing w:val="18"/>
        </w:rPr>
        <w:t> </w:t>
      </w:r>
      <w:r>
        <w:rPr/>
        <w:t>there</w:t>
      </w:r>
      <w:r>
        <w:rPr>
          <w:spacing w:val="18"/>
        </w:rPr>
        <w:t> </w:t>
      </w:r>
      <w:r>
        <w:rPr/>
        <w:t>is</w:t>
      </w:r>
      <w:r>
        <w:rPr>
          <w:spacing w:val="12"/>
        </w:rPr>
        <w:t> </w:t>
      </w:r>
      <w:r>
        <w:rPr/>
        <w:t>a</w:t>
      </w:r>
      <w:r>
        <w:rPr>
          <w:spacing w:val="18"/>
        </w:rPr>
        <w:t> </w:t>
      </w:r>
      <w:r>
        <w:rPr/>
        <w:t>statistically</w:t>
      </w:r>
      <w:r>
        <w:rPr>
          <w:spacing w:val="13"/>
        </w:rPr>
        <w:t> </w:t>
      </w:r>
      <w:r>
        <w:rPr/>
        <w:t>significant</w:t>
      </w:r>
      <w:r>
        <w:rPr>
          <w:spacing w:val="-57"/>
        </w:rPr>
        <w:t> </w:t>
      </w:r>
      <w:r>
        <w:rPr/>
        <w:t>difference between</w:t>
      </w:r>
      <w:r>
        <w:rPr>
          <w:spacing w:val="-3"/>
        </w:rPr>
        <w:t> </w:t>
      </w:r>
      <w:r>
        <w:rPr/>
        <w:t>platelet</w:t>
      </w:r>
      <w:r>
        <w:rPr>
          <w:spacing w:val="7"/>
        </w:rPr>
        <w:t> </w:t>
      </w:r>
      <w:r>
        <w:rPr/>
        <w:t>counts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 groups.</w:t>
      </w:r>
    </w:p>
    <w:p>
      <w:pPr>
        <w:spacing w:after="0" w:line="355" w:lineRule="auto"/>
        <w:sectPr>
          <w:pgSz w:w="12240" w:h="15840"/>
          <w:pgMar w:header="0" w:footer="1017" w:top="1340" w:bottom="1200" w:left="620" w:right="0"/>
        </w:sectPr>
      </w:pPr>
    </w:p>
    <w:p>
      <w:pPr>
        <w:pStyle w:val="Heading1"/>
        <w:spacing w:line="357" w:lineRule="auto" w:before="76"/>
        <w:ind w:right="1437"/>
      </w:pPr>
      <w:r>
        <w:rPr/>
        <w:t>APPENDIX IX: t-Test: Two Sample assuming Unequal Variance: Showing Platelet Count</w:t>
      </w:r>
      <w:r>
        <w:rPr>
          <w:spacing w:val="1"/>
        </w:rPr>
        <w:t> </w:t>
      </w:r>
      <w:r>
        <w:rPr/>
        <w:t>(</w:t>
      </w:r>
      <w:r>
        <w:rPr>
          <w:rFonts w:ascii="Cambria Math" w:hAnsi="Cambria Math"/>
          <w:b w:val="0"/>
        </w:rPr>
        <w:t>×</w:t>
      </w:r>
      <w:r>
        <w:rPr>
          <w:rFonts w:ascii="Cambria Math" w:hAnsi="Cambria Math"/>
          <w:b w:val="0"/>
          <w:spacing w:val="1"/>
        </w:rPr>
        <w:t> </w:t>
      </w:r>
      <w:r>
        <w:rPr/>
        <w:t>10</w:t>
      </w:r>
      <w:r>
        <w:rPr>
          <w:vertAlign w:val="superscript"/>
        </w:rPr>
        <w:t>9</w:t>
      </w:r>
      <w:r>
        <w:rPr>
          <w:vertAlign w:val="baseline"/>
        </w:rPr>
        <w:t>) of SCD Patients in Crises and HbAA Group, SCD Patients in Steady State and</w:t>
      </w:r>
      <w:r>
        <w:rPr>
          <w:spacing w:val="1"/>
          <w:vertAlign w:val="baseline"/>
        </w:rPr>
        <w:t> </w:t>
      </w:r>
      <w:r>
        <w:rPr>
          <w:vertAlign w:val="baseline"/>
        </w:rPr>
        <w:t>HbAA</w:t>
      </w:r>
      <w:r>
        <w:rPr>
          <w:spacing w:val="1"/>
          <w:vertAlign w:val="baseline"/>
        </w:rPr>
        <w:t> </w:t>
      </w:r>
      <w:r>
        <w:rPr>
          <w:vertAlign w:val="baseline"/>
        </w:rPr>
        <w:t>Group;</w:t>
      </w:r>
      <w:r>
        <w:rPr>
          <w:spacing w:val="2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vertAlign w:val="baseline"/>
        </w:rPr>
        <w:t>SCD</w:t>
      </w:r>
      <w:r>
        <w:rPr>
          <w:spacing w:val="1"/>
          <w:vertAlign w:val="baseline"/>
        </w:rPr>
        <w:t> </w:t>
      </w:r>
      <w:r>
        <w:rPr>
          <w:vertAlign w:val="baseline"/>
        </w:rPr>
        <w:t>Patients</w:t>
      </w:r>
      <w:r>
        <w:rPr>
          <w:spacing w:val="-5"/>
          <w:vertAlign w:val="baseline"/>
        </w:rPr>
        <w:t> </w:t>
      </w:r>
      <w:r>
        <w:rPr>
          <w:vertAlign w:val="baseline"/>
        </w:rPr>
        <w:t>in</w:t>
      </w:r>
      <w:r>
        <w:rPr>
          <w:spacing w:val="2"/>
          <w:vertAlign w:val="baseline"/>
        </w:rPr>
        <w:t> </w:t>
      </w:r>
      <w:r>
        <w:rPr>
          <w:vertAlign w:val="baseline"/>
        </w:rPr>
        <w:t>Crises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SCD</w:t>
      </w:r>
      <w:r>
        <w:rPr>
          <w:spacing w:val="2"/>
          <w:vertAlign w:val="baseline"/>
        </w:rPr>
        <w:t> </w:t>
      </w:r>
      <w:r>
        <w:rPr>
          <w:vertAlign w:val="baseline"/>
        </w:rPr>
        <w:t>Patients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3"/>
          <w:vertAlign w:val="baseline"/>
        </w:rPr>
        <w:t> </w:t>
      </w:r>
      <w:r>
        <w:rPr>
          <w:vertAlign w:val="baseline"/>
        </w:rPr>
        <w:t>Steady</w:t>
      </w:r>
      <w:r>
        <w:rPr>
          <w:spacing w:val="-4"/>
          <w:vertAlign w:val="baseline"/>
        </w:rPr>
        <w:t> </w:t>
      </w:r>
      <w:r>
        <w:rPr>
          <w:vertAlign w:val="baseline"/>
        </w:rPr>
        <w:t>State.</w:t>
      </w:r>
    </w:p>
    <w:p>
      <w:pPr>
        <w:pStyle w:val="BodyText"/>
        <w:spacing w:before="3"/>
        <w:rPr>
          <w:b/>
          <w:sz w:val="19"/>
        </w:rPr>
      </w:pPr>
    </w:p>
    <w:tbl>
      <w:tblPr>
        <w:tblW w:w="0" w:type="auto"/>
        <w:jc w:val="left"/>
        <w:tblInd w:w="3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8"/>
        <w:gridCol w:w="1197"/>
        <w:gridCol w:w="1022"/>
        <w:gridCol w:w="1411"/>
        <w:gridCol w:w="1160"/>
        <w:gridCol w:w="1169"/>
        <w:gridCol w:w="1648"/>
      </w:tblGrid>
      <w:tr>
        <w:trPr>
          <w:trHeight w:val="448" w:hRule="atLeast"/>
        </w:trPr>
        <w:tc>
          <w:tcPr>
            <w:tcW w:w="3278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Crises</w:t>
            </w:r>
          </w:p>
        </w:tc>
        <w:tc>
          <w:tcPr>
            <w:tcW w:w="102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z w:val="24"/>
              </w:rPr>
              <w:t>HbAA</w:t>
            </w:r>
          </w:p>
        </w:tc>
        <w:tc>
          <w:tcPr>
            <w:tcW w:w="1411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Steady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1160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HbAA</w:t>
            </w:r>
          </w:p>
        </w:tc>
        <w:tc>
          <w:tcPr>
            <w:tcW w:w="1169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Crises</w:t>
            </w:r>
          </w:p>
        </w:tc>
        <w:tc>
          <w:tcPr>
            <w:tcW w:w="1648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Steady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</w:tr>
      <w:tr>
        <w:trPr>
          <w:trHeight w:val="407" w:hRule="atLeast"/>
        </w:trPr>
        <w:tc>
          <w:tcPr>
            <w:tcW w:w="32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32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9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11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63"/>
              <w:rPr>
                <w:sz w:val="24"/>
              </w:rPr>
            </w:pPr>
            <w:r>
              <w:rPr>
                <w:sz w:val="24"/>
              </w:rPr>
              <w:t>347.81</w:t>
            </w:r>
          </w:p>
        </w:tc>
        <w:tc>
          <w:tcPr>
            <w:tcW w:w="10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32"/>
              <w:rPr>
                <w:sz w:val="24"/>
              </w:rPr>
            </w:pPr>
            <w:r>
              <w:rPr>
                <w:sz w:val="24"/>
              </w:rPr>
              <w:t>259.04</w:t>
            </w:r>
          </w:p>
        </w:tc>
        <w:tc>
          <w:tcPr>
            <w:tcW w:w="14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518.38</w:t>
            </w:r>
          </w:p>
        </w:tc>
        <w:tc>
          <w:tcPr>
            <w:tcW w:w="11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259.04</w:t>
            </w:r>
          </w:p>
        </w:tc>
        <w:tc>
          <w:tcPr>
            <w:tcW w:w="11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63"/>
              <w:rPr>
                <w:sz w:val="24"/>
              </w:rPr>
            </w:pPr>
            <w:r>
              <w:rPr>
                <w:sz w:val="24"/>
              </w:rPr>
              <w:t>347.81</w:t>
            </w:r>
          </w:p>
        </w:tc>
        <w:tc>
          <w:tcPr>
            <w:tcW w:w="16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518.38</w:t>
            </w:r>
          </w:p>
        </w:tc>
      </w:tr>
      <w:tr>
        <w:trPr>
          <w:trHeight w:val="475" w:hRule="atLeast"/>
        </w:trPr>
        <w:tc>
          <w:tcPr>
            <w:tcW w:w="3278" w:type="dxa"/>
          </w:tcPr>
          <w:p>
            <w:pPr>
              <w:pStyle w:val="TableParagraph"/>
              <w:spacing w:before="94"/>
              <w:ind w:left="110"/>
              <w:rPr>
                <w:sz w:val="24"/>
              </w:rPr>
            </w:pPr>
            <w:r>
              <w:rPr>
                <w:sz w:val="24"/>
              </w:rPr>
              <w:t>Variance</w:t>
            </w:r>
          </w:p>
        </w:tc>
        <w:tc>
          <w:tcPr>
            <w:tcW w:w="1197" w:type="dxa"/>
          </w:tcPr>
          <w:p>
            <w:pPr>
              <w:pStyle w:val="TableParagraph"/>
              <w:spacing w:before="94"/>
              <w:ind w:left="163"/>
              <w:rPr>
                <w:sz w:val="24"/>
              </w:rPr>
            </w:pPr>
            <w:r>
              <w:rPr>
                <w:sz w:val="24"/>
              </w:rPr>
              <w:t>20665.50</w:t>
            </w:r>
          </w:p>
        </w:tc>
        <w:tc>
          <w:tcPr>
            <w:tcW w:w="1022" w:type="dxa"/>
          </w:tcPr>
          <w:p>
            <w:pPr>
              <w:pStyle w:val="TableParagraph"/>
              <w:spacing w:before="94"/>
              <w:ind w:left="132"/>
              <w:rPr>
                <w:sz w:val="24"/>
              </w:rPr>
            </w:pPr>
            <w:r>
              <w:rPr>
                <w:sz w:val="24"/>
              </w:rPr>
              <w:t>4852.04</w:t>
            </w:r>
          </w:p>
        </w:tc>
        <w:tc>
          <w:tcPr>
            <w:tcW w:w="1411" w:type="dxa"/>
          </w:tcPr>
          <w:p>
            <w:pPr>
              <w:pStyle w:val="TableParagraph"/>
              <w:spacing w:before="94"/>
              <w:ind w:left="109"/>
              <w:rPr>
                <w:sz w:val="24"/>
              </w:rPr>
            </w:pPr>
            <w:r>
              <w:rPr>
                <w:sz w:val="24"/>
              </w:rPr>
              <w:t>10949.41</w:t>
            </w:r>
          </w:p>
        </w:tc>
        <w:tc>
          <w:tcPr>
            <w:tcW w:w="1160" w:type="dxa"/>
          </w:tcPr>
          <w:p>
            <w:pPr>
              <w:pStyle w:val="TableParagraph"/>
              <w:spacing w:before="94"/>
              <w:ind w:left="109"/>
              <w:rPr>
                <w:sz w:val="24"/>
              </w:rPr>
            </w:pPr>
            <w:r>
              <w:rPr>
                <w:sz w:val="24"/>
              </w:rPr>
              <w:t>4852.04</w:t>
            </w:r>
          </w:p>
        </w:tc>
        <w:tc>
          <w:tcPr>
            <w:tcW w:w="1169" w:type="dxa"/>
          </w:tcPr>
          <w:p>
            <w:pPr>
              <w:pStyle w:val="TableParagraph"/>
              <w:spacing w:before="94"/>
              <w:ind w:left="163"/>
              <w:rPr>
                <w:sz w:val="24"/>
              </w:rPr>
            </w:pPr>
            <w:r>
              <w:rPr>
                <w:sz w:val="24"/>
              </w:rPr>
              <w:t>20665.50</w:t>
            </w:r>
          </w:p>
        </w:tc>
        <w:tc>
          <w:tcPr>
            <w:tcW w:w="1648" w:type="dxa"/>
          </w:tcPr>
          <w:p>
            <w:pPr>
              <w:pStyle w:val="TableParagraph"/>
              <w:spacing w:before="94"/>
              <w:ind w:left="113"/>
              <w:rPr>
                <w:sz w:val="24"/>
              </w:rPr>
            </w:pPr>
            <w:r>
              <w:rPr>
                <w:sz w:val="24"/>
              </w:rPr>
              <w:t>10949.41</w:t>
            </w:r>
          </w:p>
        </w:tc>
      </w:tr>
      <w:tr>
        <w:trPr>
          <w:trHeight w:val="475" w:hRule="atLeast"/>
        </w:trPr>
        <w:tc>
          <w:tcPr>
            <w:tcW w:w="3278" w:type="dxa"/>
          </w:tcPr>
          <w:p>
            <w:pPr>
              <w:pStyle w:val="TableParagraph"/>
              <w:spacing w:before="94"/>
              <w:ind w:left="110"/>
              <w:rPr>
                <w:sz w:val="24"/>
              </w:rPr>
            </w:pPr>
            <w:r>
              <w:rPr>
                <w:sz w:val="24"/>
              </w:rPr>
              <w:t>Observations</w:t>
            </w:r>
          </w:p>
        </w:tc>
        <w:tc>
          <w:tcPr>
            <w:tcW w:w="1197" w:type="dxa"/>
          </w:tcPr>
          <w:p>
            <w:pPr>
              <w:pStyle w:val="TableParagraph"/>
              <w:spacing w:before="94"/>
              <w:ind w:left="163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1022" w:type="dxa"/>
          </w:tcPr>
          <w:p>
            <w:pPr>
              <w:pStyle w:val="TableParagraph"/>
              <w:spacing w:before="94"/>
              <w:ind w:left="132"/>
              <w:rPr>
                <w:sz w:val="24"/>
              </w:rPr>
            </w:pPr>
            <w:r>
              <w:rPr>
                <w:sz w:val="24"/>
              </w:rPr>
              <w:t>27.00</w:t>
            </w:r>
          </w:p>
        </w:tc>
        <w:tc>
          <w:tcPr>
            <w:tcW w:w="1411" w:type="dxa"/>
          </w:tcPr>
          <w:p>
            <w:pPr>
              <w:pStyle w:val="TableParagraph"/>
              <w:spacing w:before="94"/>
              <w:ind w:left="109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160" w:type="dxa"/>
          </w:tcPr>
          <w:p>
            <w:pPr>
              <w:pStyle w:val="TableParagraph"/>
              <w:spacing w:before="94"/>
              <w:ind w:left="109"/>
              <w:rPr>
                <w:sz w:val="24"/>
              </w:rPr>
            </w:pPr>
            <w:r>
              <w:rPr>
                <w:sz w:val="24"/>
              </w:rPr>
              <w:t>27.00</w:t>
            </w:r>
          </w:p>
        </w:tc>
        <w:tc>
          <w:tcPr>
            <w:tcW w:w="1169" w:type="dxa"/>
          </w:tcPr>
          <w:p>
            <w:pPr>
              <w:pStyle w:val="TableParagraph"/>
              <w:spacing w:before="94"/>
              <w:ind w:left="163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1648" w:type="dxa"/>
          </w:tcPr>
          <w:p>
            <w:pPr>
              <w:pStyle w:val="TableParagraph"/>
              <w:spacing w:before="94"/>
              <w:ind w:left="113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>
        <w:trPr>
          <w:trHeight w:val="475" w:hRule="atLeast"/>
        </w:trPr>
        <w:tc>
          <w:tcPr>
            <w:tcW w:w="3278" w:type="dxa"/>
          </w:tcPr>
          <w:p>
            <w:pPr>
              <w:pStyle w:val="TableParagraph"/>
              <w:spacing w:before="94"/>
              <w:ind w:left="110"/>
              <w:rPr>
                <w:sz w:val="24"/>
              </w:rPr>
            </w:pPr>
            <w:r>
              <w:rPr>
                <w:sz w:val="24"/>
              </w:rPr>
              <w:t>Hypothesized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Difference</w:t>
            </w:r>
          </w:p>
        </w:tc>
        <w:tc>
          <w:tcPr>
            <w:tcW w:w="1197" w:type="dxa"/>
          </w:tcPr>
          <w:p>
            <w:pPr>
              <w:pStyle w:val="TableParagraph"/>
              <w:spacing w:before="94"/>
              <w:ind w:left="163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spacing w:before="94"/>
              <w:ind w:left="109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69" w:type="dxa"/>
          </w:tcPr>
          <w:p>
            <w:pPr>
              <w:pStyle w:val="TableParagraph"/>
              <w:spacing w:before="94"/>
              <w:ind w:left="163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64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5" w:hRule="atLeast"/>
        </w:trPr>
        <w:tc>
          <w:tcPr>
            <w:tcW w:w="3278" w:type="dxa"/>
          </w:tcPr>
          <w:p>
            <w:pPr>
              <w:pStyle w:val="TableParagraph"/>
              <w:spacing w:before="94"/>
              <w:ind w:left="110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197" w:type="dxa"/>
          </w:tcPr>
          <w:p>
            <w:pPr>
              <w:pStyle w:val="TableParagraph"/>
              <w:spacing w:before="94"/>
              <w:ind w:left="163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spacing w:before="94"/>
              <w:ind w:left="109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  <w:tc>
          <w:tcPr>
            <w:tcW w:w="1169" w:type="dxa"/>
          </w:tcPr>
          <w:p>
            <w:pPr>
              <w:pStyle w:val="TableParagraph"/>
              <w:spacing w:before="94"/>
              <w:ind w:left="163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  <w:tc>
          <w:tcPr>
            <w:tcW w:w="164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7" w:hRule="atLeast"/>
        </w:trPr>
        <w:tc>
          <w:tcPr>
            <w:tcW w:w="3278" w:type="dxa"/>
          </w:tcPr>
          <w:p>
            <w:pPr>
              <w:pStyle w:val="TableParagraph"/>
              <w:spacing w:before="94"/>
              <w:ind w:left="110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</w:t>
            </w:r>
          </w:p>
        </w:tc>
        <w:tc>
          <w:tcPr>
            <w:tcW w:w="1197" w:type="dxa"/>
          </w:tcPr>
          <w:p>
            <w:pPr>
              <w:pStyle w:val="TableParagraph"/>
              <w:spacing w:before="94"/>
              <w:ind w:left="163"/>
              <w:rPr>
                <w:sz w:val="24"/>
              </w:rPr>
            </w:pPr>
            <w:r>
              <w:rPr>
                <w:sz w:val="24"/>
              </w:rPr>
              <w:t>2.31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spacing w:before="94"/>
              <w:ind w:left="109"/>
              <w:rPr>
                <w:sz w:val="24"/>
              </w:rPr>
            </w:pPr>
            <w:r>
              <w:rPr>
                <w:sz w:val="24"/>
              </w:rPr>
              <w:t>-6.59</w:t>
            </w:r>
          </w:p>
        </w:tc>
        <w:tc>
          <w:tcPr>
            <w:tcW w:w="1169" w:type="dxa"/>
          </w:tcPr>
          <w:p>
            <w:pPr>
              <w:pStyle w:val="TableParagraph"/>
              <w:spacing w:before="94"/>
              <w:ind w:left="163"/>
              <w:rPr>
                <w:sz w:val="24"/>
              </w:rPr>
            </w:pPr>
            <w:r>
              <w:rPr>
                <w:sz w:val="24"/>
              </w:rPr>
              <w:t>-3.31</w:t>
            </w:r>
          </w:p>
        </w:tc>
        <w:tc>
          <w:tcPr>
            <w:tcW w:w="164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7" w:hRule="atLeast"/>
        </w:trPr>
        <w:tc>
          <w:tcPr>
            <w:tcW w:w="3278" w:type="dxa"/>
          </w:tcPr>
          <w:p>
            <w:pPr>
              <w:pStyle w:val="TableParagraph"/>
              <w:spacing w:before="97"/>
              <w:ind w:left="110"/>
              <w:rPr>
                <w:sz w:val="24"/>
              </w:rPr>
            </w:pPr>
            <w:r>
              <w:rPr>
                <w:sz w:val="24"/>
              </w:rPr>
              <w:t>P(T&lt;=t)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one-tail</w:t>
            </w:r>
          </w:p>
        </w:tc>
        <w:tc>
          <w:tcPr>
            <w:tcW w:w="1197" w:type="dxa"/>
          </w:tcPr>
          <w:p>
            <w:pPr>
              <w:pStyle w:val="TableParagraph"/>
              <w:spacing w:before="97"/>
              <w:ind w:left="163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spacing w:before="97"/>
              <w:ind w:left="109"/>
              <w:rPr>
                <w:sz w:val="24"/>
              </w:rPr>
            </w:pPr>
            <w:r>
              <w:rPr>
                <w:sz w:val="24"/>
              </w:rPr>
              <w:t>5.02E-05</w:t>
            </w:r>
          </w:p>
        </w:tc>
        <w:tc>
          <w:tcPr>
            <w:tcW w:w="1169" w:type="dxa"/>
          </w:tcPr>
          <w:p>
            <w:pPr>
              <w:pStyle w:val="TableParagraph"/>
              <w:spacing w:before="97"/>
              <w:ind w:left="163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64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5" w:hRule="atLeast"/>
        </w:trPr>
        <w:tc>
          <w:tcPr>
            <w:tcW w:w="3278" w:type="dxa"/>
          </w:tcPr>
          <w:p>
            <w:pPr>
              <w:pStyle w:val="TableParagraph"/>
              <w:spacing w:before="94"/>
              <w:ind w:left="110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Critical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one-tail</w:t>
            </w:r>
          </w:p>
        </w:tc>
        <w:tc>
          <w:tcPr>
            <w:tcW w:w="1197" w:type="dxa"/>
          </w:tcPr>
          <w:p>
            <w:pPr>
              <w:pStyle w:val="TableParagraph"/>
              <w:spacing w:before="94"/>
              <w:ind w:left="163"/>
              <w:rPr>
                <w:sz w:val="24"/>
              </w:rPr>
            </w:pPr>
            <w:r>
              <w:rPr>
                <w:sz w:val="24"/>
              </w:rPr>
              <w:t>1.73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spacing w:before="94"/>
              <w:ind w:left="109"/>
              <w:rPr>
                <w:sz w:val="24"/>
              </w:rPr>
            </w:pPr>
            <w:r>
              <w:rPr>
                <w:sz w:val="24"/>
              </w:rPr>
              <w:t>1.83</w:t>
            </w:r>
          </w:p>
        </w:tc>
        <w:tc>
          <w:tcPr>
            <w:tcW w:w="1169" w:type="dxa"/>
          </w:tcPr>
          <w:p>
            <w:pPr>
              <w:pStyle w:val="TableParagraph"/>
              <w:spacing w:before="94"/>
              <w:ind w:left="163"/>
              <w:rPr>
                <w:sz w:val="24"/>
              </w:rPr>
            </w:pPr>
            <w:r>
              <w:rPr>
                <w:sz w:val="24"/>
              </w:rPr>
              <w:t>1.73</w:t>
            </w:r>
          </w:p>
        </w:tc>
        <w:tc>
          <w:tcPr>
            <w:tcW w:w="164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5" w:hRule="atLeast"/>
        </w:trPr>
        <w:tc>
          <w:tcPr>
            <w:tcW w:w="3278" w:type="dxa"/>
          </w:tcPr>
          <w:p>
            <w:pPr>
              <w:pStyle w:val="TableParagraph"/>
              <w:spacing w:before="94"/>
              <w:ind w:left="110"/>
              <w:rPr>
                <w:sz w:val="24"/>
              </w:rPr>
            </w:pPr>
            <w:r>
              <w:rPr>
                <w:sz w:val="24"/>
              </w:rPr>
              <w:t>P(T&lt;=t)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two-tail</w:t>
            </w:r>
          </w:p>
        </w:tc>
        <w:tc>
          <w:tcPr>
            <w:tcW w:w="1197" w:type="dxa"/>
          </w:tcPr>
          <w:p>
            <w:pPr>
              <w:pStyle w:val="TableParagraph"/>
              <w:spacing w:before="94"/>
              <w:ind w:left="163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spacing w:before="94"/>
              <w:ind w:left="109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69" w:type="dxa"/>
          </w:tcPr>
          <w:p>
            <w:pPr>
              <w:pStyle w:val="TableParagraph"/>
              <w:spacing w:before="94"/>
              <w:ind w:left="163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64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0" w:hRule="atLeast"/>
        </w:trPr>
        <w:tc>
          <w:tcPr>
            <w:tcW w:w="3278" w:type="dxa"/>
          </w:tcPr>
          <w:p>
            <w:pPr>
              <w:pStyle w:val="TableParagraph"/>
              <w:spacing w:line="256" w:lineRule="exact" w:before="94"/>
              <w:ind w:left="110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Critical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two-tail</w:t>
            </w:r>
          </w:p>
        </w:tc>
        <w:tc>
          <w:tcPr>
            <w:tcW w:w="1197" w:type="dxa"/>
          </w:tcPr>
          <w:p>
            <w:pPr>
              <w:pStyle w:val="TableParagraph"/>
              <w:spacing w:line="256" w:lineRule="exact" w:before="94"/>
              <w:ind w:left="163"/>
              <w:rPr>
                <w:sz w:val="24"/>
              </w:rPr>
            </w:pPr>
            <w:r>
              <w:rPr>
                <w:sz w:val="24"/>
              </w:rPr>
              <w:t>2.09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spacing w:line="256" w:lineRule="exact" w:before="94"/>
              <w:ind w:left="109"/>
              <w:rPr>
                <w:sz w:val="24"/>
              </w:rPr>
            </w:pPr>
            <w:r>
              <w:rPr>
                <w:sz w:val="24"/>
              </w:rPr>
              <w:t>2.26</w:t>
            </w:r>
          </w:p>
        </w:tc>
        <w:tc>
          <w:tcPr>
            <w:tcW w:w="1169" w:type="dxa"/>
          </w:tcPr>
          <w:p>
            <w:pPr>
              <w:pStyle w:val="TableParagraph"/>
              <w:spacing w:line="256" w:lineRule="exact" w:before="94"/>
              <w:ind w:left="163"/>
              <w:rPr>
                <w:sz w:val="24"/>
              </w:rPr>
            </w:pPr>
            <w:r>
              <w:rPr>
                <w:sz w:val="24"/>
              </w:rPr>
              <w:t>2.09</w:t>
            </w:r>
          </w:p>
        </w:tc>
        <w:tc>
          <w:tcPr>
            <w:tcW w:w="1648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7"/>
        <w:rPr>
          <w:b/>
          <w:sz w:val="14"/>
        </w:rPr>
      </w:pPr>
      <w:r>
        <w:rPr/>
        <w:pict>
          <v:shape style="position:absolute;margin-left:48.720001pt;margin-top:10.364279pt;width:545.3pt;height:1pt;mso-position-horizontal-relative:page;mso-position-vertical-relative:paragraph;z-index:-15683072;mso-wrap-distance-left:0;mso-wrap-distance-right:0" coordorigin="974,207" coordsize="10906,20" path="m5496,207l5491,207,5477,207,4325,207,4320,207,4306,207,974,207,974,226,4306,226,4320,226,4325,226,5477,226,5491,226,5496,226,5496,207xm6490,207l6485,207,6470,207,5496,207,5496,226,6470,226,6485,226,6490,226,6490,207xm11880,207l10234,207,10229,207,10214,207,9120,207,9115,207,9101,207,7906,207,7901,207,7886,207,6490,207,6490,226,7886,226,7901,226,7906,226,9101,226,9115,226,9120,226,10214,226,10229,226,10234,226,11880,226,11880,20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</w:rPr>
      </w:pPr>
    </w:p>
    <w:p>
      <w:pPr>
        <w:pStyle w:val="BodyText"/>
        <w:spacing w:line="360" w:lineRule="auto"/>
        <w:ind w:left="820" w:right="1436"/>
        <w:jc w:val="both"/>
      </w:pPr>
      <w:r>
        <w:rPr/>
        <w:t>Since t Stat (2.31) is greater than t Critical two-tail (2.09); it implies that there is a statistically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 between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platelet</w:t>
      </w:r>
      <w:r>
        <w:rPr>
          <w:spacing w:val="1"/>
        </w:rPr>
        <w:t> </w:t>
      </w:r>
      <w:r>
        <w:rPr/>
        <w:t>count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SCD</w:t>
      </w:r>
      <w:r>
        <w:rPr>
          <w:spacing w:val="-4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in</w:t>
      </w:r>
      <w:r>
        <w:rPr>
          <w:spacing w:val="-9"/>
        </w:rPr>
        <w:t> </w:t>
      </w:r>
      <w:r>
        <w:rPr/>
        <w:t>crises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HbAA</w:t>
      </w:r>
      <w:r>
        <w:rPr>
          <w:spacing w:val="-4"/>
        </w:rPr>
        <w:t> </w:t>
      </w:r>
      <w:r>
        <w:rPr/>
        <w:t>individuals.</w:t>
      </w:r>
    </w:p>
    <w:p>
      <w:pPr>
        <w:pStyle w:val="BodyText"/>
        <w:spacing w:line="360" w:lineRule="auto" w:before="199"/>
        <w:ind w:left="820" w:right="1440"/>
        <w:jc w:val="both"/>
      </w:pPr>
      <w:r>
        <w:rPr/>
        <w:t>Sine t Stat (6.59) is greater than t Critical two-tail (2.26); it implies that there is a statistically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 the platelet</w:t>
      </w:r>
      <w:r>
        <w:rPr>
          <w:spacing w:val="60"/>
        </w:rPr>
        <w:t> </w:t>
      </w:r>
      <w:r>
        <w:rPr/>
        <w:t>count of HbAA individuals and SCD patients in</w:t>
      </w:r>
      <w:r>
        <w:rPr>
          <w:spacing w:val="1"/>
        </w:rPr>
        <w:t> </w:t>
      </w:r>
      <w:r>
        <w:rPr/>
        <w:t>steady</w:t>
      </w:r>
      <w:r>
        <w:rPr>
          <w:spacing w:val="-8"/>
        </w:rPr>
        <w:t> </w:t>
      </w:r>
      <w:r>
        <w:rPr/>
        <w:t>state.</w:t>
      </w:r>
    </w:p>
    <w:p>
      <w:pPr>
        <w:pStyle w:val="BodyText"/>
        <w:spacing w:line="357" w:lineRule="auto" w:before="203"/>
        <w:ind w:left="820" w:right="1441"/>
        <w:jc w:val="both"/>
      </w:pPr>
      <w:r>
        <w:rPr/>
        <w:t>Sine t Stat (3.31) is greater than t Critical two-tail (2.09); it implies that there is a statistically</w:t>
      </w:r>
      <w:r>
        <w:rPr>
          <w:spacing w:val="1"/>
        </w:rPr>
        <w:t> </w:t>
      </w:r>
      <w:r>
        <w:rPr/>
        <w:t>significant difference between the platelet count of SCD patients in crises and SCD patients in</w:t>
      </w:r>
      <w:r>
        <w:rPr>
          <w:spacing w:val="1"/>
        </w:rPr>
        <w:t> </w:t>
      </w:r>
      <w:r>
        <w:rPr/>
        <w:t>steady</w:t>
      </w:r>
      <w:r>
        <w:rPr>
          <w:spacing w:val="-8"/>
        </w:rPr>
        <w:t> </w:t>
      </w:r>
      <w:r>
        <w:rPr/>
        <w:t>state.</w:t>
      </w:r>
    </w:p>
    <w:p>
      <w:pPr>
        <w:spacing w:after="0" w:line="357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spacing w:before="97"/>
        <w:jc w:val="left"/>
      </w:pPr>
      <w:r>
        <w:rPr/>
        <w:t>APPENDIX</w:t>
      </w:r>
      <w:r>
        <w:rPr>
          <w:spacing w:val="-5"/>
        </w:rPr>
        <w:t> </w:t>
      </w:r>
      <w:r>
        <w:rPr/>
        <w:t>X:</w:t>
      </w:r>
      <w:r>
        <w:rPr>
          <w:spacing w:val="-3"/>
        </w:rPr>
        <w:t> </w:t>
      </w:r>
      <w:r>
        <w:rPr/>
        <w:t>ANOVA:</w:t>
      </w:r>
      <w:r>
        <w:rPr>
          <w:spacing w:val="-3"/>
        </w:rPr>
        <w:t> </w:t>
      </w:r>
      <w:r>
        <w:rPr/>
        <w:t>Single</w:t>
      </w:r>
      <w:r>
        <w:rPr>
          <w:spacing w:val="-5"/>
        </w:rPr>
        <w:t> </w:t>
      </w:r>
      <w:r>
        <w:rPr/>
        <w:t>Factor:</w:t>
      </w:r>
      <w:r>
        <w:rPr>
          <w:spacing w:val="-3"/>
        </w:rPr>
        <w:t> </w:t>
      </w:r>
      <w:r>
        <w:rPr/>
        <w:t>White</w:t>
      </w:r>
      <w:r>
        <w:rPr>
          <w:spacing w:val="-9"/>
        </w:rPr>
        <w:t> </w:t>
      </w:r>
      <w:r>
        <w:rPr/>
        <w:t>Blood</w:t>
      </w:r>
      <w:r>
        <w:rPr>
          <w:spacing w:val="-3"/>
        </w:rPr>
        <w:t> </w:t>
      </w:r>
      <w:r>
        <w:rPr/>
        <w:t>Cell</w:t>
      </w:r>
      <w:r>
        <w:rPr>
          <w:spacing w:val="-8"/>
        </w:rPr>
        <w:t> </w:t>
      </w:r>
      <w:r>
        <w:rPr/>
        <w:t>(WBC)</w:t>
      </w:r>
      <w:r>
        <w:rPr>
          <w:spacing w:val="-7"/>
        </w:rPr>
        <w:t> </w:t>
      </w:r>
      <w:r>
        <w:rPr/>
        <w:t>Count</w:t>
      </w:r>
      <w:r>
        <w:rPr>
          <w:spacing w:val="-7"/>
        </w:rPr>
        <w:t> </w:t>
      </w:r>
      <w:r>
        <w:rPr/>
        <w:t>(</w:t>
      </w:r>
      <w:r>
        <w:rPr>
          <w:rFonts w:ascii="Cambria Math" w:hAnsi="Cambria Math"/>
          <w:b w:val="0"/>
        </w:rPr>
        <w:t>×</w:t>
      </w:r>
      <w:r>
        <w:rPr>
          <w:rFonts w:ascii="Cambria Math" w:hAnsi="Cambria Math"/>
          <w:b w:val="0"/>
          <w:spacing w:val="39"/>
        </w:rPr>
        <w:t> </w:t>
      </w:r>
      <w:r>
        <w:rPr/>
        <w:t>10</w:t>
      </w:r>
      <w:r>
        <w:rPr>
          <w:vertAlign w:val="superscript"/>
        </w:rPr>
        <w:t>9</w:t>
      </w:r>
      <w:r>
        <w:rPr>
          <w:vertAlign w:val="baseline"/>
        </w:rPr>
        <w:t>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0"/>
        </w:rPr>
      </w:pPr>
    </w:p>
    <w:tbl>
      <w:tblPr>
        <w:tblW w:w="0" w:type="auto"/>
        <w:jc w:val="left"/>
        <w:tblInd w:w="8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8"/>
        <w:gridCol w:w="1211"/>
        <w:gridCol w:w="878"/>
        <w:gridCol w:w="1068"/>
        <w:gridCol w:w="1160"/>
        <w:gridCol w:w="1326"/>
        <w:gridCol w:w="1379"/>
      </w:tblGrid>
      <w:tr>
        <w:trPr>
          <w:trHeight w:val="469" w:hRule="atLeast"/>
        </w:trPr>
        <w:tc>
          <w:tcPr>
            <w:tcW w:w="2318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Groups</w:t>
            </w:r>
          </w:p>
        </w:tc>
        <w:tc>
          <w:tcPr>
            <w:tcW w:w="1211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21"/>
              <w:rPr>
                <w:sz w:val="24"/>
              </w:rPr>
            </w:pPr>
            <w:r>
              <w:rPr>
                <w:sz w:val="24"/>
              </w:rPr>
              <w:t>Count</w:t>
            </w:r>
          </w:p>
        </w:tc>
        <w:tc>
          <w:tcPr>
            <w:tcW w:w="878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Sum</w:t>
            </w:r>
          </w:p>
        </w:tc>
        <w:tc>
          <w:tcPr>
            <w:tcW w:w="1068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Average</w:t>
            </w:r>
          </w:p>
        </w:tc>
        <w:tc>
          <w:tcPr>
            <w:tcW w:w="1160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z w:val="24"/>
              </w:rPr>
              <w:t>Variance</w:t>
            </w:r>
          </w:p>
        </w:tc>
        <w:tc>
          <w:tcPr>
            <w:tcW w:w="2705" w:type="dxa"/>
            <w:gridSpan w:val="2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7" w:hRule="atLeast"/>
        </w:trPr>
        <w:tc>
          <w:tcPr>
            <w:tcW w:w="23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Crises</w:t>
            </w:r>
          </w:p>
        </w:tc>
        <w:tc>
          <w:tcPr>
            <w:tcW w:w="12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321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8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454.70</w:t>
            </w:r>
          </w:p>
        </w:tc>
        <w:tc>
          <w:tcPr>
            <w:tcW w:w="10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10.10</w:t>
            </w:r>
          </w:p>
        </w:tc>
        <w:tc>
          <w:tcPr>
            <w:tcW w:w="11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55"/>
              <w:rPr>
                <w:sz w:val="24"/>
              </w:rPr>
            </w:pPr>
            <w:r>
              <w:rPr>
                <w:sz w:val="24"/>
              </w:rPr>
              <w:t>10.58</w:t>
            </w:r>
          </w:p>
        </w:tc>
        <w:tc>
          <w:tcPr>
            <w:tcW w:w="2705" w:type="dxa"/>
            <w:gridSpan w:val="2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5" w:hRule="atLeast"/>
        </w:trPr>
        <w:tc>
          <w:tcPr>
            <w:tcW w:w="2318" w:type="dxa"/>
          </w:tcPr>
          <w:p>
            <w:pPr>
              <w:pStyle w:val="TableParagraph"/>
              <w:spacing w:before="84"/>
              <w:ind w:left="105"/>
              <w:rPr>
                <w:sz w:val="24"/>
              </w:rPr>
            </w:pPr>
            <w:r>
              <w:rPr>
                <w:sz w:val="24"/>
              </w:rPr>
              <w:t>HbAA</w:t>
            </w:r>
          </w:p>
        </w:tc>
        <w:tc>
          <w:tcPr>
            <w:tcW w:w="1211" w:type="dxa"/>
          </w:tcPr>
          <w:p>
            <w:pPr>
              <w:pStyle w:val="TableParagraph"/>
              <w:spacing w:before="84"/>
              <w:ind w:left="321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878" w:type="dxa"/>
          </w:tcPr>
          <w:p>
            <w:pPr>
              <w:pStyle w:val="TableParagraph"/>
              <w:spacing w:before="84"/>
              <w:ind w:left="109"/>
              <w:rPr>
                <w:sz w:val="24"/>
              </w:rPr>
            </w:pPr>
            <w:r>
              <w:rPr>
                <w:sz w:val="24"/>
              </w:rPr>
              <w:t>228.60</w:t>
            </w:r>
          </w:p>
        </w:tc>
        <w:tc>
          <w:tcPr>
            <w:tcW w:w="1068" w:type="dxa"/>
          </w:tcPr>
          <w:p>
            <w:pPr>
              <w:pStyle w:val="TableParagraph"/>
              <w:spacing w:before="84"/>
              <w:ind w:left="109"/>
              <w:rPr>
                <w:sz w:val="24"/>
              </w:rPr>
            </w:pPr>
            <w:r>
              <w:rPr>
                <w:sz w:val="24"/>
              </w:rPr>
              <w:t>5.08</w:t>
            </w:r>
          </w:p>
        </w:tc>
        <w:tc>
          <w:tcPr>
            <w:tcW w:w="1160" w:type="dxa"/>
          </w:tcPr>
          <w:p>
            <w:pPr>
              <w:pStyle w:val="TableParagraph"/>
              <w:spacing w:before="84"/>
              <w:ind w:left="155"/>
              <w:rPr>
                <w:sz w:val="24"/>
              </w:rPr>
            </w:pPr>
            <w:r>
              <w:rPr>
                <w:sz w:val="24"/>
              </w:rPr>
              <w:t>4.15</w:t>
            </w:r>
          </w:p>
        </w:tc>
        <w:tc>
          <w:tcPr>
            <w:tcW w:w="2705" w:type="dxa"/>
            <w:gridSpan w:val="2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7" w:hRule="atLeast"/>
        </w:trPr>
        <w:tc>
          <w:tcPr>
            <w:tcW w:w="23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4"/>
              <w:ind w:left="105"/>
              <w:rPr>
                <w:sz w:val="24"/>
              </w:rPr>
            </w:pPr>
            <w:r>
              <w:rPr>
                <w:sz w:val="24"/>
              </w:rPr>
              <w:t>Steady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121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4"/>
              <w:ind w:left="321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87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4"/>
              <w:ind w:left="109"/>
              <w:rPr>
                <w:sz w:val="24"/>
              </w:rPr>
            </w:pPr>
            <w:r>
              <w:rPr>
                <w:sz w:val="24"/>
              </w:rPr>
              <w:t>371.90</w:t>
            </w:r>
          </w:p>
        </w:tc>
        <w:tc>
          <w:tcPr>
            <w:tcW w:w="106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4"/>
              <w:ind w:left="109"/>
              <w:rPr>
                <w:sz w:val="24"/>
              </w:rPr>
            </w:pPr>
            <w:r>
              <w:rPr>
                <w:sz w:val="24"/>
              </w:rPr>
              <w:t>8.26</w:t>
            </w:r>
          </w:p>
        </w:tc>
        <w:tc>
          <w:tcPr>
            <w:tcW w:w="11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4"/>
              <w:ind w:left="155"/>
              <w:rPr>
                <w:sz w:val="24"/>
              </w:rPr>
            </w:pPr>
            <w:r>
              <w:rPr>
                <w:sz w:val="24"/>
              </w:rPr>
              <w:t>14.13</w:t>
            </w:r>
          </w:p>
        </w:tc>
        <w:tc>
          <w:tcPr>
            <w:tcW w:w="2705" w:type="dxa"/>
            <w:gridSpan w:val="2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79" w:hRule="atLeast"/>
        </w:trPr>
        <w:tc>
          <w:tcPr>
            <w:tcW w:w="231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ANOVA</w:t>
            </w:r>
          </w:p>
        </w:tc>
        <w:tc>
          <w:tcPr>
            <w:tcW w:w="121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05" w:type="dxa"/>
            <w:gridSpan w:val="2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4" w:hRule="atLeast"/>
        </w:trPr>
        <w:tc>
          <w:tcPr>
            <w:tcW w:w="2318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Variation</w:t>
            </w:r>
          </w:p>
        </w:tc>
        <w:tc>
          <w:tcPr>
            <w:tcW w:w="1211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21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878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068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  <w:tc>
          <w:tcPr>
            <w:tcW w:w="1160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2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1379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33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critical</w:t>
            </w:r>
          </w:p>
        </w:tc>
      </w:tr>
      <w:tr>
        <w:trPr>
          <w:trHeight w:val="372" w:hRule="atLeast"/>
        </w:trPr>
        <w:tc>
          <w:tcPr>
            <w:tcW w:w="23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2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21"/>
              <w:rPr>
                <w:sz w:val="24"/>
              </w:rPr>
            </w:pPr>
            <w:r>
              <w:rPr>
                <w:sz w:val="24"/>
              </w:rPr>
              <w:t>581.56</w:t>
            </w:r>
          </w:p>
        </w:tc>
        <w:tc>
          <w:tcPr>
            <w:tcW w:w="8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0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290.78</w:t>
            </w:r>
          </w:p>
        </w:tc>
        <w:tc>
          <w:tcPr>
            <w:tcW w:w="11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z w:val="24"/>
              </w:rPr>
              <w:t>30.21</w:t>
            </w:r>
          </w:p>
        </w:tc>
        <w:tc>
          <w:tcPr>
            <w:tcW w:w="13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1.57E-11</w:t>
            </w:r>
          </w:p>
        </w:tc>
        <w:tc>
          <w:tcPr>
            <w:tcW w:w="13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33"/>
              <w:rPr>
                <w:sz w:val="24"/>
              </w:rPr>
            </w:pPr>
            <w:r>
              <w:rPr>
                <w:sz w:val="24"/>
              </w:rPr>
              <w:t>3.06</w:t>
            </w:r>
          </w:p>
        </w:tc>
      </w:tr>
      <w:tr>
        <w:trPr>
          <w:trHeight w:val="626" w:hRule="atLeast"/>
        </w:trPr>
        <w:tc>
          <w:tcPr>
            <w:tcW w:w="2318" w:type="dxa"/>
          </w:tcPr>
          <w:p>
            <w:pPr>
              <w:pStyle w:val="TableParagraph"/>
              <w:spacing w:before="94"/>
              <w:ind w:left="105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211" w:type="dxa"/>
          </w:tcPr>
          <w:p>
            <w:pPr>
              <w:pStyle w:val="TableParagraph"/>
              <w:spacing w:before="94"/>
              <w:ind w:left="321"/>
              <w:rPr>
                <w:sz w:val="24"/>
              </w:rPr>
            </w:pPr>
            <w:r>
              <w:rPr>
                <w:sz w:val="24"/>
              </w:rPr>
              <w:t>1270.37</w:t>
            </w:r>
          </w:p>
        </w:tc>
        <w:tc>
          <w:tcPr>
            <w:tcW w:w="878" w:type="dxa"/>
          </w:tcPr>
          <w:p>
            <w:pPr>
              <w:pStyle w:val="TableParagraph"/>
              <w:spacing w:before="94"/>
              <w:ind w:left="109"/>
              <w:rPr>
                <w:sz w:val="24"/>
              </w:rPr>
            </w:pPr>
            <w:r>
              <w:rPr>
                <w:sz w:val="24"/>
              </w:rPr>
              <w:t>132.00</w:t>
            </w:r>
          </w:p>
        </w:tc>
        <w:tc>
          <w:tcPr>
            <w:tcW w:w="1068" w:type="dxa"/>
          </w:tcPr>
          <w:p>
            <w:pPr>
              <w:pStyle w:val="TableParagraph"/>
              <w:spacing w:before="94"/>
              <w:ind w:left="109"/>
              <w:rPr>
                <w:sz w:val="24"/>
              </w:rPr>
            </w:pPr>
            <w:r>
              <w:rPr>
                <w:sz w:val="24"/>
              </w:rPr>
              <w:t>9.62</w:t>
            </w:r>
          </w:p>
        </w:tc>
        <w:tc>
          <w:tcPr>
            <w:tcW w:w="11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21" w:hRule="atLeast"/>
        </w:trPr>
        <w:tc>
          <w:tcPr>
            <w:tcW w:w="2318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211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56" w:lineRule="exact"/>
              <w:ind w:left="321"/>
              <w:rPr>
                <w:sz w:val="24"/>
              </w:rPr>
            </w:pPr>
            <w:r>
              <w:rPr>
                <w:sz w:val="24"/>
              </w:rPr>
              <w:t>1851.94</w:t>
            </w:r>
          </w:p>
        </w:tc>
        <w:tc>
          <w:tcPr>
            <w:tcW w:w="878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134.00</w:t>
            </w:r>
          </w:p>
        </w:tc>
        <w:tc>
          <w:tcPr>
            <w:tcW w:w="10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7"/>
        <w:rPr>
          <w:b/>
          <w:sz w:val="14"/>
        </w:rPr>
      </w:pPr>
      <w:r>
        <w:rPr/>
        <w:pict>
          <v:shape style="position:absolute;margin-left:70.560005pt;margin-top:10.364277pt;width:468pt;height:1pt;mso-position-horizontal-relative:page;mso-position-vertical-relative:paragraph;z-index:-15682560;mso-wrap-distance-left:0;mso-wrap-distance-right:0" coordorigin="1411,207" coordsize="9360,20" path="m9614,207l9610,207,9595,207,8069,207,8064,207,8050,207,6955,207,6950,207,6936,207,5837,207,5832,207,5818,207,4963,207,4958,207,4944,207,3965,207,3960,207,3946,207,1411,207,1411,226,3946,226,3960,226,3965,226,4944,226,4958,226,4963,226,5818,226,5832,226,5837,226,6936,226,6950,226,6955,226,8050,226,8064,226,8069,226,9595,226,9610,226,9614,226,9614,207xm10771,207l9614,207,9614,226,10771,226,10771,20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360" w:lineRule="auto" w:before="232"/>
        <w:ind w:left="820" w:right="1433"/>
      </w:pPr>
      <w:r>
        <w:rPr/>
        <w:t>Since</w:t>
      </w:r>
      <w:r>
        <w:rPr>
          <w:spacing w:val="16"/>
        </w:rPr>
        <w:t> </w:t>
      </w:r>
      <w:r>
        <w:rPr/>
        <w:t>F</w:t>
      </w:r>
      <w:r>
        <w:rPr>
          <w:spacing w:val="14"/>
        </w:rPr>
        <w:t> </w:t>
      </w:r>
      <w:r>
        <w:rPr/>
        <w:t>(30.21)</w:t>
      </w:r>
      <w:r>
        <w:rPr>
          <w:spacing w:val="20"/>
        </w:rPr>
        <w:t> </w:t>
      </w:r>
      <w:r>
        <w:rPr/>
        <w:t>is</w:t>
      </w:r>
      <w:r>
        <w:rPr>
          <w:spacing w:val="16"/>
        </w:rPr>
        <w:t> </w:t>
      </w:r>
      <w:r>
        <w:rPr/>
        <w:t>greater</w:t>
      </w:r>
      <w:r>
        <w:rPr>
          <w:spacing w:val="15"/>
        </w:rPr>
        <w:t> </w:t>
      </w:r>
      <w:r>
        <w:rPr/>
        <w:t>than</w:t>
      </w:r>
      <w:r>
        <w:rPr>
          <w:spacing w:val="13"/>
        </w:rPr>
        <w:t> </w:t>
      </w:r>
      <w:r>
        <w:rPr/>
        <w:t>F</w:t>
      </w:r>
      <w:r>
        <w:rPr>
          <w:spacing w:val="13"/>
        </w:rPr>
        <w:t> </w:t>
      </w:r>
      <w:r>
        <w:rPr/>
        <w:t>critical</w:t>
      </w:r>
      <w:r>
        <w:rPr>
          <w:spacing w:val="10"/>
        </w:rPr>
        <w:t> </w:t>
      </w:r>
      <w:r>
        <w:rPr/>
        <w:t>(3.06),</w:t>
      </w:r>
      <w:r>
        <w:rPr>
          <w:spacing w:val="15"/>
        </w:rPr>
        <w:t> </w:t>
      </w:r>
      <w:r>
        <w:rPr/>
        <w:t>it</w:t>
      </w:r>
      <w:r>
        <w:rPr>
          <w:spacing w:val="23"/>
        </w:rPr>
        <w:t> </w:t>
      </w:r>
      <w:r>
        <w:rPr/>
        <w:t>implies</w:t>
      </w:r>
      <w:r>
        <w:rPr>
          <w:spacing w:val="11"/>
        </w:rPr>
        <w:t> </w:t>
      </w:r>
      <w:r>
        <w:rPr/>
        <w:t>that</w:t>
      </w:r>
      <w:r>
        <w:rPr>
          <w:spacing w:val="18"/>
        </w:rPr>
        <w:t> </w:t>
      </w:r>
      <w:r>
        <w:rPr/>
        <w:t>there</w:t>
      </w:r>
      <w:r>
        <w:rPr>
          <w:spacing w:val="17"/>
        </w:rPr>
        <w:t> </w:t>
      </w:r>
      <w:r>
        <w:rPr/>
        <w:t>is</w:t>
      </w:r>
      <w:r>
        <w:rPr>
          <w:spacing w:val="15"/>
        </w:rPr>
        <w:t> </w:t>
      </w:r>
      <w:r>
        <w:rPr/>
        <w:t>a</w:t>
      </w:r>
      <w:r>
        <w:rPr>
          <w:spacing w:val="23"/>
        </w:rPr>
        <w:t> </w:t>
      </w:r>
      <w:r>
        <w:rPr/>
        <w:t>statistically</w:t>
      </w:r>
      <w:r>
        <w:rPr>
          <w:spacing w:val="13"/>
        </w:rPr>
        <w:t> </w:t>
      </w:r>
      <w:r>
        <w:rPr/>
        <w:t>significant</w:t>
      </w:r>
      <w:r>
        <w:rPr>
          <w:spacing w:val="-57"/>
        </w:rPr>
        <w:t> </w:t>
      </w:r>
      <w:r>
        <w:rPr/>
        <w:t>difference between</w:t>
      </w:r>
      <w:r>
        <w:rPr>
          <w:spacing w:val="-3"/>
        </w:rPr>
        <w:t> </w:t>
      </w:r>
      <w:r>
        <w:rPr/>
        <w:t>the</w:t>
      </w:r>
      <w:r>
        <w:rPr>
          <w:spacing w:val="6"/>
        </w:rPr>
        <w:t> </w:t>
      </w:r>
      <w:r>
        <w:rPr/>
        <w:t>mean</w:t>
      </w:r>
      <w:r>
        <w:rPr>
          <w:spacing w:val="2"/>
        </w:rPr>
        <w:t> </w:t>
      </w:r>
      <w:r>
        <w:rPr/>
        <w:t>WBCs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groups.</w:t>
      </w:r>
    </w:p>
    <w:p>
      <w:pPr>
        <w:spacing w:after="0" w:line="360" w:lineRule="auto"/>
        <w:sectPr>
          <w:pgSz w:w="12240" w:h="15840"/>
          <w:pgMar w:header="0" w:footer="1017" w:top="1340" w:bottom="1200" w:left="620" w:right="0"/>
        </w:sectPr>
      </w:pPr>
    </w:p>
    <w:p>
      <w:pPr>
        <w:pStyle w:val="Heading1"/>
        <w:spacing w:line="357" w:lineRule="auto" w:before="76"/>
        <w:ind w:right="1437"/>
      </w:pPr>
      <w:r>
        <w:rPr/>
        <w:t>APPENDIX</w:t>
      </w:r>
      <w:r>
        <w:rPr>
          <w:spacing w:val="22"/>
        </w:rPr>
        <w:t> </w:t>
      </w:r>
      <w:r>
        <w:rPr/>
        <w:t>XI:</w:t>
      </w:r>
      <w:r>
        <w:rPr>
          <w:spacing w:val="23"/>
        </w:rPr>
        <w:t> </w:t>
      </w:r>
      <w:r>
        <w:rPr/>
        <w:t>t-</w:t>
      </w:r>
      <w:r>
        <w:rPr>
          <w:spacing w:val="25"/>
        </w:rPr>
        <w:t> </w:t>
      </w:r>
      <w:r>
        <w:rPr/>
        <w:t>Test:</w:t>
      </w:r>
      <w:r>
        <w:rPr>
          <w:spacing w:val="23"/>
        </w:rPr>
        <w:t> </w:t>
      </w:r>
      <w:r>
        <w:rPr/>
        <w:t>Two</w:t>
      </w:r>
      <w:r>
        <w:rPr>
          <w:spacing w:val="22"/>
        </w:rPr>
        <w:t> </w:t>
      </w:r>
      <w:r>
        <w:rPr/>
        <w:t>Sample</w:t>
      </w:r>
      <w:r>
        <w:rPr>
          <w:spacing w:val="22"/>
        </w:rPr>
        <w:t> </w:t>
      </w:r>
      <w:r>
        <w:rPr/>
        <w:t>Assuming</w:t>
      </w:r>
      <w:r>
        <w:rPr>
          <w:spacing w:val="22"/>
        </w:rPr>
        <w:t> </w:t>
      </w:r>
      <w:r>
        <w:rPr/>
        <w:t>Unequal</w:t>
      </w:r>
      <w:r>
        <w:rPr>
          <w:spacing w:val="19"/>
        </w:rPr>
        <w:t> </w:t>
      </w:r>
      <w:r>
        <w:rPr/>
        <w:t>Variance:</w:t>
      </w:r>
      <w:r>
        <w:rPr>
          <w:spacing w:val="23"/>
        </w:rPr>
        <w:t> </w:t>
      </w:r>
      <w:r>
        <w:rPr/>
        <w:t>showing</w:t>
      </w:r>
      <w:r>
        <w:rPr>
          <w:spacing w:val="22"/>
        </w:rPr>
        <w:t> </w:t>
      </w:r>
      <w:r>
        <w:rPr/>
        <w:t>WBC</w:t>
      </w:r>
      <w:r>
        <w:rPr>
          <w:spacing w:val="23"/>
        </w:rPr>
        <w:t> </w:t>
      </w:r>
      <w:r>
        <w:rPr/>
        <w:t>Count</w:t>
      </w:r>
      <w:r>
        <w:rPr>
          <w:spacing w:val="-58"/>
        </w:rPr>
        <w:t> </w:t>
      </w:r>
      <w:r>
        <w:rPr/>
        <w:t>(</w:t>
      </w:r>
      <w:r>
        <w:rPr>
          <w:rFonts w:ascii="Cambria Math" w:hAnsi="Cambria Math"/>
          <w:b w:val="0"/>
        </w:rPr>
        <w:t>×</w:t>
      </w:r>
      <w:r>
        <w:rPr>
          <w:rFonts w:ascii="Cambria Math" w:hAnsi="Cambria Math"/>
          <w:b w:val="0"/>
          <w:spacing w:val="1"/>
        </w:rPr>
        <w:t> </w:t>
      </w:r>
      <w:r>
        <w:rPr/>
        <w:t>10</w:t>
      </w:r>
      <w:r>
        <w:rPr>
          <w:vertAlign w:val="superscript"/>
        </w:rPr>
        <w:t>9</w:t>
      </w:r>
      <w:r>
        <w:rPr>
          <w:vertAlign w:val="baseline"/>
        </w:rPr>
        <w:t>) of SCD Patients in Crises and HbAA Group; SCD Patients in Steady State and</w:t>
      </w:r>
      <w:r>
        <w:rPr>
          <w:spacing w:val="1"/>
          <w:vertAlign w:val="baseline"/>
        </w:rPr>
        <w:t> </w:t>
      </w:r>
      <w:r>
        <w:rPr>
          <w:vertAlign w:val="baseline"/>
        </w:rPr>
        <w:t>HbAA</w:t>
      </w:r>
      <w:r>
        <w:rPr>
          <w:spacing w:val="1"/>
          <w:vertAlign w:val="baseline"/>
        </w:rPr>
        <w:t> </w:t>
      </w:r>
      <w:r>
        <w:rPr>
          <w:vertAlign w:val="baseline"/>
        </w:rPr>
        <w:t>Group;</w:t>
      </w:r>
      <w:r>
        <w:rPr>
          <w:spacing w:val="3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vertAlign w:val="baseline"/>
        </w:rPr>
        <w:t>SCD</w:t>
      </w:r>
      <w:r>
        <w:rPr>
          <w:spacing w:val="1"/>
          <w:vertAlign w:val="baseline"/>
        </w:rPr>
        <w:t> </w:t>
      </w:r>
      <w:r>
        <w:rPr>
          <w:vertAlign w:val="baseline"/>
        </w:rPr>
        <w:t>Patients</w:t>
      </w:r>
      <w:r>
        <w:rPr>
          <w:spacing w:val="-5"/>
          <w:vertAlign w:val="baseline"/>
        </w:rPr>
        <w:t> </w:t>
      </w:r>
      <w:r>
        <w:rPr>
          <w:vertAlign w:val="baseline"/>
        </w:rPr>
        <w:t>in</w:t>
      </w:r>
      <w:r>
        <w:rPr>
          <w:spacing w:val="2"/>
          <w:vertAlign w:val="baseline"/>
        </w:rPr>
        <w:t> </w:t>
      </w:r>
      <w:r>
        <w:rPr>
          <w:vertAlign w:val="baseline"/>
        </w:rPr>
        <w:t>Crises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SCD</w:t>
      </w:r>
      <w:r>
        <w:rPr>
          <w:spacing w:val="2"/>
          <w:vertAlign w:val="baseline"/>
        </w:rPr>
        <w:t> </w:t>
      </w:r>
      <w:r>
        <w:rPr>
          <w:vertAlign w:val="baseline"/>
        </w:rPr>
        <w:t>Patients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3"/>
          <w:vertAlign w:val="baseline"/>
        </w:rPr>
        <w:t> </w:t>
      </w:r>
      <w:r>
        <w:rPr>
          <w:vertAlign w:val="baseline"/>
        </w:rPr>
        <w:t>Steady</w:t>
      </w:r>
      <w:r>
        <w:rPr>
          <w:spacing w:val="-4"/>
          <w:vertAlign w:val="baseline"/>
        </w:rPr>
        <w:t> </w:t>
      </w:r>
      <w:r>
        <w:rPr>
          <w:vertAlign w:val="baseline"/>
        </w:rPr>
        <w:t>State.</w:t>
      </w:r>
    </w:p>
    <w:p>
      <w:pPr>
        <w:pStyle w:val="BodyText"/>
        <w:spacing w:before="3"/>
        <w:rPr>
          <w:b/>
          <w:sz w:val="19"/>
        </w:rPr>
      </w:pPr>
    </w:p>
    <w:tbl>
      <w:tblPr>
        <w:tblW w:w="0" w:type="auto"/>
        <w:jc w:val="left"/>
        <w:tblInd w:w="8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72"/>
        <w:gridCol w:w="1292"/>
        <w:gridCol w:w="887"/>
        <w:gridCol w:w="1472"/>
        <w:gridCol w:w="1196"/>
        <w:gridCol w:w="883"/>
        <w:gridCol w:w="1541"/>
      </w:tblGrid>
      <w:tr>
        <w:trPr>
          <w:trHeight w:val="448" w:hRule="atLeast"/>
        </w:trPr>
        <w:tc>
          <w:tcPr>
            <w:tcW w:w="337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Parameters</w:t>
            </w:r>
          </w:p>
        </w:tc>
        <w:tc>
          <w:tcPr>
            <w:tcW w:w="129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z w:val="24"/>
              </w:rPr>
              <w:t>Crises</w:t>
            </w:r>
          </w:p>
        </w:tc>
        <w:tc>
          <w:tcPr>
            <w:tcW w:w="88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35"/>
              <w:rPr>
                <w:sz w:val="24"/>
              </w:rPr>
            </w:pPr>
            <w:r>
              <w:rPr>
                <w:sz w:val="24"/>
              </w:rPr>
              <w:t>HbAA</w:t>
            </w:r>
          </w:p>
        </w:tc>
        <w:tc>
          <w:tcPr>
            <w:tcW w:w="147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Steady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119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HbAA</w:t>
            </w:r>
          </w:p>
        </w:tc>
        <w:tc>
          <w:tcPr>
            <w:tcW w:w="883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z w:val="24"/>
              </w:rPr>
              <w:t>Crises</w:t>
            </w:r>
          </w:p>
        </w:tc>
        <w:tc>
          <w:tcPr>
            <w:tcW w:w="1541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Steady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</w:tr>
      <w:tr>
        <w:trPr>
          <w:trHeight w:val="407" w:hRule="atLeast"/>
        </w:trPr>
        <w:tc>
          <w:tcPr>
            <w:tcW w:w="33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32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9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12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261"/>
              <w:rPr>
                <w:sz w:val="24"/>
              </w:rPr>
            </w:pPr>
            <w:r>
              <w:rPr>
                <w:sz w:val="24"/>
              </w:rPr>
              <w:t>10.10</w:t>
            </w:r>
          </w:p>
        </w:tc>
        <w:tc>
          <w:tcPr>
            <w:tcW w:w="8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35"/>
              <w:rPr>
                <w:sz w:val="24"/>
              </w:rPr>
            </w:pPr>
            <w:r>
              <w:rPr>
                <w:sz w:val="24"/>
              </w:rPr>
              <w:t>5.08</w:t>
            </w:r>
          </w:p>
        </w:tc>
        <w:tc>
          <w:tcPr>
            <w:tcW w:w="14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8.26</w:t>
            </w:r>
          </w:p>
        </w:tc>
        <w:tc>
          <w:tcPr>
            <w:tcW w:w="11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62"/>
              <w:rPr>
                <w:sz w:val="24"/>
              </w:rPr>
            </w:pPr>
            <w:r>
              <w:rPr>
                <w:sz w:val="24"/>
              </w:rPr>
              <w:t>5.08</w:t>
            </w:r>
          </w:p>
        </w:tc>
        <w:tc>
          <w:tcPr>
            <w:tcW w:w="8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32"/>
              <w:rPr>
                <w:sz w:val="24"/>
              </w:rPr>
            </w:pPr>
            <w:r>
              <w:rPr>
                <w:sz w:val="24"/>
              </w:rPr>
              <w:t>10.10</w:t>
            </w:r>
          </w:p>
        </w:tc>
        <w:tc>
          <w:tcPr>
            <w:tcW w:w="15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42"/>
              <w:rPr>
                <w:sz w:val="24"/>
              </w:rPr>
            </w:pPr>
            <w:r>
              <w:rPr>
                <w:sz w:val="24"/>
              </w:rPr>
              <w:t>8.26</w:t>
            </w:r>
          </w:p>
        </w:tc>
      </w:tr>
      <w:tr>
        <w:trPr>
          <w:trHeight w:val="475" w:hRule="atLeast"/>
        </w:trPr>
        <w:tc>
          <w:tcPr>
            <w:tcW w:w="3372" w:type="dxa"/>
          </w:tcPr>
          <w:p>
            <w:pPr>
              <w:pStyle w:val="TableParagraph"/>
              <w:spacing w:before="94"/>
              <w:ind w:left="105"/>
              <w:rPr>
                <w:sz w:val="24"/>
              </w:rPr>
            </w:pPr>
            <w:r>
              <w:rPr>
                <w:sz w:val="24"/>
              </w:rPr>
              <w:t>Variance</w:t>
            </w:r>
          </w:p>
        </w:tc>
        <w:tc>
          <w:tcPr>
            <w:tcW w:w="1292" w:type="dxa"/>
          </w:tcPr>
          <w:p>
            <w:pPr>
              <w:pStyle w:val="TableParagraph"/>
              <w:spacing w:before="94"/>
              <w:ind w:left="261"/>
              <w:rPr>
                <w:sz w:val="24"/>
              </w:rPr>
            </w:pPr>
            <w:r>
              <w:rPr>
                <w:sz w:val="24"/>
              </w:rPr>
              <w:t>10.58</w:t>
            </w:r>
          </w:p>
        </w:tc>
        <w:tc>
          <w:tcPr>
            <w:tcW w:w="887" w:type="dxa"/>
          </w:tcPr>
          <w:p>
            <w:pPr>
              <w:pStyle w:val="TableParagraph"/>
              <w:spacing w:before="94"/>
              <w:ind w:left="135"/>
              <w:rPr>
                <w:sz w:val="24"/>
              </w:rPr>
            </w:pPr>
            <w:r>
              <w:rPr>
                <w:sz w:val="24"/>
              </w:rPr>
              <w:t>41.5</w:t>
            </w:r>
          </w:p>
        </w:tc>
        <w:tc>
          <w:tcPr>
            <w:tcW w:w="1472" w:type="dxa"/>
          </w:tcPr>
          <w:p>
            <w:pPr>
              <w:pStyle w:val="TableParagraph"/>
              <w:spacing w:before="94"/>
              <w:ind w:left="108"/>
              <w:rPr>
                <w:sz w:val="24"/>
              </w:rPr>
            </w:pPr>
            <w:r>
              <w:rPr>
                <w:sz w:val="24"/>
              </w:rPr>
              <w:t>14.13</w:t>
            </w:r>
          </w:p>
        </w:tc>
        <w:tc>
          <w:tcPr>
            <w:tcW w:w="1196" w:type="dxa"/>
          </w:tcPr>
          <w:p>
            <w:pPr>
              <w:pStyle w:val="TableParagraph"/>
              <w:spacing w:before="94"/>
              <w:ind w:left="162"/>
              <w:rPr>
                <w:sz w:val="24"/>
              </w:rPr>
            </w:pPr>
            <w:r>
              <w:rPr>
                <w:sz w:val="24"/>
              </w:rPr>
              <w:t>4.15</w:t>
            </w:r>
          </w:p>
        </w:tc>
        <w:tc>
          <w:tcPr>
            <w:tcW w:w="883" w:type="dxa"/>
          </w:tcPr>
          <w:p>
            <w:pPr>
              <w:pStyle w:val="TableParagraph"/>
              <w:spacing w:before="94"/>
              <w:ind w:left="132"/>
              <w:rPr>
                <w:sz w:val="24"/>
              </w:rPr>
            </w:pPr>
            <w:r>
              <w:rPr>
                <w:sz w:val="24"/>
              </w:rPr>
              <w:t>10.58</w:t>
            </w:r>
          </w:p>
        </w:tc>
        <w:tc>
          <w:tcPr>
            <w:tcW w:w="1541" w:type="dxa"/>
          </w:tcPr>
          <w:p>
            <w:pPr>
              <w:pStyle w:val="TableParagraph"/>
              <w:spacing w:before="94"/>
              <w:ind w:left="142"/>
              <w:rPr>
                <w:sz w:val="24"/>
              </w:rPr>
            </w:pPr>
            <w:r>
              <w:rPr>
                <w:sz w:val="24"/>
              </w:rPr>
              <w:t>14.13</w:t>
            </w:r>
          </w:p>
        </w:tc>
      </w:tr>
      <w:tr>
        <w:trPr>
          <w:trHeight w:val="475" w:hRule="atLeast"/>
        </w:trPr>
        <w:tc>
          <w:tcPr>
            <w:tcW w:w="3372" w:type="dxa"/>
          </w:tcPr>
          <w:p>
            <w:pPr>
              <w:pStyle w:val="TableParagraph"/>
              <w:spacing w:before="94"/>
              <w:ind w:left="105"/>
              <w:rPr>
                <w:sz w:val="24"/>
              </w:rPr>
            </w:pPr>
            <w:r>
              <w:rPr>
                <w:sz w:val="24"/>
              </w:rPr>
              <w:t>Observations</w:t>
            </w:r>
          </w:p>
        </w:tc>
        <w:tc>
          <w:tcPr>
            <w:tcW w:w="1292" w:type="dxa"/>
          </w:tcPr>
          <w:p>
            <w:pPr>
              <w:pStyle w:val="TableParagraph"/>
              <w:spacing w:before="94"/>
              <w:ind w:left="261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887" w:type="dxa"/>
          </w:tcPr>
          <w:p>
            <w:pPr>
              <w:pStyle w:val="TableParagraph"/>
              <w:spacing w:before="94"/>
              <w:ind w:left="135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472" w:type="dxa"/>
          </w:tcPr>
          <w:p>
            <w:pPr>
              <w:pStyle w:val="TableParagraph"/>
              <w:spacing w:before="94"/>
              <w:ind w:left="108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196" w:type="dxa"/>
          </w:tcPr>
          <w:p>
            <w:pPr>
              <w:pStyle w:val="TableParagraph"/>
              <w:spacing w:before="94"/>
              <w:ind w:left="162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883" w:type="dxa"/>
          </w:tcPr>
          <w:p>
            <w:pPr>
              <w:pStyle w:val="TableParagraph"/>
              <w:spacing w:before="94"/>
              <w:ind w:left="132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541" w:type="dxa"/>
          </w:tcPr>
          <w:p>
            <w:pPr>
              <w:pStyle w:val="TableParagraph"/>
              <w:spacing w:before="94"/>
              <w:ind w:left="142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</w:tr>
      <w:tr>
        <w:trPr>
          <w:trHeight w:val="475" w:hRule="atLeast"/>
        </w:trPr>
        <w:tc>
          <w:tcPr>
            <w:tcW w:w="3372" w:type="dxa"/>
          </w:tcPr>
          <w:p>
            <w:pPr>
              <w:pStyle w:val="TableParagraph"/>
              <w:spacing w:before="94"/>
              <w:ind w:left="105"/>
              <w:rPr>
                <w:sz w:val="24"/>
              </w:rPr>
            </w:pPr>
            <w:r>
              <w:rPr>
                <w:sz w:val="24"/>
              </w:rPr>
              <w:t>Hypothesized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Difference</w:t>
            </w:r>
          </w:p>
        </w:tc>
        <w:tc>
          <w:tcPr>
            <w:tcW w:w="1292" w:type="dxa"/>
          </w:tcPr>
          <w:p>
            <w:pPr>
              <w:pStyle w:val="TableParagraph"/>
              <w:spacing w:before="94"/>
              <w:ind w:left="26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spacing w:before="94"/>
              <w:ind w:left="16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83" w:type="dxa"/>
          </w:tcPr>
          <w:p>
            <w:pPr>
              <w:pStyle w:val="TableParagraph"/>
              <w:spacing w:before="94"/>
              <w:ind w:left="13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5" w:hRule="atLeast"/>
        </w:trPr>
        <w:tc>
          <w:tcPr>
            <w:tcW w:w="3372" w:type="dxa"/>
          </w:tcPr>
          <w:p>
            <w:pPr>
              <w:pStyle w:val="TableParagraph"/>
              <w:spacing w:before="94"/>
              <w:ind w:left="105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292" w:type="dxa"/>
          </w:tcPr>
          <w:p>
            <w:pPr>
              <w:pStyle w:val="TableParagraph"/>
              <w:spacing w:before="94"/>
              <w:ind w:left="261"/>
              <w:rPr>
                <w:sz w:val="24"/>
              </w:rPr>
            </w:pPr>
            <w:r>
              <w:rPr>
                <w:sz w:val="24"/>
              </w:rPr>
              <w:t>74.00</w:t>
            </w:r>
          </w:p>
        </w:tc>
        <w:tc>
          <w:tcPr>
            <w:tcW w:w="8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spacing w:before="94"/>
              <w:ind w:left="162"/>
              <w:rPr>
                <w:sz w:val="24"/>
              </w:rPr>
            </w:pPr>
            <w:r>
              <w:rPr>
                <w:sz w:val="24"/>
              </w:rPr>
              <w:t>68.0</w:t>
            </w:r>
          </w:p>
        </w:tc>
        <w:tc>
          <w:tcPr>
            <w:tcW w:w="883" w:type="dxa"/>
          </w:tcPr>
          <w:p>
            <w:pPr>
              <w:pStyle w:val="TableParagraph"/>
              <w:spacing w:before="94"/>
              <w:ind w:left="132"/>
              <w:rPr>
                <w:sz w:val="24"/>
              </w:rPr>
            </w:pPr>
            <w:r>
              <w:rPr>
                <w:sz w:val="24"/>
              </w:rPr>
              <w:t>86.0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7" w:hRule="atLeast"/>
        </w:trPr>
        <w:tc>
          <w:tcPr>
            <w:tcW w:w="3372" w:type="dxa"/>
          </w:tcPr>
          <w:p>
            <w:pPr>
              <w:pStyle w:val="TableParagraph"/>
              <w:spacing w:before="94"/>
              <w:ind w:left="105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</w:t>
            </w:r>
          </w:p>
        </w:tc>
        <w:tc>
          <w:tcPr>
            <w:tcW w:w="1292" w:type="dxa"/>
          </w:tcPr>
          <w:p>
            <w:pPr>
              <w:pStyle w:val="TableParagraph"/>
              <w:spacing w:before="94"/>
              <w:ind w:left="261"/>
              <w:rPr>
                <w:sz w:val="24"/>
              </w:rPr>
            </w:pPr>
            <w:r>
              <w:rPr>
                <w:sz w:val="24"/>
              </w:rPr>
              <w:t>8.78</w:t>
            </w:r>
          </w:p>
        </w:tc>
        <w:tc>
          <w:tcPr>
            <w:tcW w:w="8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spacing w:before="94"/>
              <w:ind w:left="162"/>
              <w:rPr>
                <w:sz w:val="24"/>
              </w:rPr>
            </w:pPr>
            <w:r>
              <w:rPr>
                <w:sz w:val="24"/>
              </w:rPr>
              <w:t>-4.99</w:t>
            </w:r>
          </w:p>
        </w:tc>
        <w:tc>
          <w:tcPr>
            <w:tcW w:w="883" w:type="dxa"/>
          </w:tcPr>
          <w:p>
            <w:pPr>
              <w:pStyle w:val="TableParagraph"/>
              <w:spacing w:before="94"/>
              <w:ind w:left="132"/>
              <w:rPr>
                <w:sz w:val="24"/>
              </w:rPr>
            </w:pPr>
            <w:r>
              <w:rPr>
                <w:sz w:val="24"/>
              </w:rPr>
              <w:t>2.48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7" w:hRule="atLeast"/>
        </w:trPr>
        <w:tc>
          <w:tcPr>
            <w:tcW w:w="3372" w:type="dxa"/>
          </w:tcPr>
          <w:p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P(T&lt;=t)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one-tail</w:t>
            </w:r>
          </w:p>
        </w:tc>
        <w:tc>
          <w:tcPr>
            <w:tcW w:w="1292" w:type="dxa"/>
          </w:tcPr>
          <w:p>
            <w:pPr>
              <w:pStyle w:val="TableParagraph"/>
              <w:spacing w:before="97"/>
              <w:ind w:left="261"/>
              <w:rPr>
                <w:sz w:val="24"/>
              </w:rPr>
            </w:pPr>
            <w:r>
              <w:rPr>
                <w:sz w:val="24"/>
              </w:rPr>
              <w:t>2.15E-13</w:t>
            </w:r>
          </w:p>
        </w:tc>
        <w:tc>
          <w:tcPr>
            <w:tcW w:w="8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spacing w:before="97"/>
              <w:ind w:left="162"/>
              <w:rPr>
                <w:sz w:val="24"/>
              </w:rPr>
            </w:pPr>
            <w:r>
              <w:rPr>
                <w:sz w:val="24"/>
              </w:rPr>
              <w:t>2.17E-06</w:t>
            </w:r>
          </w:p>
        </w:tc>
        <w:tc>
          <w:tcPr>
            <w:tcW w:w="883" w:type="dxa"/>
          </w:tcPr>
          <w:p>
            <w:pPr>
              <w:pStyle w:val="TableParagraph"/>
              <w:spacing w:before="97"/>
              <w:ind w:left="13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5" w:hRule="atLeast"/>
        </w:trPr>
        <w:tc>
          <w:tcPr>
            <w:tcW w:w="3372" w:type="dxa"/>
          </w:tcPr>
          <w:p>
            <w:pPr>
              <w:pStyle w:val="TableParagraph"/>
              <w:spacing w:before="94"/>
              <w:ind w:left="105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Critical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one-tail</w:t>
            </w:r>
          </w:p>
        </w:tc>
        <w:tc>
          <w:tcPr>
            <w:tcW w:w="1292" w:type="dxa"/>
          </w:tcPr>
          <w:p>
            <w:pPr>
              <w:pStyle w:val="TableParagraph"/>
              <w:spacing w:before="94"/>
              <w:ind w:left="261"/>
              <w:rPr>
                <w:sz w:val="24"/>
              </w:rPr>
            </w:pPr>
            <w:r>
              <w:rPr>
                <w:sz w:val="24"/>
              </w:rPr>
              <w:t>1.66</w:t>
            </w:r>
          </w:p>
        </w:tc>
        <w:tc>
          <w:tcPr>
            <w:tcW w:w="8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spacing w:before="94"/>
              <w:ind w:left="162"/>
              <w:rPr>
                <w:sz w:val="24"/>
              </w:rPr>
            </w:pPr>
            <w:r>
              <w:rPr>
                <w:sz w:val="24"/>
              </w:rPr>
              <w:t>1.66</w:t>
            </w:r>
          </w:p>
        </w:tc>
        <w:tc>
          <w:tcPr>
            <w:tcW w:w="883" w:type="dxa"/>
          </w:tcPr>
          <w:p>
            <w:pPr>
              <w:pStyle w:val="TableParagraph"/>
              <w:spacing w:before="94"/>
              <w:ind w:left="132"/>
              <w:rPr>
                <w:sz w:val="24"/>
              </w:rPr>
            </w:pPr>
            <w:r>
              <w:rPr>
                <w:sz w:val="24"/>
              </w:rPr>
              <w:t>1.66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5" w:hRule="atLeast"/>
        </w:trPr>
        <w:tc>
          <w:tcPr>
            <w:tcW w:w="3372" w:type="dxa"/>
          </w:tcPr>
          <w:p>
            <w:pPr>
              <w:pStyle w:val="TableParagraph"/>
              <w:spacing w:before="94"/>
              <w:ind w:left="105"/>
              <w:rPr>
                <w:sz w:val="24"/>
              </w:rPr>
            </w:pPr>
            <w:r>
              <w:rPr>
                <w:sz w:val="24"/>
              </w:rPr>
              <w:t>P(T&lt;=t)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two-tail</w:t>
            </w:r>
          </w:p>
        </w:tc>
        <w:tc>
          <w:tcPr>
            <w:tcW w:w="1292" w:type="dxa"/>
          </w:tcPr>
          <w:p>
            <w:pPr>
              <w:pStyle w:val="TableParagraph"/>
              <w:spacing w:before="94"/>
              <w:ind w:left="261"/>
              <w:rPr>
                <w:sz w:val="24"/>
              </w:rPr>
            </w:pPr>
            <w:r>
              <w:rPr>
                <w:sz w:val="24"/>
              </w:rPr>
              <w:t>4.31E-13</w:t>
            </w:r>
          </w:p>
        </w:tc>
        <w:tc>
          <w:tcPr>
            <w:tcW w:w="8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spacing w:before="94"/>
              <w:ind w:left="162"/>
              <w:rPr>
                <w:sz w:val="24"/>
              </w:rPr>
            </w:pPr>
            <w:r>
              <w:rPr>
                <w:sz w:val="24"/>
              </w:rPr>
              <w:t>4.35E-06</w:t>
            </w:r>
          </w:p>
        </w:tc>
        <w:tc>
          <w:tcPr>
            <w:tcW w:w="883" w:type="dxa"/>
          </w:tcPr>
          <w:p>
            <w:pPr>
              <w:pStyle w:val="TableParagraph"/>
              <w:spacing w:before="94"/>
              <w:ind w:left="132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0" w:hRule="atLeast"/>
        </w:trPr>
        <w:tc>
          <w:tcPr>
            <w:tcW w:w="3372" w:type="dxa"/>
          </w:tcPr>
          <w:p>
            <w:pPr>
              <w:pStyle w:val="TableParagraph"/>
              <w:spacing w:line="256" w:lineRule="exact" w:before="94"/>
              <w:ind w:left="105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Critical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two-tail</w:t>
            </w:r>
          </w:p>
        </w:tc>
        <w:tc>
          <w:tcPr>
            <w:tcW w:w="1292" w:type="dxa"/>
          </w:tcPr>
          <w:p>
            <w:pPr>
              <w:pStyle w:val="TableParagraph"/>
              <w:spacing w:line="256" w:lineRule="exact" w:before="94"/>
              <w:ind w:left="261"/>
              <w:rPr>
                <w:sz w:val="24"/>
              </w:rPr>
            </w:pPr>
            <w:r>
              <w:rPr>
                <w:sz w:val="24"/>
              </w:rPr>
              <w:t>1.99</w:t>
            </w:r>
          </w:p>
        </w:tc>
        <w:tc>
          <w:tcPr>
            <w:tcW w:w="8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spacing w:line="256" w:lineRule="exact" w:before="94"/>
              <w:ind w:left="162"/>
              <w:rPr>
                <w:sz w:val="24"/>
              </w:rPr>
            </w:pPr>
            <w:r>
              <w:rPr>
                <w:sz w:val="24"/>
              </w:rPr>
              <w:t>1.99</w:t>
            </w:r>
          </w:p>
        </w:tc>
        <w:tc>
          <w:tcPr>
            <w:tcW w:w="883" w:type="dxa"/>
          </w:tcPr>
          <w:p>
            <w:pPr>
              <w:pStyle w:val="TableParagraph"/>
              <w:spacing w:line="256" w:lineRule="exact" w:before="94"/>
              <w:ind w:left="132"/>
              <w:rPr>
                <w:sz w:val="24"/>
              </w:rPr>
            </w:pPr>
            <w:r>
              <w:rPr>
                <w:sz w:val="24"/>
              </w:rPr>
              <w:t>1.98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7"/>
        <w:rPr>
          <w:b/>
          <w:sz w:val="14"/>
        </w:rPr>
      </w:pPr>
      <w:r>
        <w:rPr/>
        <w:pict>
          <v:shape style="position:absolute;margin-left:70.560005pt;margin-top:10.364279pt;width:532.6pt;height:1pt;mso-position-horizontal-relative:page;mso-position-vertical-relative:paragraph;z-index:-15682048;mso-wrap-distance-left:0;mso-wrap-distance-right:0" coordorigin="1411,207" coordsize="10652,20" path="m6125,207l6120,207,6106,207,4954,207,4949,207,4934,207,1411,207,1411,226,4934,226,4949,226,4954,226,6106,226,6120,226,6125,226,6125,207xm9672,207l9667,207,9653,207,8510,207,8506,207,8491,207,6979,207,6974,207,6960,207,6125,207,6125,226,6960,226,6974,226,6979,226,8491,226,8506,226,8510,226,9653,226,9667,226,9672,226,9672,207xm12062,207l10570,207,10565,207,10550,207,9672,207,9672,226,10550,226,10565,226,10570,226,12062,226,12062,20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</w:rPr>
      </w:pPr>
    </w:p>
    <w:p>
      <w:pPr>
        <w:pStyle w:val="BodyText"/>
        <w:spacing w:line="360" w:lineRule="auto"/>
        <w:ind w:left="820" w:right="1436"/>
        <w:jc w:val="both"/>
      </w:pPr>
      <w:r>
        <w:rPr/>
        <w:t>Since t-stat (8.78) is greater than t Critical two-tail (1.99); it implies that there is a statistically</w:t>
      </w:r>
      <w:r>
        <w:rPr>
          <w:spacing w:val="1"/>
        </w:rPr>
        <w:t> </w:t>
      </w:r>
      <w:r>
        <w:rPr/>
        <w:t>significant</w:t>
      </w:r>
      <w:r>
        <w:rPr>
          <w:spacing w:val="5"/>
        </w:rPr>
        <w:t> </w:t>
      </w:r>
      <w:r>
        <w:rPr/>
        <w:t>difference</w:t>
      </w:r>
      <w:r>
        <w:rPr>
          <w:spacing w:val="4"/>
        </w:rPr>
        <w:t> </w:t>
      </w:r>
      <w:r>
        <w:rPr/>
        <w:t>between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WBCs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patients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crises</w:t>
      </w:r>
      <w:r>
        <w:rPr>
          <w:spacing w:val="-2"/>
        </w:rPr>
        <w:t> </w:t>
      </w:r>
      <w:r>
        <w:rPr/>
        <w:t>and HbAA individuals.</w:t>
      </w:r>
    </w:p>
    <w:p>
      <w:pPr>
        <w:pStyle w:val="BodyText"/>
        <w:spacing w:line="360" w:lineRule="auto" w:before="199"/>
        <w:ind w:left="820" w:right="1441"/>
        <w:jc w:val="both"/>
      </w:pPr>
      <w:r>
        <w:rPr/>
        <w:t>Since t stat (-4.99) is greater than t Critical two-tail (1.99); it implies that there is a statistically</w:t>
      </w:r>
      <w:r>
        <w:rPr>
          <w:spacing w:val="1"/>
        </w:rPr>
        <w:t> </w:t>
      </w:r>
      <w:r>
        <w:rPr/>
        <w:t>significant</w:t>
      </w:r>
      <w:r>
        <w:rPr>
          <w:spacing w:val="3"/>
        </w:rPr>
        <w:t> </w:t>
      </w:r>
      <w:r>
        <w:rPr/>
        <w:t>difference</w:t>
      </w:r>
      <w:r>
        <w:rPr>
          <w:spacing w:val="2"/>
        </w:rPr>
        <w:t> </w:t>
      </w:r>
      <w:r>
        <w:rPr/>
        <w:t>between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WBCs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HbAA</w:t>
      </w:r>
      <w:r>
        <w:rPr>
          <w:spacing w:val="-2"/>
        </w:rPr>
        <w:t> </w:t>
      </w:r>
      <w:r>
        <w:rPr/>
        <w:t>individuals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SCD</w:t>
      </w:r>
      <w:r>
        <w:rPr>
          <w:spacing w:val="-2"/>
        </w:rPr>
        <w:t> </w:t>
      </w:r>
      <w:r>
        <w:rPr/>
        <w:t>patients</w:t>
      </w:r>
      <w:r>
        <w:rPr>
          <w:spacing w:val="1"/>
        </w:rPr>
        <w:t> </w:t>
      </w:r>
      <w:r>
        <w:rPr/>
        <w:t>in</w:t>
      </w:r>
      <w:r>
        <w:rPr>
          <w:spacing w:val="-6"/>
        </w:rPr>
        <w:t> </w:t>
      </w:r>
      <w:r>
        <w:rPr/>
        <w:t>steady</w:t>
      </w:r>
      <w:r>
        <w:rPr>
          <w:spacing w:val="-11"/>
        </w:rPr>
        <w:t> </w:t>
      </w:r>
      <w:r>
        <w:rPr/>
        <w:t>state.</w:t>
      </w:r>
    </w:p>
    <w:p>
      <w:pPr>
        <w:pStyle w:val="BodyText"/>
        <w:spacing w:line="357" w:lineRule="auto" w:before="204"/>
        <w:ind w:left="820" w:right="1433"/>
        <w:jc w:val="both"/>
      </w:pPr>
      <w:r>
        <w:rPr/>
        <w:t>Since t-stat (2.48) is greater than t Critical two-tail (1.99); it implies that there is a statistically</w:t>
      </w:r>
      <w:r>
        <w:rPr>
          <w:spacing w:val="1"/>
        </w:rPr>
        <w:t> </w:t>
      </w:r>
      <w:r>
        <w:rPr/>
        <w:t>significant difference between the WBCs of SCD patients in crises and SCD patients in steady</w:t>
      </w:r>
      <w:r>
        <w:rPr>
          <w:spacing w:val="1"/>
        </w:rPr>
        <w:t> </w:t>
      </w:r>
      <w:r>
        <w:rPr/>
        <w:t>state.</w:t>
      </w:r>
    </w:p>
    <w:p>
      <w:pPr>
        <w:spacing w:after="0" w:line="357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jc w:val="left"/>
      </w:pPr>
      <w:r>
        <w:rPr/>
        <w:t>APPENDIX</w:t>
      </w:r>
      <w:r>
        <w:rPr>
          <w:spacing w:val="-3"/>
        </w:rPr>
        <w:t> </w:t>
      </w:r>
      <w:r>
        <w:rPr/>
        <w:t>XII:</w:t>
      </w:r>
      <w:r>
        <w:rPr>
          <w:spacing w:val="-2"/>
        </w:rPr>
        <w:t> </w:t>
      </w:r>
      <w:r>
        <w:rPr/>
        <w:t>ANOVA:</w:t>
      </w:r>
      <w:r>
        <w:rPr>
          <w:spacing w:val="-2"/>
        </w:rPr>
        <w:t> </w:t>
      </w:r>
      <w:r>
        <w:rPr/>
        <w:t>Single</w:t>
      </w:r>
      <w:r>
        <w:rPr>
          <w:spacing w:val="-4"/>
        </w:rPr>
        <w:t> </w:t>
      </w:r>
      <w:r>
        <w:rPr/>
        <w:t>Factor:</w:t>
      </w:r>
      <w:r>
        <w:rPr>
          <w:spacing w:val="-2"/>
        </w:rPr>
        <w:t> </w:t>
      </w:r>
      <w:r>
        <w:rPr/>
        <w:t>Neutrophil</w:t>
      </w:r>
      <w:r>
        <w:rPr>
          <w:spacing w:val="-6"/>
        </w:rPr>
        <w:t> </w:t>
      </w:r>
      <w:r>
        <w:rPr/>
        <w:t>Count</w:t>
      </w:r>
      <w:r>
        <w:rPr>
          <w:spacing w:val="-2"/>
        </w:rPr>
        <w:t> </w:t>
      </w:r>
      <w:r>
        <w:rPr/>
        <w:t>(%)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0"/>
        </w:rPr>
      </w:pPr>
    </w:p>
    <w:tbl>
      <w:tblPr>
        <w:tblW w:w="0" w:type="auto"/>
        <w:jc w:val="left"/>
        <w:tblInd w:w="8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1"/>
        <w:gridCol w:w="1612"/>
        <w:gridCol w:w="996"/>
        <w:gridCol w:w="1112"/>
        <w:gridCol w:w="1502"/>
        <w:gridCol w:w="1248"/>
        <w:gridCol w:w="1450"/>
      </w:tblGrid>
      <w:tr>
        <w:trPr>
          <w:trHeight w:val="472" w:hRule="atLeast"/>
        </w:trPr>
        <w:tc>
          <w:tcPr>
            <w:tcW w:w="260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SUMMARY</w:t>
            </w:r>
          </w:p>
        </w:tc>
        <w:tc>
          <w:tcPr>
            <w:tcW w:w="7920" w:type="dxa"/>
            <w:gridSpan w:val="6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4" w:hRule="atLeast"/>
        </w:trPr>
        <w:tc>
          <w:tcPr>
            <w:tcW w:w="2601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Groups</w:t>
            </w:r>
          </w:p>
        </w:tc>
        <w:tc>
          <w:tcPr>
            <w:tcW w:w="161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605"/>
              <w:rPr>
                <w:sz w:val="24"/>
              </w:rPr>
            </w:pPr>
            <w:r>
              <w:rPr>
                <w:sz w:val="24"/>
              </w:rPr>
              <w:t>Count</w:t>
            </w:r>
          </w:p>
        </w:tc>
        <w:tc>
          <w:tcPr>
            <w:tcW w:w="99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Sum</w:t>
            </w:r>
          </w:p>
        </w:tc>
        <w:tc>
          <w:tcPr>
            <w:tcW w:w="111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Average</w:t>
            </w:r>
          </w:p>
        </w:tc>
        <w:tc>
          <w:tcPr>
            <w:tcW w:w="150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97"/>
              <w:rPr>
                <w:sz w:val="24"/>
              </w:rPr>
            </w:pPr>
            <w:r>
              <w:rPr>
                <w:sz w:val="24"/>
              </w:rPr>
              <w:t>Variance</w:t>
            </w:r>
          </w:p>
        </w:tc>
        <w:tc>
          <w:tcPr>
            <w:tcW w:w="12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4" w:hRule="atLeast"/>
        </w:trPr>
        <w:tc>
          <w:tcPr>
            <w:tcW w:w="26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Crises</w:t>
            </w:r>
          </w:p>
        </w:tc>
        <w:tc>
          <w:tcPr>
            <w:tcW w:w="16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605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2622.00</w:t>
            </w:r>
          </w:p>
        </w:tc>
        <w:tc>
          <w:tcPr>
            <w:tcW w:w="11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58.26</w:t>
            </w:r>
          </w:p>
        </w:tc>
        <w:tc>
          <w:tcPr>
            <w:tcW w:w="15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97"/>
              <w:rPr>
                <w:sz w:val="24"/>
              </w:rPr>
            </w:pPr>
            <w:r>
              <w:rPr>
                <w:sz w:val="24"/>
              </w:rPr>
              <w:t>89.65</w:t>
            </w:r>
          </w:p>
        </w:tc>
        <w:tc>
          <w:tcPr>
            <w:tcW w:w="12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7" w:hRule="atLeast"/>
        </w:trPr>
        <w:tc>
          <w:tcPr>
            <w:tcW w:w="2601" w:type="dxa"/>
          </w:tcPr>
          <w:p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HbAA</w:t>
            </w:r>
          </w:p>
        </w:tc>
        <w:tc>
          <w:tcPr>
            <w:tcW w:w="1612" w:type="dxa"/>
          </w:tcPr>
          <w:p>
            <w:pPr>
              <w:pStyle w:val="TableParagraph"/>
              <w:spacing w:before="97"/>
              <w:ind w:left="605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996" w:type="dxa"/>
          </w:tcPr>
          <w:p>
            <w:pPr>
              <w:pStyle w:val="TableParagraph"/>
              <w:spacing w:before="97"/>
              <w:ind w:left="106"/>
              <w:rPr>
                <w:sz w:val="24"/>
              </w:rPr>
            </w:pPr>
            <w:r>
              <w:rPr>
                <w:sz w:val="24"/>
              </w:rPr>
              <w:t>2059.00</w:t>
            </w:r>
          </w:p>
        </w:tc>
        <w:tc>
          <w:tcPr>
            <w:tcW w:w="1112" w:type="dxa"/>
          </w:tcPr>
          <w:p>
            <w:pPr>
              <w:pStyle w:val="TableParagraph"/>
              <w:spacing w:before="97"/>
              <w:ind w:left="109"/>
              <w:rPr>
                <w:sz w:val="24"/>
              </w:rPr>
            </w:pPr>
            <w:r>
              <w:rPr>
                <w:sz w:val="24"/>
              </w:rPr>
              <w:t>45.75</w:t>
            </w:r>
          </w:p>
        </w:tc>
        <w:tc>
          <w:tcPr>
            <w:tcW w:w="1502" w:type="dxa"/>
          </w:tcPr>
          <w:p>
            <w:pPr>
              <w:pStyle w:val="TableParagraph"/>
              <w:spacing w:before="97"/>
              <w:ind w:left="197"/>
              <w:rPr>
                <w:sz w:val="24"/>
              </w:rPr>
            </w:pPr>
            <w:r>
              <w:rPr>
                <w:sz w:val="24"/>
              </w:rPr>
              <w:t>87.05</w:t>
            </w:r>
          </w:p>
        </w:tc>
        <w:tc>
          <w:tcPr>
            <w:tcW w:w="12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77" w:hRule="atLeast"/>
        </w:trPr>
        <w:tc>
          <w:tcPr>
            <w:tcW w:w="260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4"/>
              <w:ind w:left="105"/>
              <w:rPr>
                <w:sz w:val="24"/>
              </w:rPr>
            </w:pPr>
            <w:r>
              <w:rPr>
                <w:sz w:val="24"/>
              </w:rPr>
              <w:t>Steady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16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4"/>
              <w:ind w:left="605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99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4"/>
              <w:ind w:left="106"/>
              <w:rPr>
                <w:sz w:val="24"/>
              </w:rPr>
            </w:pPr>
            <w:r>
              <w:rPr>
                <w:sz w:val="24"/>
              </w:rPr>
              <w:t>2712.00</w:t>
            </w:r>
          </w:p>
        </w:tc>
        <w:tc>
          <w:tcPr>
            <w:tcW w:w="11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4"/>
              <w:ind w:left="109"/>
              <w:rPr>
                <w:sz w:val="24"/>
              </w:rPr>
            </w:pPr>
            <w:r>
              <w:rPr>
                <w:sz w:val="24"/>
              </w:rPr>
              <w:t>60.26</w:t>
            </w:r>
          </w:p>
        </w:tc>
        <w:tc>
          <w:tcPr>
            <w:tcW w:w="15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4"/>
              <w:ind w:left="197"/>
              <w:rPr>
                <w:sz w:val="24"/>
              </w:rPr>
            </w:pPr>
            <w:r>
              <w:rPr>
                <w:sz w:val="24"/>
              </w:rPr>
              <w:t>82.92</w:t>
            </w:r>
          </w:p>
        </w:tc>
        <w:tc>
          <w:tcPr>
            <w:tcW w:w="12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74" w:hRule="atLeast"/>
        </w:trPr>
        <w:tc>
          <w:tcPr>
            <w:tcW w:w="260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ANOVA</w:t>
            </w:r>
          </w:p>
        </w:tc>
        <w:tc>
          <w:tcPr>
            <w:tcW w:w="161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4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9" w:hRule="atLeast"/>
        </w:trPr>
        <w:tc>
          <w:tcPr>
            <w:tcW w:w="2601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Variation</w:t>
            </w:r>
          </w:p>
        </w:tc>
        <w:tc>
          <w:tcPr>
            <w:tcW w:w="161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605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99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11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  <w:tc>
          <w:tcPr>
            <w:tcW w:w="150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97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48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1450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45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critical</w:t>
            </w:r>
          </w:p>
        </w:tc>
      </w:tr>
      <w:tr>
        <w:trPr>
          <w:trHeight w:val="372" w:hRule="atLeast"/>
        </w:trPr>
        <w:tc>
          <w:tcPr>
            <w:tcW w:w="26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6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605"/>
              <w:rPr>
                <w:sz w:val="24"/>
              </w:rPr>
            </w:pPr>
            <w:r>
              <w:rPr>
                <w:sz w:val="24"/>
              </w:rPr>
              <w:t>5566.50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1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2783.25</w:t>
            </w:r>
          </w:p>
        </w:tc>
        <w:tc>
          <w:tcPr>
            <w:tcW w:w="15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97"/>
              <w:rPr>
                <w:sz w:val="24"/>
              </w:rPr>
            </w:pPr>
            <w:r>
              <w:rPr>
                <w:sz w:val="24"/>
              </w:rPr>
              <w:t>32.15</w:t>
            </w:r>
          </w:p>
        </w:tc>
        <w:tc>
          <w:tcPr>
            <w:tcW w:w="12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4.19E-12</w:t>
            </w:r>
          </w:p>
        </w:tc>
        <w:tc>
          <w:tcPr>
            <w:tcW w:w="14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45"/>
              <w:rPr>
                <w:sz w:val="24"/>
              </w:rPr>
            </w:pPr>
            <w:r>
              <w:rPr>
                <w:sz w:val="24"/>
              </w:rPr>
              <w:t>3.06</w:t>
            </w:r>
          </w:p>
        </w:tc>
      </w:tr>
      <w:tr>
        <w:trPr>
          <w:trHeight w:val="626" w:hRule="atLeast"/>
        </w:trPr>
        <w:tc>
          <w:tcPr>
            <w:tcW w:w="2601" w:type="dxa"/>
          </w:tcPr>
          <w:p>
            <w:pPr>
              <w:pStyle w:val="TableParagraph"/>
              <w:spacing w:before="94"/>
              <w:ind w:left="105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612" w:type="dxa"/>
          </w:tcPr>
          <w:p>
            <w:pPr>
              <w:pStyle w:val="TableParagraph"/>
              <w:spacing w:before="94"/>
              <w:ind w:left="605"/>
              <w:rPr>
                <w:sz w:val="24"/>
              </w:rPr>
            </w:pPr>
            <w:r>
              <w:rPr>
                <w:sz w:val="24"/>
              </w:rPr>
              <w:t>11423.91</w:t>
            </w:r>
          </w:p>
        </w:tc>
        <w:tc>
          <w:tcPr>
            <w:tcW w:w="996" w:type="dxa"/>
          </w:tcPr>
          <w:p>
            <w:pPr>
              <w:pStyle w:val="TableParagraph"/>
              <w:spacing w:before="94"/>
              <w:ind w:left="106"/>
              <w:rPr>
                <w:sz w:val="24"/>
              </w:rPr>
            </w:pPr>
            <w:r>
              <w:rPr>
                <w:sz w:val="24"/>
              </w:rPr>
              <w:t>132.00</w:t>
            </w:r>
          </w:p>
        </w:tc>
        <w:tc>
          <w:tcPr>
            <w:tcW w:w="1112" w:type="dxa"/>
          </w:tcPr>
          <w:p>
            <w:pPr>
              <w:pStyle w:val="TableParagraph"/>
              <w:spacing w:before="94"/>
              <w:ind w:left="109"/>
              <w:rPr>
                <w:sz w:val="24"/>
              </w:rPr>
            </w:pPr>
            <w:r>
              <w:rPr>
                <w:sz w:val="24"/>
              </w:rPr>
              <w:t>86.54</w:t>
            </w:r>
          </w:p>
        </w:tc>
        <w:tc>
          <w:tcPr>
            <w:tcW w:w="15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21" w:hRule="atLeast"/>
        </w:trPr>
        <w:tc>
          <w:tcPr>
            <w:tcW w:w="2601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12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56" w:lineRule="exact"/>
              <w:ind w:left="605"/>
              <w:rPr>
                <w:sz w:val="24"/>
              </w:rPr>
            </w:pPr>
            <w:r>
              <w:rPr>
                <w:sz w:val="24"/>
              </w:rPr>
              <w:t>16990.41</w:t>
            </w:r>
          </w:p>
        </w:tc>
        <w:tc>
          <w:tcPr>
            <w:tcW w:w="996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134.00</w:t>
            </w:r>
          </w:p>
        </w:tc>
        <w:tc>
          <w:tcPr>
            <w:tcW w:w="11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7"/>
        <w:rPr>
          <w:b/>
          <w:sz w:val="14"/>
        </w:rPr>
      </w:pPr>
      <w:r>
        <w:rPr/>
        <w:pict>
          <v:shape style="position:absolute;margin-left:70.560005pt;margin-top:10.365278pt;width:526.8pt;height:1pt;mso-position-horizontal-relative:page;mso-position-vertical-relative:paragraph;z-index:-15681536;mso-wrap-distance-left:0;mso-wrap-distance-right:0" coordorigin="1411,207" coordsize="10536,20" path="m5645,207l5640,207,5626,207,4526,207,4522,207,4507,207,1411,207,1411,226,4507,226,4522,226,4526,226,5626,226,5640,226,5645,226,5645,207xm6638,207l6634,207,6619,207,5645,207,5645,226,6619,226,6634,226,6638,226,6638,207xm7838,207l7834,207,7819,207,6638,207,6638,226,7819,226,7834,226,7838,226,7838,207xm9254,207l9250,207,9235,207,7838,207,7838,226,9235,226,9250,226,9254,226,9254,207xm11947,207l10642,207,10637,207,10622,207,9254,207,9254,226,10622,226,10637,226,10642,226,11947,226,11947,20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</w:rPr>
      </w:pPr>
    </w:p>
    <w:p>
      <w:pPr>
        <w:pStyle w:val="BodyText"/>
        <w:spacing w:line="355" w:lineRule="auto"/>
        <w:ind w:left="820" w:right="1433"/>
      </w:pPr>
      <w:r>
        <w:rPr/>
        <w:t>Since</w:t>
      </w:r>
      <w:r>
        <w:rPr>
          <w:spacing w:val="16"/>
        </w:rPr>
        <w:t> </w:t>
      </w:r>
      <w:r>
        <w:rPr/>
        <w:t>F</w:t>
      </w:r>
      <w:r>
        <w:rPr>
          <w:spacing w:val="11"/>
        </w:rPr>
        <w:t> </w:t>
      </w:r>
      <w:r>
        <w:rPr/>
        <w:t>(32.15)</w:t>
      </w:r>
      <w:r>
        <w:rPr>
          <w:spacing w:val="15"/>
        </w:rPr>
        <w:t> </w:t>
      </w:r>
      <w:r>
        <w:rPr/>
        <w:t>is</w:t>
      </w:r>
      <w:r>
        <w:rPr>
          <w:spacing w:val="11"/>
        </w:rPr>
        <w:t> </w:t>
      </w:r>
      <w:r>
        <w:rPr/>
        <w:t>greater</w:t>
      </w:r>
      <w:r>
        <w:rPr>
          <w:spacing w:val="10"/>
        </w:rPr>
        <w:t> </w:t>
      </w:r>
      <w:r>
        <w:rPr/>
        <w:t>than</w:t>
      </w:r>
      <w:r>
        <w:rPr>
          <w:spacing w:val="13"/>
        </w:rPr>
        <w:t> </w:t>
      </w:r>
      <w:r>
        <w:rPr/>
        <w:t>F</w:t>
      </w:r>
      <w:r>
        <w:rPr>
          <w:spacing w:val="10"/>
        </w:rPr>
        <w:t> </w:t>
      </w:r>
      <w:r>
        <w:rPr/>
        <w:t>Critical</w:t>
      </w:r>
      <w:r>
        <w:rPr>
          <w:spacing w:val="10"/>
        </w:rPr>
        <w:t> </w:t>
      </w:r>
      <w:r>
        <w:rPr/>
        <w:t>(3.06);</w:t>
      </w:r>
      <w:r>
        <w:rPr>
          <w:spacing w:val="14"/>
        </w:rPr>
        <w:t> </w:t>
      </w:r>
      <w:r>
        <w:rPr/>
        <w:t>it</w:t>
      </w:r>
      <w:r>
        <w:rPr>
          <w:spacing w:val="18"/>
        </w:rPr>
        <w:t> </w:t>
      </w:r>
      <w:r>
        <w:rPr/>
        <w:t>implies</w:t>
      </w:r>
      <w:r>
        <w:rPr>
          <w:spacing w:val="11"/>
        </w:rPr>
        <w:t> </w:t>
      </w:r>
      <w:r>
        <w:rPr/>
        <w:t>that</w:t>
      </w:r>
      <w:r>
        <w:rPr>
          <w:spacing w:val="14"/>
        </w:rPr>
        <w:t> </w:t>
      </w:r>
      <w:r>
        <w:rPr/>
        <w:t>there</w:t>
      </w:r>
      <w:r>
        <w:rPr>
          <w:spacing w:val="12"/>
        </w:rPr>
        <w:t> </w:t>
      </w:r>
      <w:r>
        <w:rPr/>
        <w:t>is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statistically</w:t>
      </w:r>
      <w:r>
        <w:rPr>
          <w:spacing w:val="10"/>
        </w:rPr>
        <w:t> </w:t>
      </w:r>
      <w:r>
        <w:rPr/>
        <w:t>significant</w:t>
      </w:r>
      <w:r>
        <w:rPr>
          <w:spacing w:val="-57"/>
        </w:rPr>
        <w:t> </w:t>
      </w:r>
      <w:r>
        <w:rPr/>
        <w:t>difference between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neutrophil</w:t>
      </w:r>
      <w:r>
        <w:rPr>
          <w:spacing w:val="-2"/>
        </w:rPr>
        <w:t> </w:t>
      </w:r>
      <w:r>
        <w:rPr/>
        <w:t>counts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groups.</w:t>
      </w:r>
    </w:p>
    <w:p>
      <w:pPr>
        <w:spacing w:after="0" w:line="355" w:lineRule="auto"/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spacing w:line="357" w:lineRule="auto" w:before="76"/>
        <w:ind w:right="1440"/>
      </w:pPr>
      <w:r>
        <w:rPr/>
        <w:t>APPENDIX XIII: t- Test: Two Sample Assuming Unequal Variance: showing Neutrophil</w:t>
      </w:r>
      <w:r>
        <w:rPr>
          <w:spacing w:val="1"/>
        </w:rPr>
        <w:t> </w:t>
      </w:r>
      <w:r>
        <w:rPr/>
        <w:t>Count (%) in SCD Patients in Crises and HbAA individuals; SCD Patients in Steady State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HbAA</w:t>
      </w:r>
      <w:r>
        <w:rPr>
          <w:spacing w:val="-4"/>
        </w:rPr>
        <w:t> </w:t>
      </w:r>
      <w:r>
        <w:rPr/>
        <w:t>Group;</w:t>
      </w:r>
      <w:r>
        <w:rPr>
          <w:spacing w:val="2"/>
        </w:rPr>
        <w:t> </w:t>
      </w:r>
      <w:r>
        <w:rPr/>
        <w:t>and</w:t>
      </w:r>
      <w:r>
        <w:rPr>
          <w:spacing w:val="-3"/>
        </w:rPr>
        <w:t> </w:t>
      </w:r>
      <w:r>
        <w:rPr/>
        <w:t>SCD</w:t>
      </w:r>
      <w:r>
        <w:rPr>
          <w:spacing w:val="1"/>
        </w:rPr>
        <w:t> </w:t>
      </w:r>
      <w:r>
        <w:rPr/>
        <w:t>Patients</w:t>
      </w:r>
      <w:r>
        <w:rPr>
          <w:spacing w:val="-6"/>
        </w:rPr>
        <w:t> </w:t>
      </w:r>
      <w:r>
        <w:rPr/>
        <w:t>in</w:t>
      </w:r>
      <w:r>
        <w:rPr>
          <w:spacing w:val="2"/>
        </w:rPr>
        <w:t> </w:t>
      </w:r>
      <w:r>
        <w:rPr/>
        <w:t>Crises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SCD</w:t>
      </w:r>
      <w:r>
        <w:rPr>
          <w:spacing w:val="1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Steady</w:t>
      </w:r>
      <w:r>
        <w:rPr>
          <w:spacing w:val="-4"/>
        </w:rPr>
        <w:t> </w:t>
      </w:r>
      <w:r>
        <w:rPr/>
        <w:t>State.</w:t>
      </w:r>
    </w:p>
    <w:p>
      <w:pPr>
        <w:pStyle w:val="BodyText"/>
        <w:spacing w:before="1"/>
        <w:rPr>
          <w:b/>
          <w:sz w:val="19"/>
        </w:rPr>
      </w:pPr>
    </w:p>
    <w:tbl>
      <w:tblPr>
        <w:tblW w:w="0" w:type="auto"/>
        <w:jc w:val="left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2"/>
        <w:gridCol w:w="1284"/>
        <w:gridCol w:w="910"/>
        <w:gridCol w:w="1430"/>
        <w:gridCol w:w="1171"/>
        <w:gridCol w:w="1436"/>
        <w:gridCol w:w="1568"/>
      </w:tblGrid>
      <w:tr>
        <w:trPr>
          <w:trHeight w:val="479" w:hRule="atLeast"/>
        </w:trPr>
        <w:tc>
          <w:tcPr>
            <w:tcW w:w="336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252"/>
              <w:rPr>
                <w:sz w:val="24"/>
              </w:rPr>
            </w:pPr>
            <w:r>
              <w:rPr>
                <w:sz w:val="24"/>
              </w:rPr>
              <w:t>Crises</w:t>
            </w:r>
          </w:p>
        </w:tc>
        <w:tc>
          <w:tcPr>
            <w:tcW w:w="910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18" w:right="111"/>
              <w:jc w:val="center"/>
              <w:rPr>
                <w:sz w:val="24"/>
              </w:rPr>
            </w:pPr>
            <w:r>
              <w:rPr>
                <w:sz w:val="24"/>
              </w:rPr>
              <w:t>HbAA</w:t>
            </w:r>
          </w:p>
        </w:tc>
        <w:tc>
          <w:tcPr>
            <w:tcW w:w="1430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31"/>
              <w:rPr>
                <w:sz w:val="24"/>
              </w:rPr>
            </w:pPr>
            <w:r>
              <w:rPr>
                <w:sz w:val="24"/>
              </w:rPr>
              <w:t>Steady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1171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41"/>
              <w:rPr>
                <w:sz w:val="24"/>
              </w:rPr>
            </w:pPr>
            <w:r>
              <w:rPr>
                <w:sz w:val="24"/>
              </w:rPr>
              <w:t>HbAA</w:t>
            </w:r>
          </w:p>
        </w:tc>
        <w:tc>
          <w:tcPr>
            <w:tcW w:w="143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37"/>
              <w:rPr>
                <w:sz w:val="24"/>
              </w:rPr>
            </w:pPr>
            <w:r>
              <w:rPr>
                <w:sz w:val="24"/>
              </w:rPr>
              <w:t>Steady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1568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41"/>
              <w:rPr>
                <w:sz w:val="24"/>
              </w:rPr>
            </w:pPr>
            <w:r>
              <w:rPr>
                <w:sz w:val="24"/>
              </w:rPr>
              <w:t>Crises</w:t>
            </w:r>
          </w:p>
        </w:tc>
      </w:tr>
      <w:tr>
        <w:trPr>
          <w:trHeight w:val="372" w:hRule="atLeast"/>
        </w:trPr>
        <w:tc>
          <w:tcPr>
            <w:tcW w:w="33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2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52"/>
              <w:rPr>
                <w:sz w:val="24"/>
              </w:rPr>
            </w:pPr>
            <w:r>
              <w:rPr>
                <w:sz w:val="24"/>
              </w:rPr>
              <w:t>58.26</w:t>
            </w:r>
          </w:p>
        </w:tc>
        <w:tc>
          <w:tcPr>
            <w:tcW w:w="9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4" w:right="111"/>
              <w:jc w:val="center"/>
              <w:rPr>
                <w:sz w:val="24"/>
              </w:rPr>
            </w:pPr>
            <w:r>
              <w:rPr>
                <w:sz w:val="24"/>
              </w:rPr>
              <w:t>45.75</w:t>
            </w:r>
          </w:p>
        </w:tc>
        <w:tc>
          <w:tcPr>
            <w:tcW w:w="14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60.26</w:t>
            </w:r>
          </w:p>
        </w:tc>
        <w:tc>
          <w:tcPr>
            <w:tcW w:w="11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45.75</w:t>
            </w:r>
          </w:p>
        </w:tc>
        <w:tc>
          <w:tcPr>
            <w:tcW w:w="14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7"/>
              <w:rPr>
                <w:sz w:val="24"/>
              </w:rPr>
            </w:pPr>
            <w:r>
              <w:rPr>
                <w:sz w:val="24"/>
              </w:rPr>
              <w:t>60.27</w:t>
            </w:r>
          </w:p>
        </w:tc>
        <w:tc>
          <w:tcPr>
            <w:tcW w:w="15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58.26</w:t>
            </w:r>
          </w:p>
        </w:tc>
      </w:tr>
      <w:tr>
        <w:trPr>
          <w:trHeight w:val="475" w:hRule="atLeast"/>
        </w:trPr>
        <w:tc>
          <w:tcPr>
            <w:tcW w:w="3362" w:type="dxa"/>
          </w:tcPr>
          <w:p>
            <w:pPr>
              <w:pStyle w:val="TableParagraph"/>
              <w:spacing w:before="94"/>
              <w:ind w:left="105"/>
              <w:rPr>
                <w:sz w:val="24"/>
              </w:rPr>
            </w:pPr>
            <w:r>
              <w:rPr>
                <w:sz w:val="24"/>
              </w:rPr>
              <w:t>Variance</w:t>
            </w:r>
          </w:p>
        </w:tc>
        <w:tc>
          <w:tcPr>
            <w:tcW w:w="1284" w:type="dxa"/>
          </w:tcPr>
          <w:p>
            <w:pPr>
              <w:pStyle w:val="TableParagraph"/>
              <w:spacing w:before="94"/>
              <w:ind w:left="252"/>
              <w:rPr>
                <w:sz w:val="24"/>
              </w:rPr>
            </w:pPr>
            <w:r>
              <w:rPr>
                <w:sz w:val="24"/>
              </w:rPr>
              <w:t>89.65</w:t>
            </w:r>
          </w:p>
        </w:tc>
        <w:tc>
          <w:tcPr>
            <w:tcW w:w="910" w:type="dxa"/>
          </w:tcPr>
          <w:p>
            <w:pPr>
              <w:pStyle w:val="TableParagraph"/>
              <w:spacing w:before="94"/>
              <w:ind w:left="24" w:right="111"/>
              <w:jc w:val="center"/>
              <w:rPr>
                <w:sz w:val="24"/>
              </w:rPr>
            </w:pPr>
            <w:r>
              <w:rPr>
                <w:sz w:val="24"/>
              </w:rPr>
              <w:t>87.05</w:t>
            </w:r>
          </w:p>
        </w:tc>
        <w:tc>
          <w:tcPr>
            <w:tcW w:w="1430" w:type="dxa"/>
          </w:tcPr>
          <w:p>
            <w:pPr>
              <w:pStyle w:val="TableParagraph"/>
              <w:spacing w:before="94"/>
              <w:ind w:left="131"/>
              <w:rPr>
                <w:sz w:val="24"/>
              </w:rPr>
            </w:pPr>
            <w:r>
              <w:rPr>
                <w:sz w:val="24"/>
              </w:rPr>
              <w:t>82.92</w:t>
            </w:r>
          </w:p>
        </w:tc>
        <w:tc>
          <w:tcPr>
            <w:tcW w:w="1171" w:type="dxa"/>
          </w:tcPr>
          <w:p>
            <w:pPr>
              <w:pStyle w:val="TableParagraph"/>
              <w:spacing w:before="94"/>
              <w:ind w:left="141"/>
              <w:rPr>
                <w:sz w:val="24"/>
              </w:rPr>
            </w:pPr>
            <w:r>
              <w:rPr>
                <w:sz w:val="24"/>
              </w:rPr>
              <w:t>87.05</w:t>
            </w:r>
          </w:p>
        </w:tc>
        <w:tc>
          <w:tcPr>
            <w:tcW w:w="1436" w:type="dxa"/>
          </w:tcPr>
          <w:p>
            <w:pPr>
              <w:pStyle w:val="TableParagraph"/>
              <w:spacing w:before="94"/>
              <w:ind w:left="137"/>
              <w:rPr>
                <w:sz w:val="24"/>
              </w:rPr>
            </w:pPr>
            <w:r>
              <w:rPr>
                <w:sz w:val="24"/>
              </w:rPr>
              <w:t>82.92</w:t>
            </w:r>
          </w:p>
        </w:tc>
        <w:tc>
          <w:tcPr>
            <w:tcW w:w="1568" w:type="dxa"/>
          </w:tcPr>
          <w:p>
            <w:pPr>
              <w:pStyle w:val="TableParagraph"/>
              <w:spacing w:before="94"/>
              <w:ind w:left="141"/>
              <w:rPr>
                <w:sz w:val="24"/>
              </w:rPr>
            </w:pPr>
            <w:r>
              <w:rPr>
                <w:sz w:val="24"/>
              </w:rPr>
              <w:t>89.65</w:t>
            </w:r>
          </w:p>
        </w:tc>
      </w:tr>
      <w:tr>
        <w:trPr>
          <w:trHeight w:val="475" w:hRule="atLeast"/>
        </w:trPr>
        <w:tc>
          <w:tcPr>
            <w:tcW w:w="3362" w:type="dxa"/>
          </w:tcPr>
          <w:p>
            <w:pPr>
              <w:pStyle w:val="TableParagraph"/>
              <w:spacing w:before="94"/>
              <w:ind w:left="105"/>
              <w:rPr>
                <w:sz w:val="24"/>
              </w:rPr>
            </w:pPr>
            <w:r>
              <w:rPr>
                <w:sz w:val="24"/>
              </w:rPr>
              <w:t>Observations</w:t>
            </w:r>
          </w:p>
        </w:tc>
        <w:tc>
          <w:tcPr>
            <w:tcW w:w="1284" w:type="dxa"/>
          </w:tcPr>
          <w:p>
            <w:pPr>
              <w:pStyle w:val="TableParagraph"/>
              <w:spacing w:before="94"/>
              <w:ind w:left="252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910" w:type="dxa"/>
          </w:tcPr>
          <w:p>
            <w:pPr>
              <w:pStyle w:val="TableParagraph"/>
              <w:spacing w:before="94"/>
              <w:ind w:left="24" w:right="111"/>
              <w:jc w:val="center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430" w:type="dxa"/>
          </w:tcPr>
          <w:p>
            <w:pPr>
              <w:pStyle w:val="TableParagraph"/>
              <w:spacing w:before="94"/>
              <w:ind w:left="131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94"/>
              <w:ind w:left="141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436" w:type="dxa"/>
          </w:tcPr>
          <w:p>
            <w:pPr>
              <w:pStyle w:val="TableParagraph"/>
              <w:spacing w:before="94"/>
              <w:ind w:left="137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568" w:type="dxa"/>
          </w:tcPr>
          <w:p>
            <w:pPr>
              <w:pStyle w:val="TableParagraph"/>
              <w:spacing w:before="94"/>
              <w:ind w:left="141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</w:tr>
      <w:tr>
        <w:trPr>
          <w:trHeight w:val="475" w:hRule="atLeast"/>
        </w:trPr>
        <w:tc>
          <w:tcPr>
            <w:tcW w:w="3362" w:type="dxa"/>
          </w:tcPr>
          <w:p>
            <w:pPr>
              <w:pStyle w:val="TableParagraph"/>
              <w:spacing w:before="94"/>
              <w:ind w:left="105"/>
              <w:rPr>
                <w:sz w:val="24"/>
              </w:rPr>
            </w:pPr>
            <w:r>
              <w:rPr>
                <w:sz w:val="24"/>
              </w:rPr>
              <w:t>Hypothesized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Difference</w:t>
            </w:r>
          </w:p>
        </w:tc>
        <w:tc>
          <w:tcPr>
            <w:tcW w:w="1284" w:type="dxa"/>
          </w:tcPr>
          <w:p>
            <w:pPr>
              <w:pStyle w:val="TableParagraph"/>
              <w:spacing w:before="94"/>
              <w:ind w:left="25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spacing w:before="94"/>
              <w:ind w:left="14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36" w:type="dxa"/>
          </w:tcPr>
          <w:p>
            <w:pPr>
              <w:pStyle w:val="TableParagraph"/>
              <w:spacing w:before="94"/>
              <w:ind w:left="137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56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7" w:hRule="atLeast"/>
        </w:trPr>
        <w:tc>
          <w:tcPr>
            <w:tcW w:w="3362" w:type="dxa"/>
          </w:tcPr>
          <w:p>
            <w:pPr>
              <w:pStyle w:val="TableParagraph"/>
              <w:spacing w:before="94"/>
              <w:ind w:left="105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284" w:type="dxa"/>
          </w:tcPr>
          <w:p>
            <w:pPr>
              <w:pStyle w:val="TableParagraph"/>
              <w:spacing w:before="94"/>
              <w:ind w:left="252"/>
              <w:rPr>
                <w:sz w:val="24"/>
              </w:rPr>
            </w:pPr>
            <w:r>
              <w:rPr>
                <w:sz w:val="24"/>
              </w:rPr>
              <w:t>88.00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spacing w:before="94"/>
              <w:ind w:left="141"/>
              <w:rPr>
                <w:sz w:val="24"/>
              </w:rPr>
            </w:pPr>
            <w:r>
              <w:rPr>
                <w:sz w:val="24"/>
              </w:rPr>
              <w:t>88.00</w:t>
            </w:r>
          </w:p>
        </w:tc>
        <w:tc>
          <w:tcPr>
            <w:tcW w:w="1436" w:type="dxa"/>
          </w:tcPr>
          <w:p>
            <w:pPr>
              <w:pStyle w:val="TableParagraph"/>
              <w:spacing w:before="94"/>
              <w:ind w:left="137"/>
              <w:rPr>
                <w:sz w:val="24"/>
              </w:rPr>
            </w:pPr>
            <w:r>
              <w:rPr>
                <w:sz w:val="24"/>
              </w:rPr>
              <w:t>88.00</w:t>
            </w:r>
          </w:p>
        </w:tc>
        <w:tc>
          <w:tcPr>
            <w:tcW w:w="156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7" w:hRule="atLeast"/>
        </w:trPr>
        <w:tc>
          <w:tcPr>
            <w:tcW w:w="3362" w:type="dxa"/>
          </w:tcPr>
          <w:p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</w:t>
            </w:r>
          </w:p>
        </w:tc>
        <w:tc>
          <w:tcPr>
            <w:tcW w:w="1284" w:type="dxa"/>
          </w:tcPr>
          <w:p>
            <w:pPr>
              <w:pStyle w:val="TableParagraph"/>
              <w:spacing w:before="97"/>
              <w:ind w:left="252"/>
              <w:rPr>
                <w:sz w:val="24"/>
              </w:rPr>
            </w:pPr>
            <w:r>
              <w:rPr>
                <w:sz w:val="24"/>
              </w:rPr>
              <w:t>6.31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spacing w:before="97"/>
              <w:ind w:left="141"/>
              <w:rPr>
                <w:sz w:val="24"/>
              </w:rPr>
            </w:pPr>
            <w:r>
              <w:rPr>
                <w:sz w:val="24"/>
              </w:rPr>
              <w:t>-7.46</w:t>
            </w:r>
          </w:p>
        </w:tc>
        <w:tc>
          <w:tcPr>
            <w:tcW w:w="1436" w:type="dxa"/>
          </w:tcPr>
          <w:p>
            <w:pPr>
              <w:pStyle w:val="TableParagraph"/>
              <w:spacing w:before="97"/>
              <w:ind w:left="137"/>
              <w:rPr>
                <w:sz w:val="24"/>
              </w:rPr>
            </w:pPr>
            <w:r>
              <w:rPr>
                <w:sz w:val="24"/>
              </w:rPr>
              <w:t>1.02</w:t>
            </w:r>
          </w:p>
        </w:tc>
        <w:tc>
          <w:tcPr>
            <w:tcW w:w="156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5" w:hRule="atLeast"/>
        </w:trPr>
        <w:tc>
          <w:tcPr>
            <w:tcW w:w="3362" w:type="dxa"/>
          </w:tcPr>
          <w:p>
            <w:pPr>
              <w:pStyle w:val="TableParagraph"/>
              <w:spacing w:before="94"/>
              <w:ind w:left="105"/>
              <w:rPr>
                <w:sz w:val="24"/>
              </w:rPr>
            </w:pPr>
            <w:r>
              <w:rPr>
                <w:sz w:val="24"/>
              </w:rPr>
              <w:t>P(T&lt;=t)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one-tail</w:t>
            </w:r>
          </w:p>
        </w:tc>
        <w:tc>
          <w:tcPr>
            <w:tcW w:w="1284" w:type="dxa"/>
          </w:tcPr>
          <w:p>
            <w:pPr>
              <w:pStyle w:val="TableParagraph"/>
              <w:spacing w:before="94"/>
              <w:ind w:left="252"/>
              <w:rPr>
                <w:sz w:val="24"/>
              </w:rPr>
            </w:pPr>
            <w:r>
              <w:rPr>
                <w:sz w:val="24"/>
              </w:rPr>
              <w:t>5.38E-09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spacing w:before="94"/>
              <w:ind w:left="141"/>
              <w:rPr>
                <w:sz w:val="24"/>
              </w:rPr>
            </w:pPr>
            <w:r>
              <w:rPr>
                <w:sz w:val="24"/>
              </w:rPr>
              <w:t>2.81E-11</w:t>
            </w:r>
          </w:p>
        </w:tc>
        <w:tc>
          <w:tcPr>
            <w:tcW w:w="1436" w:type="dxa"/>
          </w:tcPr>
          <w:p>
            <w:pPr>
              <w:pStyle w:val="TableParagraph"/>
              <w:spacing w:before="94"/>
              <w:ind w:left="137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156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5" w:hRule="atLeast"/>
        </w:trPr>
        <w:tc>
          <w:tcPr>
            <w:tcW w:w="3362" w:type="dxa"/>
          </w:tcPr>
          <w:p>
            <w:pPr>
              <w:pStyle w:val="TableParagraph"/>
              <w:spacing w:before="94"/>
              <w:ind w:left="105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Critical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one-tail</w:t>
            </w:r>
          </w:p>
        </w:tc>
        <w:tc>
          <w:tcPr>
            <w:tcW w:w="1284" w:type="dxa"/>
          </w:tcPr>
          <w:p>
            <w:pPr>
              <w:pStyle w:val="TableParagraph"/>
              <w:spacing w:before="94"/>
              <w:ind w:left="252"/>
              <w:rPr>
                <w:sz w:val="24"/>
              </w:rPr>
            </w:pPr>
            <w:r>
              <w:rPr>
                <w:sz w:val="24"/>
              </w:rPr>
              <w:t>1.66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spacing w:before="94"/>
              <w:ind w:left="141"/>
              <w:rPr>
                <w:sz w:val="24"/>
              </w:rPr>
            </w:pPr>
            <w:r>
              <w:rPr>
                <w:sz w:val="24"/>
              </w:rPr>
              <w:t>1.66</w:t>
            </w:r>
          </w:p>
        </w:tc>
        <w:tc>
          <w:tcPr>
            <w:tcW w:w="1436" w:type="dxa"/>
          </w:tcPr>
          <w:p>
            <w:pPr>
              <w:pStyle w:val="TableParagraph"/>
              <w:spacing w:before="94"/>
              <w:ind w:left="137"/>
              <w:rPr>
                <w:sz w:val="24"/>
              </w:rPr>
            </w:pPr>
            <w:r>
              <w:rPr>
                <w:sz w:val="24"/>
              </w:rPr>
              <w:t>1.66</w:t>
            </w:r>
          </w:p>
        </w:tc>
        <w:tc>
          <w:tcPr>
            <w:tcW w:w="156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5" w:hRule="atLeast"/>
        </w:trPr>
        <w:tc>
          <w:tcPr>
            <w:tcW w:w="3362" w:type="dxa"/>
          </w:tcPr>
          <w:p>
            <w:pPr>
              <w:pStyle w:val="TableParagraph"/>
              <w:spacing w:before="94"/>
              <w:ind w:left="105"/>
              <w:rPr>
                <w:sz w:val="24"/>
              </w:rPr>
            </w:pPr>
            <w:r>
              <w:rPr>
                <w:sz w:val="24"/>
              </w:rPr>
              <w:t>P(T&lt;=t)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two-tail</w:t>
            </w:r>
          </w:p>
        </w:tc>
        <w:tc>
          <w:tcPr>
            <w:tcW w:w="1284" w:type="dxa"/>
          </w:tcPr>
          <w:p>
            <w:pPr>
              <w:pStyle w:val="TableParagraph"/>
              <w:spacing w:before="94"/>
              <w:ind w:left="252"/>
              <w:rPr>
                <w:sz w:val="24"/>
              </w:rPr>
            </w:pPr>
            <w:r>
              <w:rPr>
                <w:sz w:val="24"/>
              </w:rPr>
              <w:t>1.07E-08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spacing w:before="94"/>
              <w:ind w:left="141"/>
              <w:rPr>
                <w:sz w:val="24"/>
              </w:rPr>
            </w:pPr>
            <w:r>
              <w:rPr>
                <w:sz w:val="24"/>
              </w:rPr>
              <w:t>5.62E-11</w:t>
            </w:r>
          </w:p>
        </w:tc>
        <w:tc>
          <w:tcPr>
            <w:tcW w:w="1436" w:type="dxa"/>
          </w:tcPr>
          <w:p>
            <w:pPr>
              <w:pStyle w:val="TableParagraph"/>
              <w:spacing w:before="94"/>
              <w:ind w:left="137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  <w:tc>
          <w:tcPr>
            <w:tcW w:w="156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0" w:hRule="atLeast"/>
        </w:trPr>
        <w:tc>
          <w:tcPr>
            <w:tcW w:w="3362" w:type="dxa"/>
          </w:tcPr>
          <w:p>
            <w:pPr>
              <w:pStyle w:val="TableParagraph"/>
              <w:spacing w:line="256" w:lineRule="exact" w:before="94"/>
              <w:ind w:left="105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Critical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two-tail</w:t>
            </w:r>
          </w:p>
        </w:tc>
        <w:tc>
          <w:tcPr>
            <w:tcW w:w="1284" w:type="dxa"/>
          </w:tcPr>
          <w:p>
            <w:pPr>
              <w:pStyle w:val="TableParagraph"/>
              <w:spacing w:line="256" w:lineRule="exact" w:before="94"/>
              <w:ind w:left="252"/>
              <w:rPr>
                <w:sz w:val="24"/>
              </w:rPr>
            </w:pPr>
            <w:r>
              <w:rPr>
                <w:sz w:val="24"/>
              </w:rPr>
              <w:t>1.99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spacing w:line="256" w:lineRule="exact" w:before="94"/>
              <w:ind w:left="141"/>
              <w:rPr>
                <w:sz w:val="24"/>
              </w:rPr>
            </w:pPr>
            <w:r>
              <w:rPr>
                <w:sz w:val="24"/>
              </w:rPr>
              <w:t>1.99</w:t>
            </w:r>
          </w:p>
        </w:tc>
        <w:tc>
          <w:tcPr>
            <w:tcW w:w="1436" w:type="dxa"/>
          </w:tcPr>
          <w:p>
            <w:pPr>
              <w:pStyle w:val="TableParagraph"/>
              <w:spacing w:line="256" w:lineRule="exact" w:before="94"/>
              <w:ind w:left="137"/>
              <w:rPr>
                <w:sz w:val="24"/>
              </w:rPr>
            </w:pPr>
            <w:r>
              <w:rPr>
                <w:sz w:val="24"/>
              </w:rPr>
              <w:t>1.99</w:t>
            </w:r>
          </w:p>
        </w:tc>
        <w:tc>
          <w:tcPr>
            <w:tcW w:w="1568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15"/>
        </w:rPr>
      </w:pPr>
      <w:r>
        <w:rPr/>
        <w:pict>
          <v:shape style="position:absolute;margin-left:39.840pt;margin-top:10.605279pt;width:558.75pt;height:1pt;mso-position-horizontal-relative:page;mso-position-vertical-relative:paragraph;z-index:-15681024;mso-wrap-distance-left:0;mso-wrap-distance-right:0" coordorigin="797,212" coordsize="11175,20" path="m5496,212l5491,212,5477,212,4325,212,4320,212,4306,212,797,212,797,231,4306,231,4320,231,4325,231,5477,231,5491,231,5496,231,5496,212xm9005,212l9000,212,8986,212,7834,212,7829,212,7814,212,6394,212,6389,212,6374,212,5496,212,5496,231,6374,231,6389,231,6394,231,7814,231,7829,231,7834,231,8986,231,9000,231,9005,231,9005,212xm11971,212l10445,212,10440,212,10426,212,9005,212,9005,231,10426,231,10440,231,10445,231,11971,231,11971,212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</w:rPr>
      </w:pPr>
    </w:p>
    <w:p>
      <w:pPr>
        <w:pStyle w:val="BodyText"/>
        <w:spacing w:line="357" w:lineRule="auto"/>
        <w:ind w:left="820" w:right="1436"/>
        <w:jc w:val="both"/>
      </w:pPr>
      <w:r>
        <w:rPr/>
        <w:t>Since t stat (6.31) is greater than t Critical two-tail (1.99); it implies that there is a statistically</w:t>
      </w:r>
      <w:r>
        <w:rPr>
          <w:spacing w:val="1"/>
        </w:rPr>
        <w:t> </w:t>
      </w:r>
      <w:r>
        <w:rPr/>
        <w:t>significant difference between the neutrophil count</w:t>
      </w:r>
      <w:r>
        <w:rPr>
          <w:spacing w:val="60"/>
        </w:rPr>
        <w:t> </w:t>
      </w:r>
      <w:r>
        <w:rPr/>
        <w:t>in the SCD patients with crises and the</w:t>
      </w:r>
      <w:r>
        <w:rPr>
          <w:spacing w:val="1"/>
        </w:rPr>
        <w:t> </w:t>
      </w:r>
      <w:r>
        <w:rPr/>
        <w:t>HbAA</w:t>
      </w:r>
      <w:r>
        <w:rPr>
          <w:spacing w:val="-3"/>
        </w:rPr>
        <w:t> </w:t>
      </w:r>
      <w:r>
        <w:rPr/>
        <w:t>group.</w:t>
      </w:r>
    </w:p>
    <w:p>
      <w:pPr>
        <w:pStyle w:val="BodyText"/>
        <w:spacing w:line="357" w:lineRule="auto" w:before="206"/>
        <w:ind w:left="820" w:right="1440"/>
        <w:jc w:val="both"/>
      </w:pPr>
      <w:r>
        <w:rPr/>
        <w:t>Since t Stat (-7.46) is greater than t Critical two-tail (1.99); it implies that there is a statistically</w:t>
      </w:r>
      <w:r>
        <w:rPr>
          <w:spacing w:val="1"/>
        </w:rPr>
        <w:t> </w:t>
      </w:r>
      <w:r>
        <w:rPr/>
        <w:t>significant difference between the neutrophil counts of HbAA individuals and SCD Patients in</w:t>
      </w:r>
      <w:r>
        <w:rPr>
          <w:spacing w:val="1"/>
        </w:rPr>
        <w:t> </w:t>
      </w:r>
      <w:r>
        <w:rPr/>
        <w:t>Steady</w:t>
      </w:r>
      <w:r>
        <w:rPr>
          <w:spacing w:val="-8"/>
        </w:rPr>
        <w:t> </w:t>
      </w:r>
      <w:r>
        <w:rPr/>
        <w:t>State.</w:t>
      </w:r>
    </w:p>
    <w:p>
      <w:pPr>
        <w:pStyle w:val="BodyText"/>
        <w:spacing w:line="360" w:lineRule="auto" w:before="207"/>
        <w:ind w:left="820" w:right="1436"/>
        <w:jc w:val="both"/>
      </w:pPr>
      <w:r>
        <w:rPr/>
        <w:t>Since t Stat (1.02) is less than t Critical two-tail (1.99); it implies that there is no statistically</w:t>
      </w:r>
      <w:r>
        <w:rPr>
          <w:spacing w:val="1"/>
        </w:rPr>
        <w:t> </w:t>
      </w:r>
      <w:r>
        <w:rPr/>
        <w:t>significant</w:t>
      </w:r>
      <w:r>
        <w:rPr>
          <w:spacing w:val="6"/>
        </w:rPr>
        <w:t> </w:t>
      </w:r>
      <w:r>
        <w:rPr/>
        <w:t>difference</w:t>
      </w:r>
      <w:r>
        <w:rPr>
          <w:spacing w:val="5"/>
        </w:rPr>
        <w:t> </w:t>
      </w:r>
      <w:r>
        <w:rPr/>
        <w:t>between</w:t>
      </w:r>
      <w:r>
        <w:rPr>
          <w:spacing w:val="-4"/>
        </w:rPr>
        <w:t> </w:t>
      </w:r>
      <w:r>
        <w:rPr/>
        <w:t>the neutrophil</w:t>
      </w:r>
      <w:r>
        <w:rPr>
          <w:spacing w:val="-8"/>
        </w:rPr>
        <w:t> </w:t>
      </w:r>
      <w:r>
        <w:rPr/>
        <w:t>counts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the two</w:t>
      </w:r>
      <w:r>
        <w:rPr>
          <w:spacing w:val="1"/>
        </w:rPr>
        <w:t> </w:t>
      </w:r>
      <w:r>
        <w:rPr/>
        <w:t>SCD</w:t>
      </w:r>
      <w:r>
        <w:rPr>
          <w:spacing w:val="1"/>
        </w:rPr>
        <w:t> </w:t>
      </w:r>
      <w:r>
        <w:rPr/>
        <w:t>groups.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jc w:val="left"/>
      </w:pPr>
      <w:r>
        <w:rPr/>
        <w:t>APPENDIX</w:t>
      </w:r>
      <w:r>
        <w:rPr>
          <w:spacing w:val="-4"/>
        </w:rPr>
        <w:t> </w:t>
      </w:r>
      <w:r>
        <w:rPr/>
        <w:t>XIV:</w:t>
      </w:r>
      <w:r>
        <w:rPr>
          <w:spacing w:val="-2"/>
        </w:rPr>
        <w:t> </w:t>
      </w:r>
      <w:r>
        <w:rPr/>
        <w:t>ANOVA:</w:t>
      </w:r>
      <w:r>
        <w:rPr>
          <w:spacing w:val="-3"/>
        </w:rPr>
        <w:t> </w:t>
      </w:r>
      <w:r>
        <w:rPr/>
        <w:t>Single</w:t>
      </w:r>
      <w:r>
        <w:rPr>
          <w:spacing w:val="-4"/>
        </w:rPr>
        <w:t> </w:t>
      </w:r>
      <w:r>
        <w:rPr/>
        <w:t>Factor:</w:t>
      </w:r>
      <w:r>
        <w:rPr>
          <w:spacing w:val="-2"/>
        </w:rPr>
        <w:t> </w:t>
      </w:r>
      <w:r>
        <w:rPr/>
        <w:t>Lymphocyte</w:t>
      </w:r>
      <w:r>
        <w:rPr>
          <w:spacing w:val="-4"/>
        </w:rPr>
        <w:t> </w:t>
      </w:r>
      <w:r>
        <w:rPr/>
        <w:t>Count</w:t>
      </w:r>
      <w:r>
        <w:rPr>
          <w:spacing w:val="-3"/>
        </w:rPr>
        <w:t> </w:t>
      </w:r>
      <w:r>
        <w:rPr/>
        <w:t>(%)</w:t>
      </w:r>
    </w:p>
    <w:p>
      <w:pPr>
        <w:pStyle w:val="BodyText"/>
        <w:spacing w:before="10"/>
        <w:rPr>
          <w:b/>
          <w:sz w:val="29"/>
        </w:rPr>
      </w:pPr>
    </w:p>
    <w:tbl>
      <w:tblPr>
        <w:tblW w:w="0" w:type="auto"/>
        <w:jc w:val="left"/>
        <w:tblInd w:w="8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4"/>
        <w:gridCol w:w="1078"/>
        <w:gridCol w:w="997"/>
        <w:gridCol w:w="1070"/>
        <w:gridCol w:w="1525"/>
        <w:gridCol w:w="1031"/>
        <w:gridCol w:w="1203"/>
      </w:tblGrid>
      <w:tr>
        <w:trPr>
          <w:trHeight w:val="616" w:hRule="atLeast"/>
        </w:trPr>
        <w:tc>
          <w:tcPr>
            <w:tcW w:w="21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SUMMARY</w:t>
            </w:r>
          </w:p>
        </w:tc>
        <w:tc>
          <w:tcPr>
            <w:tcW w:w="6904" w:type="dxa"/>
            <w:gridSpan w:val="6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3" w:hRule="atLeast"/>
        </w:trPr>
        <w:tc>
          <w:tcPr>
            <w:tcW w:w="218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Groups</w:t>
            </w:r>
          </w:p>
        </w:tc>
        <w:tc>
          <w:tcPr>
            <w:tcW w:w="1078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87"/>
              <w:rPr>
                <w:sz w:val="24"/>
              </w:rPr>
            </w:pPr>
            <w:r>
              <w:rPr>
                <w:sz w:val="24"/>
              </w:rPr>
              <w:t>Count</w:t>
            </w:r>
          </w:p>
        </w:tc>
        <w:tc>
          <w:tcPr>
            <w:tcW w:w="99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Sum</w:t>
            </w:r>
          </w:p>
        </w:tc>
        <w:tc>
          <w:tcPr>
            <w:tcW w:w="1070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Average</w:t>
            </w:r>
          </w:p>
        </w:tc>
        <w:tc>
          <w:tcPr>
            <w:tcW w:w="1525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52"/>
              <w:rPr>
                <w:sz w:val="24"/>
              </w:rPr>
            </w:pPr>
            <w:r>
              <w:rPr>
                <w:sz w:val="24"/>
              </w:rPr>
              <w:t>Variance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7" w:hRule="atLeast"/>
        </w:trPr>
        <w:tc>
          <w:tcPr>
            <w:tcW w:w="21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Crises</w:t>
            </w:r>
          </w:p>
        </w:tc>
        <w:tc>
          <w:tcPr>
            <w:tcW w:w="10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87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9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1830.00</w:t>
            </w:r>
          </w:p>
        </w:tc>
        <w:tc>
          <w:tcPr>
            <w:tcW w:w="10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40.67</w:t>
            </w:r>
          </w:p>
        </w:tc>
        <w:tc>
          <w:tcPr>
            <w:tcW w:w="15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52"/>
              <w:rPr>
                <w:sz w:val="24"/>
              </w:rPr>
            </w:pPr>
            <w:r>
              <w:rPr>
                <w:sz w:val="24"/>
              </w:rPr>
              <w:t>40.18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2184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HbAA</w:t>
            </w:r>
          </w:p>
        </w:tc>
        <w:tc>
          <w:tcPr>
            <w:tcW w:w="1078" w:type="dxa"/>
          </w:tcPr>
          <w:p>
            <w:pPr>
              <w:pStyle w:val="TableParagraph"/>
              <w:spacing w:before="164"/>
              <w:ind w:left="187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997" w:type="dxa"/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1895.00</w:t>
            </w:r>
          </w:p>
        </w:tc>
        <w:tc>
          <w:tcPr>
            <w:tcW w:w="1070" w:type="dxa"/>
          </w:tcPr>
          <w:p>
            <w:pPr>
              <w:pStyle w:val="TableParagraph"/>
              <w:spacing w:before="164"/>
              <w:ind w:left="104"/>
              <w:rPr>
                <w:sz w:val="24"/>
              </w:rPr>
            </w:pPr>
            <w:r>
              <w:rPr>
                <w:sz w:val="24"/>
              </w:rPr>
              <w:t>42.11</w:t>
            </w:r>
          </w:p>
        </w:tc>
        <w:tc>
          <w:tcPr>
            <w:tcW w:w="1525" w:type="dxa"/>
          </w:tcPr>
          <w:p>
            <w:pPr>
              <w:pStyle w:val="TableParagraph"/>
              <w:spacing w:before="164"/>
              <w:ind w:left="152"/>
              <w:rPr>
                <w:sz w:val="24"/>
              </w:rPr>
            </w:pPr>
            <w:r>
              <w:rPr>
                <w:sz w:val="24"/>
              </w:rPr>
              <w:t>53.46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90" w:hRule="atLeast"/>
        </w:trPr>
        <w:tc>
          <w:tcPr>
            <w:tcW w:w="21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Steady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107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187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9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1791.00</w:t>
            </w:r>
          </w:p>
        </w:tc>
        <w:tc>
          <w:tcPr>
            <w:tcW w:w="10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104"/>
              <w:rPr>
                <w:sz w:val="24"/>
              </w:rPr>
            </w:pPr>
            <w:r>
              <w:rPr>
                <w:sz w:val="24"/>
              </w:rPr>
              <w:t>39.80</w:t>
            </w:r>
          </w:p>
        </w:tc>
        <w:tc>
          <w:tcPr>
            <w:tcW w:w="15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152"/>
              <w:rPr>
                <w:sz w:val="24"/>
              </w:rPr>
            </w:pPr>
            <w:r>
              <w:rPr>
                <w:sz w:val="24"/>
              </w:rPr>
              <w:t>60.94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13" w:hRule="atLeast"/>
        </w:trPr>
        <w:tc>
          <w:tcPr>
            <w:tcW w:w="218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ANOVA</w:t>
            </w:r>
          </w:p>
        </w:tc>
        <w:tc>
          <w:tcPr>
            <w:tcW w:w="107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3" w:hRule="atLeast"/>
        </w:trPr>
        <w:tc>
          <w:tcPr>
            <w:tcW w:w="218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Variation</w:t>
            </w:r>
          </w:p>
        </w:tc>
        <w:tc>
          <w:tcPr>
            <w:tcW w:w="1078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87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99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070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  <w:tc>
          <w:tcPr>
            <w:tcW w:w="1525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31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1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1203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88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critical</w:t>
            </w:r>
          </w:p>
        </w:tc>
      </w:tr>
      <w:tr>
        <w:trPr>
          <w:trHeight w:val="437" w:hRule="atLeast"/>
        </w:trPr>
        <w:tc>
          <w:tcPr>
            <w:tcW w:w="21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0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87"/>
              <w:rPr>
                <w:sz w:val="24"/>
              </w:rPr>
            </w:pPr>
            <w:r>
              <w:rPr>
                <w:sz w:val="24"/>
              </w:rPr>
              <w:t>122.68</w:t>
            </w:r>
          </w:p>
        </w:tc>
        <w:tc>
          <w:tcPr>
            <w:tcW w:w="9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0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61.34</w:t>
            </w:r>
          </w:p>
        </w:tc>
        <w:tc>
          <w:tcPr>
            <w:tcW w:w="15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52"/>
              <w:rPr>
                <w:sz w:val="24"/>
              </w:rPr>
            </w:pPr>
            <w:r>
              <w:rPr>
                <w:sz w:val="24"/>
              </w:rPr>
              <w:t>1.19</w:t>
            </w:r>
          </w:p>
        </w:tc>
        <w:tc>
          <w:tcPr>
            <w:tcW w:w="10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1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  <w:tc>
          <w:tcPr>
            <w:tcW w:w="12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88"/>
              <w:rPr>
                <w:sz w:val="24"/>
              </w:rPr>
            </w:pPr>
            <w:r>
              <w:rPr>
                <w:sz w:val="24"/>
              </w:rPr>
              <w:t>3.06</w:t>
            </w:r>
          </w:p>
        </w:tc>
      </w:tr>
      <w:tr>
        <w:trPr>
          <w:trHeight w:val="763" w:hRule="atLeast"/>
        </w:trPr>
        <w:tc>
          <w:tcPr>
            <w:tcW w:w="2184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078" w:type="dxa"/>
          </w:tcPr>
          <w:p>
            <w:pPr>
              <w:pStyle w:val="TableParagraph"/>
              <w:spacing w:before="164"/>
              <w:ind w:left="187"/>
              <w:rPr>
                <w:sz w:val="24"/>
              </w:rPr>
            </w:pPr>
            <w:r>
              <w:rPr>
                <w:sz w:val="24"/>
              </w:rPr>
              <w:t>6801.64</w:t>
            </w:r>
          </w:p>
        </w:tc>
        <w:tc>
          <w:tcPr>
            <w:tcW w:w="997" w:type="dxa"/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132.00</w:t>
            </w:r>
          </w:p>
        </w:tc>
        <w:tc>
          <w:tcPr>
            <w:tcW w:w="1070" w:type="dxa"/>
          </w:tcPr>
          <w:p>
            <w:pPr>
              <w:pStyle w:val="TableParagraph"/>
              <w:spacing w:before="164"/>
              <w:ind w:left="104"/>
              <w:rPr>
                <w:sz w:val="24"/>
              </w:rPr>
            </w:pPr>
            <w:r>
              <w:rPr>
                <w:sz w:val="24"/>
              </w:rPr>
              <w:t>51.53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8" w:hRule="atLeast"/>
        </w:trPr>
        <w:tc>
          <w:tcPr>
            <w:tcW w:w="2184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078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line="256" w:lineRule="exact"/>
              <w:ind w:left="187"/>
              <w:rPr>
                <w:sz w:val="24"/>
              </w:rPr>
            </w:pPr>
            <w:r>
              <w:rPr>
                <w:sz w:val="24"/>
              </w:rPr>
              <w:t>6924.33</w:t>
            </w:r>
          </w:p>
        </w:tc>
        <w:tc>
          <w:tcPr>
            <w:tcW w:w="997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134.00</w:t>
            </w:r>
          </w:p>
        </w:tc>
        <w:tc>
          <w:tcPr>
            <w:tcW w:w="10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1"/>
        <w:rPr>
          <w:b/>
          <w:sz w:val="27"/>
        </w:rPr>
      </w:pPr>
      <w:r>
        <w:rPr/>
        <w:pict>
          <v:rect style="position:absolute;margin-left:70.560005pt;margin-top:17.565281pt;width:454.800022pt;height:.959pt;mso-position-horizontal-relative:page;mso-position-vertical-relative:paragraph;z-index:-156805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</w:rPr>
      </w:pPr>
    </w:p>
    <w:p>
      <w:pPr>
        <w:pStyle w:val="BodyText"/>
        <w:spacing w:line="355" w:lineRule="auto"/>
        <w:ind w:left="820" w:right="1433"/>
      </w:pPr>
      <w:r>
        <w:rPr/>
        <w:t>Since</w:t>
      </w:r>
      <w:r>
        <w:rPr>
          <w:spacing w:val="30"/>
        </w:rPr>
        <w:t> </w:t>
      </w:r>
      <w:r>
        <w:rPr/>
        <w:t>F</w:t>
      </w:r>
      <w:r>
        <w:rPr>
          <w:spacing w:val="29"/>
        </w:rPr>
        <w:t> </w:t>
      </w:r>
      <w:r>
        <w:rPr/>
        <w:t>(1.19)</w:t>
      </w:r>
      <w:r>
        <w:rPr>
          <w:spacing w:val="34"/>
        </w:rPr>
        <w:t> </w:t>
      </w:r>
      <w:r>
        <w:rPr/>
        <w:t>is</w:t>
      </w:r>
      <w:r>
        <w:rPr>
          <w:spacing w:val="35"/>
        </w:rPr>
        <w:t> </w:t>
      </w:r>
      <w:r>
        <w:rPr/>
        <w:t>less</w:t>
      </w:r>
      <w:r>
        <w:rPr>
          <w:spacing w:val="26"/>
        </w:rPr>
        <w:t> </w:t>
      </w:r>
      <w:r>
        <w:rPr/>
        <w:t>than</w:t>
      </w:r>
      <w:r>
        <w:rPr>
          <w:spacing w:val="31"/>
        </w:rPr>
        <w:t> </w:t>
      </w:r>
      <w:r>
        <w:rPr/>
        <w:t>F</w:t>
      </w:r>
      <w:r>
        <w:rPr>
          <w:spacing w:val="24"/>
        </w:rPr>
        <w:t> </w:t>
      </w:r>
      <w:r>
        <w:rPr/>
        <w:t>Critical</w:t>
      </w:r>
      <w:r>
        <w:rPr>
          <w:spacing w:val="25"/>
        </w:rPr>
        <w:t> </w:t>
      </w:r>
      <w:r>
        <w:rPr/>
        <w:t>(3.06);</w:t>
      </w:r>
      <w:r>
        <w:rPr>
          <w:spacing w:val="32"/>
        </w:rPr>
        <w:t> </w:t>
      </w:r>
      <w:r>
        <w:rPr/>
        <w:t>it</w:t>
      </w:r>
      <w:r>
        <w:rPr>
          <w:spacing w:val="38"/>
        </w:rPr>
        <w:t> </w:t>
      </w:r>
      <w:r>
        <w:rPr/>
        <w:t>implies</w:t>
      </w:r>
      <w:r>
        <w:rPr>
          <w:spacing w:val="30"/>
        </w:rPr>
        <w:t> </w:t>
      </w:r>
      <w:r>
        <w:rPr/>
        <w:t>that</w:t>
      </w:r>
      <w:r>
        <w:rPr>
          <w:spacing w:val="32"/>
        </w:rPr>
        <w:t> </w:t>
      </w:r>
      <w:r>
        <w:rPr/>
        <w:t>there</w:t>
      </w:r>
      <w:r>
        <w:rPr>
          <w:spacing w:val="32"/>
        </w:rPr>
        <w:t> </w:t>
      </w:r>
      <w:r>
        <w:rPr/>
        <w:t>is</w:t>
      </w:r>
      <w:r>
        <w:rPr>
          <w:spacing w:val="30"/>
        </w:rPr>
        <w:t> </w:t>
      </w:r>
      <w:r>
        <w:rPr/>
        <w:t>no</w:t>
      </w:r>
      <w:r>
        <w:rPr>
          <w:spacing w:val="32"/>
        </w:rPr>
        <w:t> </w:t>
      </w:r>
      <w:r>
        <w:rPr/>
        <w:t>statistically</w:t>
      </w:r>
      <w:r>
        <w:rPr>
          <w:spacing w:val="23"/>
        </w:rPr>
        <w:t> </w:t>
      </w:r>
      <w:r>
        <w:rPr/>
        <w:t>significant</w:t>
      </w:r>
      <w:r>
        <w:rPr>
          <w:spacing w:val="-57"/>
        </w:rPr>
        <w:t> </w:t>
      </w:r>
      <w:r>
        <w:rPr/>
        <w:t>difference between</w:t>
      </w:r>
      <w:r>
        <w:rPr>
          <w:spacing w:val="-3"/>
        </w:rPr>
        <w:t> </w:t>
      </w:r>
      <w:r>
        <w:rPr/>
        <w:t>the</w:t>
      </w:r>
      <w:r>
        <w:rPr>
          <w:spacing w:val="6"/>
        </w:rPr>
        <w:t> </w:t>
      </w:r>
      <w:r>
        <w:rPr/>
        <w:t>lymphocyte counts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all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groups.</w:t>
      </w:r>
    </w:p>
    <w:p>
      <w:pPr>
        <w:spacing w:after="0" w:line="355" w:lineRule="auto"/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jc w:val="left"/>
      </w:pPr>
      <w:r>
        <w:rPr/>
        <w:t>APPENDIX</w:t>
      </w:r>
      <w:r>
        <w:rPr>
          <w:spacing w:val="-4"/>
        </w:rPr>
        <w:t> </w:t>
      </w:r>
      <w:r>
        <w:rPr/>
        <w:t>XV:</w:t>
      </w:r>
      <w:r>
        <w:rPr>
          <w:spacing w:val="-3"/>
        </w:rPr>
        <w:t> </w:t>
      </w:r>
      <w:r>
        <w:rPr/>
        <w:t>ANOVA:</w:t>
      </w:r>
      <w:r>
        <w:rPr>
          <w:spacing w:val="-3"/>
        </w:rPr>
        <w:t> </w:t>
      </w:r>
      <w:r>
        <w:rPr/>
        <w:t>Single</w:t>
      </w:r>
      <w:r>
        <w:rPr>
          <w:spacing w:val="-5"/>
        </w:rPr>
        <w:t> </w:t>
      </w:r>
      <w:r>
        <w:rPr/>
        <w:t>Factor:</w:t>
      </w:r>
      <w:r>
        <w:rPr>
          <w:spacing w:val="-3"/>
        </w:rPr>
        <w:t> </w:t>
      </w:r>
      <w:r>
        <w:rPr/>
        <w:t>PCV Levels</w:t>
      </w:r>
      <w:r>
        <w:rPr>
          <w:spacing w:val="-5"/>
        </w:rPr>
        <w:t> </w:t>
      </w:r>
      <w:r>
        <w:rPr/>
        <w:t>(%)</w:t>
      </w:r>
    </w:p>
    <w:p>
      <w:pPr>
        <w:pStyle w:val="BodyText"/>
        <w:spacing w:before="10"/>
        <w:rPr>
          <w:b/>
          <w:sz w:val="29"/>
        </w:rPr>
      </w:pPr>
    </w:p>
    <w:tbl>
      <w:tblPr>
        <w:tblW w:w="0" w:type="auto"/>
        <w:jc w:val="left"/>
        <w:tblInd w:w="8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1"/>
        <w:gridCol w:w="1135"/>
        <w:gridCol w:w="996"/>
        <w:gridCol w:w="1026"/>
        <w:gridCol w:w="1087"/>
        <w:gridCol w:w="1173"/>
        <w:gridCol w:w="1145"/>
      </w:tblGrid>
      <w:tr>
        <w:trPr>
          <w:trHeight w:val="616" w:hRule="atLeast"/>
        </w:trPr>
        <w:tc>
          <w:tcPr>
            <w:tcW w:w="224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SUMMARY</w:t>
            </w:r>
          </w:p>
        </w:tc>
        <w:tc>
          <w:tcPr>
            <w:tcW w:w="6562" w:type="dxa"/>
            <w:gridSpan w:val="6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3" w:hRule="atLeast"/>
        </w:trPr>
        <w:tc>
          <w:tcPr>
            <w:tcW w:w="2241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Groups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245"/>
              <w:rPr>
                <w:sz w:val="24"/>
              </w:rPr>
            </w:pPr>
            <w:r>
              <w:rPr>
                <w:sz w:val="24"/>
              </w:rPr>
              <w:t>Count</w:t>
            </w:r>
          </w:p>
        </w:tc>
        <w:tc>
          <w:tcPr>
            <w:tcW w:w="99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Sum</w:t>
            </w:r>
          </w:p>
        </w:tc>
        <w:tc>
          <w:tcPr>
            <w:tcW w:w="102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Average</w:t>
            </w:r>
          </w:p>
        </w:tc>
        <w:tc>
          <w:tcPr>
            <w:tcW w:w="108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Variance</w:t>
            </w:r>
          </w:p>
        </w:tc>
        <w:tc>
          <w:tcPr>
            <w:tcW w:w="11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7" w:hRule="atLeast"/>
        </w:trPr>
        <w:tc>
          <w:tcPr>
            <w:tcW w:w="22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Crises</w:t>
            </w:r>
          </w:p>
        </w:tc>
        <w:tc>
          <w:tcPr>
            <w:tcW w:w="11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245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1024.00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22.75</w:t>
            </w:r>
          </w:p>
        </w:tc>
        <w:tc>
          <w:tcPr>
            <w:tcW w:w="10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12.09</w:t>
            </w:r>
          </w:p>
        </w:tc>
        <w:tc>
          <w:tcPr>
            <w:tcW w:w="11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2241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HbAA</w:t>
            </w:r>
          </w:p>
        </w:tc>
        <w:tc>
          <w:tcPr>
            <w:tcW w:w="1135" w:type="dxa"/>
          </w:tcPr>
          <w:p>
            <w:pPr>
              <w:pStyle w:val="TableParagraph"/>
              <w:spacing w:before="164"/>
              <w:ind w:left="245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996" w:type="dxa"/>
          </w:tcPr>
          <w:p>
            <w:pPr>
              <w:pStyle w:val="TableParagraph"/>
              <w:spacing w:before="164"/>
              <w:ind w:left="108"/>
              <w:rPr>
                <w:sz w:val="24"/>
              </w:rPr>
            </w:pPr>
            <w:r>
              <w:rPr>
                <w:sz w:val="24"/>
              </w:rPr>
              <w:t>1726.00</w:t>
            </w:r>
          </w:p>
        </w:tc>
        <w:tc>
          <w:tcPr>
            <w:tcW w:w="1026" w:type="dxa"/>
          </w:tcPr>
          <w:p>
            <w:pPr>
              <w:pStyle w:val="TableParagraph"/>
              <w:spacing w:before="164"/>
              <w:ind w:left="106"/>
              <w:rPr>
                <w:sz w:val="24"/>
              </w:rPr>
            </w:pPr>
            <w:r>
              <w:rPr>
                <w:sz w:val="24"/>
              </w:rPr>
              <w:t>38.35</w:t>
            </w:r>
          </w:p>
        </w:tc>
        <w:tc>
          <w:tcPr>
            <w:tcW w:w="1087" w:type="dxa"/>
          </w:tcPr>
          <w:p>
            <w:pPr>
              <w:pStyle w:val="TableParagraph"/>
              <w:spacing w:before="164"/>
              <w:ind w:left="112"/>
              <w:rPr>
                <w:sz w:val="24"/>
              </w:rPr>
            </w:pPr>
            <w:r>
              <w:rPr>
                <w:sz w:val="24"/>
              </w:rPr>
              <w:t>28.51</w:t>
            </w:r>
          </w:p>
        </w:tc>
        <w:tc>
          <w:tcPr>
            <w:tcW w:w="11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90" w:hRule="atLeast"/>
        </w:trPr>
        <w:tc>
          <w:tcPr>
            <w:tcW w:w="224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Steady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113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245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99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108"/>
              <w:rPr>
                <w:sz w:val="24"/>
              </w:rPr>
            </w:pPr>
            <w:r>
              <w:rPr>
                <w:sz w:val="24"/>
              </w:rPr>
              <w:t>1104.00</w:t>
            </w:r>
          </w:p>
        </w:tc>
        <w:tc>
          <w:tcPr>
            <w:tcW w:w="10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106"/>
              <w:rPr>
                <w:sz w:val="24"/>
              </w:rPr>
            </w:pPr>
            <w:r>
              <w:rPr>
                <w:sz w:val="24"/>
              </w:rPr>
              <w:t>24.53</w:t>
            </w:r>
          </w:p>
        </w:tc>
        <w:tc>
          <w:tcPr>
            <w:tcW w:w="10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112"/>
              <w:rPr>
                <w:sz w:val="24"/>
              </w:rPr>
            </w:pPr>
            <w:r>
              <w:rPr>
                <w:sz w:val="24"/>
              </w:rPr>
              <w:t>25.84</w:t>
            </w:r>
          </w:p>
        </w:tc>
        <w:tc>
          <w:tcPr>
            <w:tcW w:w="11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13" w:hRule="atLeast"/>
        </w:trPr>
        <w:tc>
          <w:tcPr>
            <w:tcW w:w="224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ANOVA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3" w:hRule="atLeast"/>
        </w:trPr>
        <w:tc>
          <w:tcPr>
            <w:tcW w:w="2241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Variation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245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99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02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  <w:tc>
          <w:tcPr>
            <w:tcW w:w="108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73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1145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75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critical</w:t>
            </w:r>
          </w:p>
        </w:tc>
      </w:tr>
      <w:tr>
        <w:trPr>
          <w:trHeight w:val="437" w:hRule="atLeast"/>
        </w:trPr>
        <w:tc>
          <w:tcPr>
            <w:tcW w:w="22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1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245"/>
              <w:rPr>
                <w:sz w:val="24"/>
              </w:rPr>
            </w:pPr>
            <w:r>
              <w:rPr>
                <w:sz w:val="24"/>
              </w:rPr>
              <w:t>6563.62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3281.81</w:t>
            </w:r>
          </w:p>
        </w:tc>
        <w:tc>
          <w:tcPr>
            <w:tcW w:w="10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148.16</w:t>
            </w:r>
          </w:p>
        </w:tc>
        <w:tc>
          <w:tcPr>
            <w:tcW w:w="11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1.82E-34</w:t>
            </w:r>
          </w:p>
        </w:tc>
        <w:tc>
          <w:tcPr>
            <w:tcW w:w="11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75"/>
              <w:rPr>
                <w:sz w:val="24"/>
              </w:rPr>
            </w:pPr>
            <w:r>
              <w:rPr>
                <w:sz w:val="24"/>
              </w:rPr>
              <w:t>3.06</w:t>
            </w:r>
          </w:p>
        </w:tc>
      </w:tr>
      <w:tr>
        <w:trPr>
          <w:trHeight w:val="763" w:hRule="atLeast"/>
        </w:trPr>
        <w:tc>
          <w:tcPr>
            <w:tcW w:w="2241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135" w:type="dxa"/>
          </w:tcPr>
          <w:p>
            <w:pPr>
              <w:pStyle w:val="TableParagraph"/>
              <w:spacing w:before="164"/>
              <w:ind w:left="245"/>
              <w:rPr>
                <w:sz w:val="24"/>
              </w:rPr>
            </w:pPr>
            <w:r>
              <w:rPr>
                <w:sz w:val="24"/>
              </w:rPr>
              <w:t>2923.82</w:t>
            </w:r>
          </w:p>
        </w:tc>
        <w:tc>
          <w:tcPr>
            <w:tcW w:w="996" w:type="dxa"/>
          </w:tcPr>
          <w:p>
            <w:pPr>
              <w:pStyle w:val="TableParagraph"/>
              <w:spacing w:before="164"/>
              <w:ind w:left="108"/>
              <w:rPr>
                <w:sz w:val="24"/>
              </w:rPr>
            </w:pPr>
            <w:r>
              <w:rPr>
                <w:sz w:val="24"/>
              </w:rPr>
              <w:t>132.00</w:t>
            </w:r>
          </w:p>
        </w:tc>
        <w:tc>
          <w:tcPr>
            <w:tcW w:w="1026" w:type="dxa"/>
          </w:tcPr>
          <w:p>
            <w:pPr>
              <w:pStyle w:val="TableParagraph"/>
              <w:spacing w:before="164"/>
              <w:ind w:left="106"/>
              <w:rPr>
                <w:sz w:val="24"/>
              </w:rPr>
            </w:pPr>
            <w:r>
              <w:rPr>
                <w:sz w:val="24"/>
              </w:rPr>
              <w:t>22.15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8" w:hRule="atLeast"/>
        </w:trPr>
        <w:tc>
          <w:tcPr>
            <w:tcW w:w="2241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35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line="256" w:lineRule="exact"/>
              <w:ind w:left="245"/>
              <w:rPr>
                <w:sz w:val="24"/>
              </w:rPr>
            </w:pPr>
            <w:r>
              <w:rPr>
                <w:sz w:val="24"/>
              </w:rPr>
              <w:t>9487.44</w:t>
            </w:r>
          </w:p>
        </w:tc>
        <w:tc>
          <w:tcPr>
            <w:tcW w:w="996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134.00</w:t>
            </w:r>
          </w:p>
        </w:tc>
        <w:tc>
          <w:tcPr>
            <w:tcW w:w="10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1"/>
        <w:rPr>
          <w:b/>
          <w:sz w:val="27"/>
        </w:rPr>
      </w:pPr>
      <w:r>
        <w:rPr/>
        <w:pict>
          <v:shape style="position:absolute;margin-left:70.560005pt;margin-top:17.565281pt;width:440.9pt;height:1pt;mso-position-horizontal-relative:page;mso-position-vertical-relative:paragraph;z-index:-15680000;mso-wrap-distance-left:0;mso-wrap-distance-right:0" coordorigin="1411,351" coordsize="8818,20" path="m5803,351l5798,351,5784,351,4805,351,4800,351,4786,351,3811,351,3806,351,3792,351,1411,351,1411,370,3792,370,3806,370,3811,370,4786,370,4800,370,4805,370,5784,370,5798,370,5803,370,5803,351xm10229,351l9154,351,9149,351,9134,351,7915,351,7910,351,7896,351,6830,351,6826,351,6811,351,5803,351,5803,370,6811,370,6826,370,6830,370,7896,370,7910,370,7915,370,9134,370,9149,370,9154,370,10229,370,10229,35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</w:rPr>
      </w:pPr>
    </w:p>
    <w:p>
      <w:pPr>
        <w:pStyle w:val="BodyText"/>
        <w:spacing w:line="355" w:lineRule="auto"/>
        <w:ind w:left="820" w:right="1433"/>
      </w:pPr>
      <w:r>
        <w:rPr/>
        <w:t>Since</w:t>
      </w:r>
      <w:r>
        <w:rPr>
          <w:spacing w:val="8"/>
        </w:rPr>
        <w:t> </w:t>
      </w:r>
      <w:r>
        <w:rPr/>
        <w:t>F (148.16)</w:t>
      </w:r>
      <w:r>
        <w:rPr>
          <w:spacing w:val="10"/>
        </w:rPr>
        <w:t> </w:t>
      </w:r>
      <w:r>
        <w:rPr/>
        <w:t>is</w:t>
      </w:r>
      <w:r>
        <w:rPr>
          <w:spacing w:val="4"/>
        </w:rPr>
        <w:t> </w:t>
      </w:r>
      <w:r>
        <w:rPr/>
        <w:t>greater</w:t>
      </w:r>
      <w:r>
        <w:rPr>
          <w:spacing w:val="5"/>
        </w:rPr>
        <w:t> </w:t>
      </w:r>
      <w:r>
        <w:rPr/>
        <w:t>than</w:t>
      </w:r>
      <w:r>
        <w:rPr>
          <w:spacing w:val="5"/>
        </w:rPr>
        <w:t> </w:t>
      </w:r>
      <w:r>
        <w:rPr/>
        <w:t>F</w:t>
      </w:r>
      <w:r>
        <w:rPr>
          <w:spacing w:val="5"/>
        </w:rPr>
        <w:t> </w:t>
      </w:r>
      <w:r>
        <w:rPr/>
        <w:t>Critical (3.06);</w:t>
      </w:r>
      <w:r>
        <w:rPr>
          <w:spacing w:val="5"/>
        </w:rPr>
        <w:t> </w:t>
      </w:r>
      <w:r>
        <w:rPr/>
        <w:t>it</w:t>
      </w:r>
      <w:r>
        <w:rPr>
          <w:spacing w:val="9"/>
        </w:rPr>
        <w:t> </w:t>
      </w:r>
      <w:r>
        <w:rPr/>
        <w:t>implies</w:t>
      </w:r>
      <w:r>
        <w:rPr>
          <w:spacing w:val="2"/>
        </w:rPr>
        <w:t> </w:t>
      </w:r>
      <w:r>
        <w:rPr/>
        <w:t>that</w:t>
      </w:r>
      <w:r>
        <w:rPr>
          <w:spacing w:val="10"/>
        </w:rPr>
        <w:t> </w:t>
      </w:r>
      <w:r>
        <w:rPr/>
        <w:t>there</w:t>
      </w:r>
      <w:r>
        <w:rPr>
          <w:spacing w:val="8"/>
        </w:rPr>
        <w:t> </w:t>
      </w:r>
      <w:r>
        <w:rPr/>
        <w:t>is</w:t>
      </w:r>
      <w:r>
        <w:rPr>
          <w:spacing w:val="2"/>
        </w:rPr>
        <w:t> </w:t>
      </w:r>
      <w:r>
        <w:rPr/>
        <w:t>a</w:t>
      </w:r>
      <w:r>
        <w:rPr>
          <w:spacing w:val="4"/>
        </w:rPr>
        <w:t> </w:t>
      </w:r>
      <w:r>
        <w:rPr/>
        <w:t>statistically</w:t>
      </w:r>
      <w:r>
        <w:rPr>
          <w:spacing w:val="-1"/>
        </w:rPr>
        <w:t> </w:t>
      </w:r>
      <w:r>
        <w:rPr/>
        <w:t>significant</w:t>
      </w:r>
      <w:r>
        <w:rPr>
          <w:spacing w:val="-57"/>
        </w:rPr>
        <w:t> </w:t>
      </w:r>
      <w:r>
        <w:rPr/>
        <w:t>difference between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PCVs 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three groups.</w:t>
      </w:r>
    </w:p>
    <w:p>
      <w:pPr>
        <w:spacing w:after="0" w:line="355" w:lineRule="auto"/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spacing w:line="360" w:lineRule="auto" w:before="76"/>
        <w:ind w:right="1437"/>
      </w:pPr>
      <w:r>
        <w:rPr/>
        <w:t>APPENDIX XVI: t-Test: Two Sample Assuming Unequal Variance: showing PCVs (%) of</w:t>
      </w:r>
      <w:r>
        <w:rPr>
          <w:spacing w:val="1"/>
        </w:rPr>
        <w:t> </w:t>
      </w:r>
      <w:r>
        <w:rPr/>
        <w:t>SCD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Crises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HbAA</w:t>
      </w:r>
      <w:r>
        <w:rPr>
          <w:spacing w:val="1"/>
        </w:rPr>
        <w:t> </w:t>
      </w:r>
      <w:r>
        <w:rPr/>
        <w:t>Individuals;</w:t>
      </w:r>
      <w:r>
        <w:rPr>
          <w:spacing w:val="1"/>
        </w:rPr>
        <w:t> </w:t>
      </w:r>
      <w:r>
        <w:rPr/>
        <w:t>PCVs</w:t>
      </w:r>
      <w:r>
        <w:rPr>
          <w:spacing w:val="1"/>
        </w:rPr>
        <w:t> </w:t>
      </w:r>
      <w:r>
        <w:rPr/>
        <w:t>of HbAA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SCD</w:t>
      </w:r>
      <w:r>
        <w:rPr>
          <w:spacing w:val="1"/>
        </w:rPr>
        <w:t> </w:t>
      </w:r>
      <w:r>
        <w:rPr/>
        <w:t>Patients in Steady State; and PCVs of SCD Patients in Crises and SCD Patients in Steady</w:t>
      </w:r>
      <w:r>
        <w:rPr>
          <w:spacing w:val="1"/>
        </w:rPr>
        <w:t> </w:t>
      </w:r>
      <w:r>
        <w:rPr/>
        <w:t>State</w:t>
      </w:r>
    </w:p>
    <w:p>
      <w:pPr>
        <w:pStyle w:val="BodyText"/>
        <w:spacing w:before="8"/>
        <w:rPr>
          <w:b/>
          <w:sz w:val="18"/>
        </w:rPr>
      </w:pPr>
    </w:p>
    <w:tbl>
      <w:tblPr>
        <w:tblW w:w="0" w:type="auto"/>
        <w:jc w:val="left"/>
        <w:tblInd w:w="8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8"/>
        <w:gridCol w:w="1202"/>
        <w:gridCol w:w="888"/>
        <w:gridCol w:w="1384"/>
        <w:gridCol w:w="1149"/>
        <w:gridCol w:w="975"/>
        <w:gridCol w:w="1575"/>
      </w:tblGrid>
      <w:tr>
        <w:trPr>
          <w:trHeight w:val="613" w:hRule="atLeast"/>
        </w:trPr>
        <w:tc>
          <w:tcPr>
            <w:tcW w:w="3278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68"/>
              <w:rPr>
                <w:sz w:val="24"/>
              </w:rPr>
            </w:pPr>
            <w:r>
              <w:rPr>
                <w:sz w:val="24"/>
              </w:rPr>
              <w:t>Crises</w:t>
            </w:r>
          </w:p>
        </w:tc>
        <w:tc>
          <w:tcPr>
            <w:tcW w:w="888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42"/>
              <w:rPr>
                <w:sz w:val="24"/>
              </w:rPr>
            </w:pPr>
            <w:r>
              <w:rPr>
                <w:sz w:val="24"/>
              </w:rPr>
              <w:t>HbAA</w:t>
            </w:r>
          </w:p>
        </w:tc>
        <w:tc>
          <w:tcPr>
            <w:tcW w:w="138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Steady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1149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21"/>
              <w:rPr>
                <w:sz w:val="24"/>
              </w:rPr>
            </w:pPr>
            <w:r>
              <w:rPr>
                <w:sz w:val="24"/>
              </w:rPr>
              <w:t>HbAA</w:t>
            </w:r>
          </w:p>
        </w:tc>
        <w:tc>
          <w:tcPr>
            <w:tcW w:w="975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38"/>
              <w:rPr>
                <w:sz w:val="24"/>
              </w:rPr>
            </w:pPr>
            <w:r>
              <w:rPr>
                <w:sz w:val="24"/>
              </w:rPr>
              <w:t>Crises</w:t>
            </w:r>
          </w:p>
        </w:tc>
        <w:tc>
          <w:tcPr>
            <w:tcW w:w="1575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244"/>
              <w:rPr>
                <w:sz w:val="24"/>
              </w:rPr>
            </w:pPr>
            <w:r>
              <w:rPr>
                <w:sz w:val="24"/>
              </w:rPr>
              <w:t>Steady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</w:tr>
      <w:tr>
        <w:trPr>
          <w:trHeight w:val="437" w:hRule="atLeast"/>
        </w:trPr>
        <w:tc>
          <w:tcPr>
            <w:tcW w:w="32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2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68"/>
              <w:rPr>
                <w:sz w:val="24"/>
              </w:rPr>
            </w:pPr>
            <w:r>
              <w:rPr>
                <w:sz w:val="24"/>
              </w:rPr>
              <w:t>22.75</w:t>
            </w:r>
          </w:p>
        </w:tc>
        <w:tc>
          <w:tcPr>
            <w:tcW w:w="8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42"/>
              <w:rPr>
                <w:sz w:val="24"/>
              </w:rPr>
            </w:pPr>
            <w:r>
              <w:rPr>
                <w:sz w:val="24"/>
              </w:rPr>
              <w:t>38.35</w:t>
            </w:r>
          </w:p>
        </w:tc>
        <w:tc>
          <w:tcPr>
            <w:tcW w:w="13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24.53</w:t>
            </w:r>
          </w:p>
        </w:tc>
        <w:tc>
          <w:tcPr>
            <w:tcW w:w="11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21"/>
              <w:rPr>
                <w:sz w:val="24"/>
              </w:rPr>
            </w:pPr>
            <w:r>
              <w:rPr>
                <w:sz w:val="24"/>
              </w:rPr>
              <w:t>38.35</w:t>
            </w:r>
          </w:p>
        </w:tc>
        <w:tc>
          <w:tcPr>
            <w:tcW w:w="9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38"/>
              <w:rPr>
                <w:sz w:val="24"/>
              </w:rPr>
            </w:pPr>
            <w:r>
              <w:rPr>
                <w:sz w:val="24"/>
              </w:rPr>
              <w:t>22.75</w:t>
            </w:r>
          </w:p>
        </w:tc>
        <w:tc>
          <w:tcPr>
            <w:tcW w:w="15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244"/>
              <w:rPr>
                <w:sz w:val="24"/>
              </w:rPr>
            </w:pPr>
            <w:r>
              <w:rPr>
                <w:sz w:val="24"/>
              </w:rPr>
              <w:t>24.53</w:t>
            </w:r>
          </w:p>
        </w:tc>
      </w:tr>
      <w:tr>
        <w:trPr>
          <w:trHeight w:val="614" w:hRule="atLeast"/>
        </w:trPr>
        <w:tc>
          <w:tcPr>
            <w:tcW w:w="3278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Variance</w:t>
            </w:r>
          </w:p>
        </w:tc>
        <w:tc>
          <w:tcPr>
            <w:tcW w:w="1202" w:type="dxa"/>
          </w:tcPr>
          <w:p>
            <w:pPr>
              <w:pStyle w:val="TableParagraph"/>
              <w:spacing w:before="164"/>
              <w:ind w:left="168"/>
              <w:rPr>
                <w:sz w:val="24"/>
              </w:rPr>
            </w:pPr>
            <w:r>
              <w:rPr>
                <w:sz w:val="24"/>
              </w:rPr>
              <w:t>12.09</w:t>
            </w:r>
          </w:p>
        </w:tc>
        <w:tc>
          <w:tcPr>
            <w:tcW w:w="888" w:type="dxa"/>
          </w:tcPr>
          <w:p>
            <w:pPr>
              <w:pStyle w:val="TableParagraph"/>
              <w:spacing w:before="164"/>
              <w:ind w:left="142"/>
              <w:rPr>
                <w:sz w:val="24"/>
              </w:rPr>
            </w:pPr>
            <w:r>
              <w:rPr>
                <w:sz w:val="24"/>
              </w:rPr>
              <w:t>28.51</w:t>
            </w:r>
          </w:p>
        </w:tc>
        <w:tc>
          <w:tcPr>
            <w:tcW w:w="1384" w:type="dxa"/>
          </w:tcPr>
          <w:p>
            <w:pPr>
              <w:pStyle w:val="TableParagraph"/>
              <w:spacing w:before="164"/>
              <w:ind w:left="108"/>
              <w:rPr>
                <w:sz w:val="24"/>
              </w:rPr>
            </w:pPr>
            <w:r>
              <w:rPr>
                <w:sz w:val="24"/>
              </w:rPr>
              <w:t>25.85</w:t>
            </w:r>
          </w:p>
        </w:tc>
        <w:tc>
          <w:tcPr>
            <w:tcW w:w="1149" w:type="dxa"/>
          </w:tcPr>
          <w:p>
            <w:pPr>
              <w:pStyle w:val="TableParagraph"/>
              <w:spacing w:before="164"/>
              <w:ind w:left="121"/>
              <w:rPr>
                <w:sz w:val="24"/>
              </w:rPr>
            </w:pPr>
            <w:r>
              <w:rPr>
                <w:sz w:val="24"/>
              </w:rPr>
              <w:t>28.51</w:t>
            </w:r>
          </w:p>
        </w:tc>
        <w:tc>
          <w:tcPr>
            <w:tcW w:w="975" w:type="dxa"/>
          </w:tcPr>
          <w:p>
            <w:pPr>
              <w:pStyle w:val="TableParagraph"/>
              <w:spacing w:before="164"/>
              <w:ind w:left="138"/>
              <w:rPr>
                <w:sz w:val="24"/>
              </w:rPr>
            </w:pPr>
            <w:r>
              <w:rPr>
                <w:sz w:val="24"/>
              </w:rPr>
              <w:t>12.09</w:t>
            </w:r>
          </w:p>
        </w:tc>
        <w:tc>
          <w:tcPr>
            <w:tcW w:w="1575" w:type="dxa"/>
          </w:tcPr>
          <w:p>
            <w:pPr>
              <w:pStyle w:val="TableParagraph"/>
              <w:spacing w:before="164"/>
              <w:ind w:left="244"/>
              <w:rPr>
                <w:sz w:val="24"/>
              </w:rPr>
            </w:pPr>
            <w:r>
              <w:rPr>
                <w:sz w:val="24"/>
              </w:rPr>
              <w:t>25.85</w:t>
            </w:r>
          </w:p>
        </w:tc>
      </w:tr>
      <w:tr>
        <w:trPr>
          <w:trHeight w:val="614" w:hRule="atLeast"/>
        </w:trPr>
        <w:tc>
          <w:tcPr>
            <w:tcW w:w="3278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Observations</w:t>
            </w:r>
          </w:p>
        </w:tc>
        <w:tc>
          <w:tcPr>
            <w:tcW w:w="1202" w:type="dxa"/>
          </w:tcPr>
          <w:p>
            <w:pPr>
              <w:pStyle w:val="TableParagraph"/>
              <w:spacing w:before="164"/>
              <w:ind w:left="168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888" w:type="dxa"/>
          </w:tcPr>
          <w:p>
            <w:pPr>
              <w:pStyle w:val="TableParagraph"/>
              <w:spacing w:before="164"/>
              <w:ind w:left="142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384" w:type="dxa"/>
          </w:tcPr>
          <w:p>
            <w:pPr>
              <w:pStyle w:val="TableParagraph"/>
              <w:spacing w:before="164"/>
              <w:ind w:left="108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149" w:type="dxa"/>
          </w:tcPr>
          <w:p>
            <w:pPr>
              <w:pStyle w:val="TableParagraph"/>
              <w:spacing w:before="164"/>
              <w:ind w:left="121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975" w:type="dxa"/>
          </w:tcPr>
          <w:p>
            <w:pPr>
              <w:pStyle w:val="TableParagraph"/>
              <w:spacing w:before="164"/>
              <w:ind w:left="138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575" w:type="dxa"/>
          </w:tcPr>
          <w:p>
            <w:pPr>
              <w:pStyle w:val="TableParagraph"/>
              <w:spacing w:before="164"/>
              <w:ind w:left="244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</w:tr>
      <w:tr>
        <w:trPr>
          <w:trHeight w:val="612" w:hRule="atLeast"/>
        </w:trPr>
        <w:tc>
          <w:tcPr>
            <w:tcW w:w="3278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Hypothesized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Difference</w:t>
            </w:r>
          </w:p>
        </w:tc>
        <w:tc>
          <w:tcPr>
            <w:tcW w:w="1202" w:type="dxa"/>
          </w:tcPr>
          <w:p>
            <w:pPr>
              <w:pStyle w:val="TableParagraph"/>
              <w:spacing w:before="164"/>
              <w:ind w:left="168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9" w:type="dxa"/>
          </w:tcPr>
          <w:p>
            <w:pPr>
              <w:pStyle w:val="TableParagraph"/>
              <w:spacing w:before="164"/>
              <w:ind w:left="12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75" w:type="dxa"/>
          </w:tcPr>
          <w:p>
            <w:pPr>
              <w:pStyle w:val="TableParagraph"/>
              <w:spacing w:before="164"/>
              <w:ind w:left="138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57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2" w:hRule="atLeast"/>
        </w:trPr>
        <w:tc>
          <w:tcPr>
            <w:tcW w:w="3278" w:type="dxa"/>
          </w:tcPr>
          <w:p>
            <w:pPr>
              <w:pStyle w:val="TableParagraph"/>
              <w:spacing w:before="161"/>
              <w:ind w:left="105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202" w:type="dxa"/>
          </w:tcPr>
          <w:p>
            <w:pPr>
              <w:pStyle w:val="TableParagraph"/>
              <w:spacing w:before="161"/>
              <w:ind w:left="168"/>
              <w:rPr>
                <w:sz w:val="24"/>
              </w:rPr>
            </w:pPr>
            <w:r>
              <w:rPr>
                <w:sz w:val="24"/>
              </w:rPr>
              <w:t>76.00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9" w:type="dxa"/>
          </w:tcPr>
          <w:p>
            <w:pPr>
              <w:pStyle w:val="TableParagraph"/>
              <w:spacing w:before="161"/>
              <w:ind w:left="121"/>
              <w:rPr>
                <w:sz w:val="24"/>
              </w:rPr>
            </w:pPr>
            <w:r>
              <w:rPr>
                <w:sz w:val="24"/>
              </w:rPr>
              <w:t>88.00</w:t>
            </w:r>
          </w:p>
        </w:tc>
        <w:tc>
          <w:tcPr>
            <w:tcW w:w="975" w:type="dxa"/>
          </w:tcPr>
          <w:p>
            <w:pPr>
              <w:pStyle w:val="TableParagraph"/>
              <w:spacing w:before="161"/>
              <w:ind w:left="138"/>
              <w:rPr>
                <w:sz w:val="24"/>
              </w:rPr>
            </w:pPr>
            <w:r>
              <w:rPr>
                <w:sz w:val="24"/>
              </w:rPr>
              <w:t>78.00</w:t>
            </w:r>
          </w:p>
        </w:tc>
        <w:tc>
          <w:tcPr>
            <w:tcW w:w="157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3278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</w:t>
            </w:r>
          </w:p>
        </w:tc>
        <w:tc>
          <w:tcPr>
            <w:tcW w:w="1202" w:type="dxa"/>
          </w:tcPr>
          <w:p>
            <w:pPr>
              <w:pStyle w:val="TableParagraph"/>
              <w:spacing w:before="164"/>
              <w:ind w:left="168"/>
              <w:rPr>
                <w:sz w:val="24"/>
              </w:rPr>
            </w:pPr>
            <w:r>
              <w:rPr>
                <w:sz w:val="24"/>
              </w:rPr>
              <w:t>-16.42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9" w:type="dxa"/>
          </w:tcPr>
          <w:p>
            <w:pPr>
              <w:pStyle w:val="TableParagraph"/>
              <w:spacing w:before="164"/>
              <w:ind w:left="121"/>
              <w:rPr>
                <w:sz w:val="24"/>
              </w:rPr>
            </w:pPr>
            <w:r>
              <w:rPr>
                <w:sz w:val="24"/>
              </w:rPr>
              <w:t>12.57</w:t>
            </w:r>
          </w:p>
        </w:tc>
        <w:tc>
          <w:tcPr>
            <w:tcW w:w="975" w:type="dxa"/>
          </w:tcPr>
          <w:p>
            <w:pPr>
              <w:pStyle w:val="TableParagraph"/>
              <w:spacing w:before="164"/>
              <w:ind w:left="138"/>
              <w:rPr>
                <w:sz w:val="24"/>
              </w:rPr>
            </w:pPr>
            <w:r>
              <w:rPr>
                <w:sz w:val="24"/>
              </w:rPr>
              <w:t>-1.94</w:t>
            </w:r>
          </w:p>
        </w:tc>
        <w:tc>
          <w:tcPr>
            <w:tcW w:w="157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3278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P(T&lt;=t)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one-tail</w:t>
            </w:r>
          </w:p>
        </w:tc>
        <w:tc>
          <w:tcPr>
            <w:tcW w:w="1202" w:type="dxa"/>
          </w:tcPr>
          <w:p>
            <w:pPr>
              <w:pStyle w:val="TableParagraph"/>
              <w:spacing w:before="164"/>
              <w:ind w:left="168"/>
              <w:rPr>
                <w:sz w:val="24"/>
              </w:rPr>
            </w:pPr>
            <w:r>
              <w:rPr>
                <w:sz w:val="24"/>
              </w:rPr>
              <w:t>5.14E-27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9" w:type="dxa"/>
          </w:tcPr>
          <w:p>
            <w:pPr>
              <w:pStyle w:val="TableParagraph"/>
              <w:spacing w:before="164"/>
              <w:ind w:left="121"/>
              <w:rPr>
                <w:sz w:val="24"/>
              </w:rPr>
            </w:pPr>
            <w:r>
              <w:rPr>
                <w:sz w:val="24"/>
              </w:rPr>
              <w:t>1.25E-21</w:t>
            </w:r>
          </w:p>
        </w:tc>
        <w:tc>
          <w:tcPr>
            <w:tcW w:w="975" w:type="dxa"/>
          </w:tcPr>
          <w:p>
            <w:pPr>
              <w:pStyle w:val="TableParagraph"/>
              <w:spacing w:before="164"/>
              <w:ind w:left="138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157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3278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Critical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one-tail</w:t>
            </w:r>
          </w:p>
        </w:tc>
        <w:tc>
          <w:tcPr>
            <w:tcW w:w="1202" w:type="dxa"/>
          </w:tcPr>
          <w:p>
            <w:pPr>
              <w:pStyle w:val="TableParagraph"/>
              <w:spacing w:before="164"/>
              <w:ind w:left="168"/>
              <w:rPr>
                <w:sz w:val="24"/>
              </w:rPr>
            </w:pPr>
            <w:r>
              <w:rPr>
                <w:sz w:val="24"/>
              </w:rPr>
              <w:t>1.67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9" w:type="dxa"/>
          </w:tcPr>
          <w:p>
            <w:pPr>
              <w:pStyle w:val="TableParagraph"/>
              <w:spacing w:before="164"/>
              <w:ind w:left="121"/>
              <w:rPr>
                <w:sz w:val="24"/>
              </w:rPr>
            </w:pPr>
            <w:r>
              <w:rPr>
                <w:sz w:val="24"/>
              </w:rPr>
              <w:t>1.66</w:t>
            </w:r>
          </w:p>
        </w:tc>
        <w:tc>
          <w:tcPr>
            <w:tcW w:w="975" w:type="dxa"/>
          </w:tcPr>
          <w:p>
            <w:pPr>
              <w:pStyle w:val="TableParagraph"/>
              <w:spacing w:before="164"/>
              <w:ind w:left="138"/>
              <w:rPr>
                <w:sz w:val="24"/>
              </w:rPr>
            </w:pPr>
            <w:r>
              <w:rPr>
                <w:sz w:val="24"/>
              </w:rPr>
              <w:t>1.66</w:t>
            </w:r>
          </w:p>
        </w:tc>
        <w:tc>
          <w:tcPr>
            <w:tcW w:w="157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3278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P(T&lt;=t)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two-tail</w:t>
            </w:r>
          </w:p>
        </w:tc>
        <w:tc>
          <w:tcPr>
            <w:tcW w:w="1202" w:type="dxa"/>
          </w:tcPr>
          <w:p>
            <w:pPr>
              <w:pStyle w:val="TableParagraph"/>
              <w:spacing w:before="164"/>
              <w:ind w:left="168"/>
              <w:rPr>
                <w:sz w:val="24"/>
              </w:rPr>
            </w:pPr>
            <w:r>
              <w:rPr>
                <w:sz w:val="24"/>
              </w:rPr>
              <w:t>1.03E-26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9" w:type="dxa"/>
          </w:tcPr>
          <w:p>
            <w:pPr>
              <w:pStyle w:val="TableParagraph"/>
              <w:spacing w:before="164"/>
              <w:ind w:left="121"/>
              <w:rPr>
                <w:sz w:val="24"/>
              </w:rPr>
            </w:pPr>
            <w:r>
              <w:rPr>
                <w:sz w:val="24"/>
              </w:rPr>
              <w:t>2.31E-21</w:t>
            </w:r>
          </w:p>
        </w:tc>
        <w:tc>
          <w:tcPr>
            <w:tcW w:w="975" w:type="dxa"/>
          </w:tcPr>
          <w:p>
            <w:pPr>
              <w:pStyle w:val="TableParagraph"/>
              <w:spacing w:before="164"/>
              <w:ind w:left="138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157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0" w:hRule="atLeast"/>
        </w:trPr>
        <w:tc>
          <w:tcPr>
            <w:tcW w:w="3278" w:type="dxa"/>
          </w:tcPr>
          <w:p>
            <w:pPr>
              <w:pStyle w:val="TableParagraph"/>
              <w:spacing w:line="256" w:lineRule="exact" w:before="164"/>
              <w:ind w:left="105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Critical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two-tail</w:t>
            </w:r>
          </w:p>
        </w:tc>
        <w:tc>
          <w:tcPr>
            <w:tcW w:w="1202" w:type="dxa"/>
          </w:tcPr>
          <w:p>
            <w:pPr>
              <w:pStyle w:val="TableParagraph"/>
              <w:spacing w:line="256" w:lineRule="exact" w:before="164"/>
              <w:ind w:left="168"/>
              <w:rPr>
                <w:sz w:val="24"/>
              </w:rPr>
            </w:pPr>
            <w:r>
              <w:rPr>
                <w:sz w:val="24"/>
              </w:rPr>
              <w:t>1.99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9" w:type="dxa"/>
          </w:tcPr>
          <w:p>
            <w:pPr>
              <w:pStyle w:val="TableParagraph"/>
              <w:spacing w:line="256" w:lineRule="exact" w:before="164"/>
              <w:ind w:left="121"/>
              <w:rPr>
                <w:sz w:val="24"/>
              </w:rPr>
            </w:pPr>
            <w:r>
              <w:rPr>
                <w:sz w:val="24"/>
              </w:rPr>
              <w:t>1.99</w:t>
            </w:r>
          </w:p>
        </w:tc>
        <w:tc>
          <w:tcPr>
            <w:tcW w:w="975" w:type="dxa"/>
          </w:tcPr>
          <w:p>
            <w:pPr>
              <w:pStyle w:val="TableParagraph"/>
              <w:spacing w:line="256" w:lineRule="exact" w:before="164"/>
              <w:ind w:left="138"/>
              <w:rPr>
                <w:sz w:val="24"/>
              </w:rPr>
            </w:pPr>
            <w:r>
              <w:rPr>
                <w:sz w:val="24"/>
              </w:rPr>
              <w:t>1.99</w:t>
            </w:r>
          </w:p>
        </w:tc>
        <w:tc>
          <w:tcPr>
            <w:tcW w:w="1575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1"/>
        <w:rPr>
          <w:b/>
          <w:sz w:val="27"/>
        </w:rPr>
      </w:pPr>
      <w:r>
        <w:rPr/>
        <w:pict>
          <v:shape style="position:absolute;margin-left:70.560005pt;margin-top:17.564283pt;width:523.4500pt;height:1pt;mso-position-horizontal-relative:page;mso-position-vertical-relative:paragraph;z-index:-15679488;mso-wrap-distance-left:0;mso-wrap-distance-right:0" coordorigin="1411,351" coordsize="10469,20" path="m5947,351l5942,351,5928,351,4771,351,4766,351,4752,351,1411,351,1411,370,4752,370,4766,370,4771,370,5928,370,5942,370,5947,370,5947,351xm8198,351l8194,351,8179,351,6802,351,6797,351,6782,351,5947,351,5947,370,6782,370,6797,370,6802,370,8179,370,8194,370,8198,370,8198,351xm9365,351l9360,351,9346,351,8198,351,8198,370,9346,370,9360,370,9365,370,9365,351xm11880,351l10445,351,10440,351,10426,351,9365,351,9365,370,10426,370,10440,370,10445,370,11880,370,11880,35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</w:rPr>
      </w:pPr>
    </w:p>
    <w:p>
      <w:pPr>
        <w:pStyle w:val="BodyText"/>
        <w:spacing w:line="355" w:lineRule="auto"/>
        <w:ind w:left="820" w:right="1441"/>
        <w:jc w:val="both"/>
      </w:pPr>
      <w:r>
        <w:rPr/>
        <w:t>Since t Stat (16.42) is greater than t Critical two-tail (1.99); it implies that there is a statistically</w:t>
      </w:r>
      <w:r>
        <w:rPr>
          <w:spacing w:val="1"/>
        </w:rPr>
        <w:t> </w:t>
      </w:r>
      <w:r>
        <w:rPr/>
        <w:t>significant</w:t>
      </w:r>
      <w:r>
        <w:rPr>
          <w:spacing w:val="4"/>
        </w:rPr>
        <w:t> </w:t>
      </w:r>
      <w:r>
        <w:rPr/>
        <w:t>difference</w:t>
      </w:r>
      <w:r>
        <w:rPr>
          <w:spacing w:val="3"/>
        </w:rPr>
        <w:t> </w:t>
      </w:r>
      <w:r>
        <w:rPr/>
        <w:t>between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PCVs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SCD patients</w:t>
      </w:r>
      <w:r>
        <w:rPr>
          <w:spacing w:val="2"/>
        </w:rPr>
        <w:t> </w:t>
      </w:r>
      <w:r>
        <w:rPr/>
        <w:t>in</w:t>
      </w:r>
      <w:r>
        <w:rPr>
          <w:spacing w:val="-3"/>
        </w:rPr>
        <w:t> </w:t>
      </w:r>
      <w:r>
        <w:rPr/>
        <w:t>crises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HbAA individuals.</w:t>
      </w:r>
    </w:p>
    <w:p>
      <w:pPr>
        <w:pStyle w:val="BodyText"/>
        <w:spacing w:line="355" w:lineRule="auto" w:before="210"/>
        <w:ind w:left="820" w:right="1441"/>
        <w:jc w:val="both"/>
      </w:pPr>
      <w:r>
        <w:rPr/>
        <w:t>Since t Stat (12.57) is greater than t Critical two-tail (1.99); it implies that there is a statistically</w:t>
      </w:r>
      <w:r>
        <w:rPr>
          <w:spacing w:val="1"/>
        </w:rPr>
        <w:t> </w:t>
      </w:r>
      <w:r>
        <w:rPr/>
        <w:t>significant</w:t>
      </w:r>
      <w:r>
        <w:rPr>
          <w:spacing w:val="4"/>
        </w:rPr>
        <w:t> </w:t>
      </w:r>
      <w:r>
        <w:rPr/>
        <w:t>difference</w:t>
      </w:r>
      <w:r>
        <w:rPr>
          <w:spacing w:val="3"/>
        </w:rPr>
        <w:t> </w:t>
      </w:r>
      <w:r>
        <w:rPr/>
        <w:t>between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PCVs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HbAA</w:t>
      </w:r>
      <w:r>
        <w:rPr>
          <w:spacing w:val="-5"/>
        </w:rPr>
        <w:t> </w:t>
      </w:r>
      <w:r>
        <w:rPr/>
        <w:t>individuals</w:t>
      </w:r>
      <w:r>
        <w:rPr>
          <w:spacing w:val="-3"/>
        </w:rPr>
        <w:t> </w:t>
      </w:r>
      <w:r>
        <w:rPr/>
        <w:t>and SCD</w:t>
      </w:r>
      <w:r>
        <w:rPr>
          <w:spacing w:val="-1"/>
        </w:rPr>
        <w:t> </w:t>
      </w:r>
      <w:r>
        <w:rPr/>
        <w:t>patients</w:t>
      </w:r>
      <w:r>
        <w:rPr>
          <w:spacing w:val="2"/>
        </w:rPr>
        <w:t> </w:t>
      </w:r>
      <w:r>
        <w:rPr/>
        <w:t>in</w:t>
      </w:r>
      <w:r>
        <w:rPr>
          <w:spacing w:val="-5"/>
        </w:rPr>
        <w:t> </w:t>
      </w:r>
      <w:r>
        <w:rPr/>
        <w:t>steady</w:t>
      </w:r>
      <w:r>
        <w:rPr>
          <w:spacing w:val="-10"/>
        </w:rPr>
        <w:t> </w:t>
      </w:r>
      <w:r>
        <w:rPr/>
        <w:t>state.</w:t>
      </w:r>
    </w:p>
    <w:p>
      <w:pPr>
        <w:pStyle w:val="BodyText"/>
        <w:spacing w:line="360" w:lineRule="auto" w:before="211"/>
        <w:ind w:left="820" w:right="1436"/>
        <w:jc w:val="both"/>
      </w:pPr>
      <w:r>
        <w:rPr/>
        <w:t>Since t Stat (1.94) is less than t Critical two-tail (1.99); it implies that there is no statistically</w:t>
      </w:r>
      <w:r>
        <w:rPr>
          <w:spacing w:val="1"/>
        </w:rPr>
        <w:t> </w:t>
      </w:r>
      <w:r>
        <w:rPr/>
        <w:t>significant difference between the PCVs of SCD patients in Crises and SCD patients in steady</w:t>
      </w:r>
      <w:r>
        <w:rPr>
          <w:spacing w:val="1"/>
        </w:rPr>
        <w:t> </w:t>
      </w:r>
      <w:r>
        <w:rPr/>
        <w:t>state.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jc w:val="left"/>
      </w:pPr>
      <w:r>
        <w:rPr/>
        <w:t>APPENDIX</w:t>
      </w:r>
      <w:r>
        <w:rPr>
          <w:spacing w:val="-4"/>
        </w:rPr>
        <w:t> </w:t>
      </w:r>
      <w:r>
        <w:rPr/>
        <w:t>XVII:</w:t>
      </w:r>
      <w:r>
        <w:rPr>
          <w:spacing w:val="-2"/>
        </w:rPr>
        <w:t> </w:t>
      </w:r>
      <w:r>
        <w:rPr/>
        <w:t>ANOVA:</w:t>
      </w:r>
      <w:r>
        <w:rPr>
          <w:spacing w:val="-3"/>
        </w:rPr>
        <w:t> </w:t>
      </w:r>
      <w:r>
        <w:rPr/>
        <w:t>Single</w:t>
      </w:r>
      <w:r>
        <w:rPr>
          <w:spacing w:val="-4"/>
        </w:rPr>
        <w:t> </w:t>
      </w:r>
      <w:r>
        <w:rPr/>
        <w:t>Factor:</w:t>
      </w:r>
      <w:r>
        <w:rPr>
          <w:spacing w:val="-2"/>
        </w:rPr>
        <w:t> </w:t>
      </w:r>
      <w:r>
        <w:rPr/>
        <w:t>Plasma</w:t>
      </w:r>
      <w:r>
        <w:rPr>
          <w:spacing w:val="-4"/>
        </w:rPr>
        <w:t> </w:t>
      </w:r>
      <w:r>
        <w:rPr/>
        <w:t>Magnesium</w:t>
      </w:r>
      <w:r>
        <w:rPr>
          <w:spacing w:val="-6"/>
        </w:rPr>
        <w:t> </w:t>
      </w:r>
      <w:r>
        <w:rPr/>
        <w:t>Levels</w:t>
      </w:r>
      <w:r>
        <w:rPr>
          <w:spacing w:val="-5"/>
        </w:rPr>
        <w:t> </w:t>
      </w:r>
      <w:r>
        <w:rPr/>
        <w:t>(mg/dL)</w:t>
      </w:r>
    </w:p>
    <w:p>
      <w:pPr>
        <w:pStyle w:val="BodyText"/>
        <w:spacing w:before="10"/>
        <w:rPr>
          <w:b/>
          <w:sz w:val="29"/>
        </w:rPr>
      </w:pPr>
    </w:p>
    <w:tbl>
      <w:tblPr>
        <w:tblW w:w="0" w:type="auto"/>
        <w:jc w:val="left"/>
        <w:tblInd w:w="8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2"/>
        <w:gridCol w:w="928"/>
        <w:gridCol w:w="997"/>
        <w:gridCol w:w="1065"/>
        <w:gridCol w:w="1083"/>
        <w:gridCol w:w="1181"/>
        <w:gridCol w:w="1421"/>
      </w:tblGrid>
      <w:tr>
        <w:trPr>
          <w:trHeight w:val="616" w:hRule="atLeast"/>
        </w:trPr>
        <w:tc>
          <w:tcPr>
            <w:tcW w:w="215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SUMMARY</w:t>
            </w:r>
          </w:p>
        </w:tc>
        <w:tc>
          <w:tcPr>
            <w:tcW w:w="6675" w:type="dxa"/>
            <w:gridSpan w:val="6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3" w:hRule="atLeast"/>
        </w:trPr>
        <w:tc>
          <w:tcPr>
            <w:tcW w:w="215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Groups</w:t>
            </w:r>
          </w:p>
        </w:tc>
        <w:tc>
          <w:tcPr>
            <w:tcW w:w="928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56"/>
              <w:rPr>
                <w:sz w:val="24"/>
              </w:rPr>
            </w:pPr>
            <w:r>
              <w:rPr>
                <w:sz w:val="24"/>
              </w:rPr>
              <w:t>Count</w:t>
            </w:r>
          </w:p>
        </w:tc>
        <w:tc>
          <w:tcPr>
            <w:tcW w:w="99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88"/>
              <w:rPr>
                <w:sz w:val="24"/>
              </w:rPr>
            </w:pPr>
            <w:r>
              <w:rPr>
                <w:sz w:val="24"/>
              </w:rPr>
              <w:t>Sum</w:t>
            </w:r>
          </w:p>
        </w:tc>
        <w:tc>
          <w:tcPr>
            <w:tcW w:w="1065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51"/>
              <w:rPr>
                <w:sz w:val="24"/>
              </w:rPr>
            </w:pPr>
            <w:r>
              <w:rPr>
                <w:sz w:val="24"/>
              </w:rPr>
              <w:t>Average</w:t>
            </w:r>
          </w:p>
        </w:tc>
        <w:tc>
          <w:tcPr>
            <w:tcW w:w="1083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Variance</w:t>
            </w:r>
          </w:p>
        </w:tc>
        <w:tc>
          <w:tcPr>
            <w:tcW w:w="11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7" w:hRule="atLeast"/>
        </w:trPr>
        <w:tc>
          <w:tcPr>
            <w:tcW w:w="21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Crises</w:t>
            </w:r>
          </w:p>
        </w:tc>
        <w:tc>
          <w:tcPr>
            <w:tcW w:w="9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56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9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88"/>
              <w:rPr>
                <w:sz w:val="24"/>
              </w:rPr>
            </w:pPr>
            <w:r>
              <w:rPr>
                <w:sz w:val="24"/>
              </w:rPr>
              <w:t>28.12</w:t>
            </w:r>
          </w:p>
        </w:tc>
        <w:tc>
          <w:tcPr>
            <w:tcW w:w="10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51"/>
              <w:rPr>
                <w:sz w:val="24"/>
              </w:rPr>
            </w:pPr>
            <w:r>
              <w:rPr>
                <w:sz w:val="24"/>
              </w:rPr>
              <w:t>0.62</w:t>
            </w:r>
          </w:p>
        </w:tc>
        <w:tc>
          <w:tcPr>
            <w:tcW w:w="10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1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2152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HbAA</w:t>
            </w:r>
          </w:p>
        </w:tc>
        <w:tc>
          <w:tcPr>
            <w:tcW w:w="928" w:type="dxa"/>
          </w:tcPr>
          <w:p>
            <w:pPr>
              <w:pStyle w:val="TableParagraph"/>
              <w:spacing w:before="164"/>
              <w:ind w:left="156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997" w:type="dxa"/>
          </w:tcPr>
          <w:p>
            <w:pPr>
              <w:pStyle w:val="TableParagraph"/>
              <w:spacing w:before="164"/>
              <w:ind w:left="188"/>
              <w:rPr>
                <w:sz w:val="24"/>
              </w:rPr>
            </w:pPr>
            <w:r>
              <w:rPr>
                <w:sz w:val="24"/>
              </w:rPr>
              <w:t>39.62</w:t>
            </w:r>
          </w:p>
        </w:tc>
        <w:tc>
          <w:tcPr>
            <w:tcW w:w="1065" w:type="dxa"/>
          </w:tcPr>
          <w:p>
            <w:pPr>
              <w:pStyle w:val="TableParagraph"/>
              <w:spacing w:before="164"/>
              <w:ind w:left="151"/>
              <w:rPr>
                <w:sz w:val="24"/>
              </w:rPr>
            </w:pPr>
            <w:r>
              <w:rPr>
                <w:sz w:val="24"/>
              </w:rPr>
              <w:t>0.88</w:t>
            </w:r>
          </w:p>
        </w:tc>
        <w:tc>
          <w:tcPr>
            <w:tcW w:w="1083" w:type="dxa"/>
          </w:tcPr>
          <w:p>
            <w:pPr>
              <w:pStyle w:val="TableParagraph"/>
              <w:spacing w:before="164"/>
              <w:ind w:left="113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11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90" w:hRule="atLeast"/>
        </w:trPr>
        <w:tc>
          <w:tcPr>
            <w:tcW w:w="215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Steady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156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9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188"/>
              <w:rPr>
                <w:sz w:val="24"/>
              </w:rPr>
            </w:pPr>
            <w:r>
              <w:rPr>
                <w:sz w:val="24"/>
              </w:rPr>
              <w:t>33.48</w:t>
            </w:r>
          </w:p>
        </w:tc>
        <w:tc>
          <w:tcPr>
            <w:tcW w:w="10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151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  <w:tc>
          <w:tcPr>
            <w:tcW w:w="108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113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11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13" w:hRule="atLeast"/>
        </w:trPr>
        <w:tc>
          <w:tcPr>
            <w:tcW w:w="215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ANOVA</w:t>
            </w:r>
          </w:p>
        </w:tc>
        <w:tc>
          <w:tcPr>
            <w:tcW w:w="92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3" w:hRule="atLeast"/>
        </w:trPr>
        <w:tc>
          <w:tcPr>
            <w:tcW w:w="215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Variation</w:t>
            </w:r>
          </w:p>
        </w:tc>
        <w:tc>
          <w:tcPr>
            <w:tcW w:w="928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56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99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88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065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51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  <w:tc>
          <w:tcPr>
            <w:tcW w:w="1083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81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1421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87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Critical</w:t>
            </w:r>
          </w:p>
        </w:tc>
      </w:tr>
      <w:tr>
        <w:trPr>
          <w:trHeight w:val="437" w:hRule="atLeast"/>
        </w:trPr>
        <w:tc>
          <w:tcPr>
            <w:tcW w:w="21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9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56"/>
              <w:rPr>
                <w:sz w:val="24"/>
              </w:rPr>
            </w:pPr>
            <w:r>
              <w:rPr>
                <w:sz w:val="24"/>
              </w:rPr>
              <w:t>1.47</w:t>
            </w:r>
          </w:p>
        </w:tc>
        <w:tc>
          <w:tcPr>
            <w:tcW w:w="9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88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0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51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  <w:tc>
          <w:tcPr>
            <w:tcW w:w="10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11.20</w:t>
            </w:r>
          </w:p>
        </w:tc>
        <w:tc>
          <w:tcPr>
            <w:tcW w:w="11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3.20E-05</w:t>
            </w:r>
          </w:p>
        </w:tc>
        <w:tc>
          <w:tcPr>
            <w:tcW w:w="14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87"/>
              <w:rPr>
                <w:sz w:val="24"/>
              </w:rPr>
            </w:pPr>
            <w:r>
              <w:rPr>
                <w:sz w:val="24"/>
              </w:rPr>
              <w:t>3.06</w:t>
            </w:r>
          </w:p>
        </w:tc>
      </w:tr>
      <w:tr>
        <w:trPr>
          <w:trHeight w:val="763" w:hRule="atLeast"/>
        </w:trPr>
        <w:tc>
          <w:tcPr>
            <w:tcW w:w="2152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928" w:type="dxa"/>
          </w:tcPr>
          <w:p>
            <w:pPr>
              <w:pStyle w:val="TableParagraph"/>
              <w:spacing w:before="164"/>
              <w:ind w:left="156"/>
              <w:rPr>
                <w:sz w:val="24"/>
              </w:rPr>
            </w:pPr>
            <w:r>
              <w:rPr>
                <w:sz w:val="24"/>
              </w:rPr>
              <w:t>8.67</w:t>
            </w:r>
          </w:p>
        </w:tc>
        <w:tc>
          <w:tcPr>
            <w:tcW w:w="997" w:type="dxa"/>
          </w:tcPr>
          <w:p>
            <w:pPr>
              <w:pStyle w:val="TableParagraph"/>
              <w:spacing w:before="164"/>
              <w:ind w:left="188"/>
              <w:rPr>
                <w:sz w:val="24"/>
              </w:rPr>
            </w:pPr>
            <w:r>
              <w:rPr>
                <w:sz w:val="24"/>
              </w:rPr>
              <w:t>132.00</w:t>
            </w:r>
          </w:p>
        </w:tc>
        <w:tc>
          <w:tcPr>
            <w:tcW w:w="1065" w:type="dxa"/>
          </w:tcPr>
          <w:p>
            <w:pPr>
              <w:pStyle w:val="TableParagraph"/>
              <w:spacing w:before="164"/>
              <w:ind w:left="151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10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8" w:hRule="atLeast"/>
        </w:trPr>
        <w:tc>
          <w:tcPr>
            <w:tcW w:w="2152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928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line="256" w:lineRule="exact"/>
              <w:ind w:left="156"/>
              <w:rPr>
                <w:sz w:val="24"/>
              </w:rPr>
            </w:pPr>
            <w:r>
              <w:rPr>
                <w:sz w:val="24"/>
              </w:rPr>
              <w:t>10.14</w:t>
            </w:r>
          </w:p>
        </w:tc>
        <w:tc>
          <w:tcPr>
            <w:tcW w:w="997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line="256" w:lineRule="exact"/>
              <w:ind w:left="188"/>
              <w:rPr>
                <w:sz w:val="24"/>
              </w:rPr>
            </w:pPr>
            <w:r>
              <w:rPr>
                <w:sz w:val="24"/>
              </w:rPr>
              <w:t>134.00</w:t>
            </w:r>
          </w:p>
        </w:tc>
        <w:tc>
          <w:tcPr>
            <w:tcW w:w="10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1"/>
        <w:rPr>
          <w:b/>
          <w:sz w:val="27"/>
        </w:rPr>
      </w:pPr>
      <w:r>
        <w:rPr/>
        <w:pict>
          <v:shape style="position:absolute;margin-left:70.560005pt;margin-top:17.565281pt;width:442.6pt;height:1pt;mso-position-horizontal-relative:page;mso-position-vertical-relative:paragraph;z-index:-15678976;mso-wrap-distance-left:0;mso-wrap-distance-right:0" coordorigin="1411,351" coordsize="8852,20" path="m6581,351l6576,351,6562,351,5549,351,5544,351,5530,351,4589,351,4584,351,4570,351,3629,351,3624,351,3610,351,1411,351,1411,370,3610,370,3624,370,3629,370,4570,370,4584,370,4589,370,5530,370,5544,370,5549,370,6562,370,6576,370,6581,370,6581,351xm7661,351l7656,351,7642,351,6581,351,6581,370,7642,370,7656,370,7661,370,7661,351xm10262,351l8914,351,8909,351,8894,351,7661,351,7661,370,8894,370,8909,370,8914,370,10262,370,10262,35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</w:rPr>
      </w:pPr>
    </w:p>
    <w:p>
      <w:pPr>
        <w:pStyle w:val="BodyText"/>
        <w:spacing w:line="355" w:lineRule="auto"/>
        <w:ind w:left="820" w:right="1433"/>
      </w:pPr>
      <w:r>
        <w:rPr/>
        <w:t>Since</w:t>
      </w:r>
      <w:r>
        <w:rPr>
          <w:spacing w:val="16"/>
        </w:rPr>
        <w:t> </w:t>
      </w:r>
      <w:r>
        <w:rPr/>
        <w:t>F</w:t>
      </w:r>
      <w:r>
        <w:rPr>
          <w:spacing w:val="11"/>
        </w:rPr>
        <w:t> </w:t>
      </w:r>
      <w:r>
        <w:rPr/>
        <w:t>(11.20)</w:t>
      </w:r>
      <w:r>
        <w:rPr>
          <w:spacing w:val="15"/>
        </w:rPr>
        <w:t> </w:t>
      </w:r>
      <w:r>
        <w:rPr/>
        <w:t>is</w:t>
      </w:r>
      <w:r>
        <w:rPr>
          <w:spacing w:val="11"/>
        </w:rPr>
        <w:t> </w:t>
      </w:r>
      <w:r>
        <w:rPr/>
        <w:t>greater</w:t>
      </w:r>
      <w:r>
        <w:rPr>
          <w:spacing w:val="10"/>
        </w:rPr>
        <w:t> </w:t>
      </w:r>
      <w:r>
        <w:rPr/>
        <w:t>than</w:t>
      </w:r>
      <w:r>
        <w:rPr>
          <w:spacing w:val="13"/>
        </w:rPr>
        <w:t> </w:t>
      </w:r>
      <w:r>
        <w:rPr/>
        <w:t>F</w:t>
      </w:r>
      <w:r>
        <w:rPr>
          <w:spacing w:val="10"/>
        </w:rPr>
        <w:t> </w:t>
      </w:r>
      <w:r>
        <w:rPr/>
        <w:t>Critical</w:t>
      </w:r>
      <w:r>
        <w:rPr>
          <w:spacing w:val="10"/>
        </w:rPr>
        <w:t> </w:t>
      </w:r>
      <w:r>
        <w:rPr/>
        <w:t>(3.06);</w:t>
      </w:r>
      <w:r>
        <w:rPr>
          <w:spacing w:val="14"/>
        </w:rPr>
        <w:t> </w:t>
      </w:r>
      <w:r>
        <w:rPr/>
        <w:t>it</w:t>
      </w:r>
      <w:r>
        <w:rPr>
          <w:spacing w:val="18"/>
        </w:rPr>
        <w:t> </w:t>
      </w:r>
      <w:r>
        <w:rPr/>
        <w:t>implies</w:t>
      </w:r>
      <w:r>
        <w:rPr>
          <w:spacing w:val="11"/>
        </w:rPr>
        <w:t> </w:t>
      </w:r>
      <w:r>
        <w:rPr/>
        <w:t>that</w:t>
      </w:r>
      <w:r>
        <w:rPr>
          <w:spacing w:val="14"/>
        </w:rPr>
        <w:t> </w:t>
      </w:r>
      <w:r>
        <w:rPr/>
        <w:t>there</w:t>
      </w:r>
      <w:r>
        <w:rPr>
          <w:spacing w:val="12"/>
        </w:rPr>
        <w:t> </w:t>
      </w:r>
      <w:r>
        <w:rPr/>
        <w:t>is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statistically</w:t>
      </w:r>
      <w:r>
        <w:rPr>
          <w:spacing w:val="10"/>
        </w:rPr>
        <w:t> </w:t>
      </w:r>
      <w:r>
        <w:rPr/>
        <w:t>significant</w:t>
      </w:r>
      <w:r>
        <w:rPr>
          <w:spacing w:val="-57"/>
        </w:rPr>
        <w:t> </w:t>
      </w:r>
      <w:r>
        <w:rPr/>
        <w:t>difference between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plasma</w:t>
      </w:r>
      <w:r>
        <w:rPr>
          <w:spacing w:val="5"/>
        </w:rPr>
        <w:t> </w:t>
      </w:r>
      <w:r>
        <w:rPr/>
        <w:t>magnesium</w:t>
      </w:r>
      <w:r>
        <w:rPr>
          <w:spacing w:val="3"/>
        </w:rPr>
        <w:t> </w:t>
      </w:r>
      <w:r>
        <w:rPr/>
        <w:t>levels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the groups.</w:t>
      </w:r>
    </w:p>
    <w:p>
      <w:pPr>
        <w:spacing w:after="0" w:line="355" w:lineRule="auto"/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spacing w:line="357" w:lineRule="auto" w:before="76"/>
        <w:ind w:right="1443"/>
      </w:pPr>
      <w:r>
        <w:rPr/>
        <w:t>APPENDIX XVIII: t-Test: Showing Plasma Magnesium Levels (mg/dL) in SCD Patients in</w:t>
      </w:r>
      <w:r>
        <w:rPr>
          <w:spacing w:val="-57"/>
        </w:rPr>
        <w:t> </w:t>
      </w:r>
      <w:r>
        <w:rPr/>
        <w:t>Crises and HbAA Individuals; SCD Patients in Steady State and HbAA Individuals; and</w:t>
      </w:r>
      <w:r>
        <w:rPr>
          <w:spacing w:val="1"/>
        </w:rPr>
        <w:t> </w:t>
      </w:r>
      <w:r>
        <w:rPr/>
        <w:t>SCD</w:t>
      </w:r>
      <w:r>
        <w:rPr>
          <w:spacing w:val="1"/>
        </w:rPr>
        <w:t> </w:t>
      </w:r>
      <w:r>
        <w:rPr/>
        <w:t>Patients in</w:t>
      </w:r>
      <w:r>
        <w:rPr>
          <w:spacing w:val="-3"/>
        </w:rPr>
        <w:t> </w:t>
      </w:r>
      <w:r>
        <w:rPr/>
        <w:t>Crises and</w:t>
      </w:r>
      <w:r>
        <w:rPr>
          <w:spacing w:val="3"/>
        </w:rPr>
        <w:t> </w:t>
      </w:r>
      <w:r>
        <w:rPr/>
        <w:t>SCD</w:t>
      </w:r>
      <w:r>
        <w:rPr>
          <w:spacing w:val="1"/>
        </w:rPr>
        <w:t> </w:t>
      </w:r>
      <w:r>
        <w:rPr/>
        <w:t>Patients in</w:t>
      </w:r>
      <w:r>
        <w:rPr>
          <w:spacing w:val="-3"/>
        </w:rPr>
        <w:t> </w:t>
      </w:r>
      <w:r>
        <w:rPr/>
        <w:t>Steady</w:t>
      </w:r>
      <w:r>
        <w:rPr>
          <w:spacing w:val="2"/>
        </w:rPr>
        <w:t> </w:t>
      </w:r>
      <w:r>
        <w:rPr/>
        <w:t>State</w:t>
      </w:r>
    </w:p>
    <w:p>
      <w:pPr>
        <w:pStyle w:val="BodyText"/>
        <w:spacing w:before="1"/>
        <w:rPr>
          <w:b/>
          <w:sz w:val="19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9"/>
        <w:gridCol w:w="1284"/>
        <w:gridCol w:w="999"/>
        <w:gridCol w:w="1553"/>
        <w:gridCol w:w="984"/>
        <w:gridCol w:w="983"/>
        <w:gridCol w:w="1679"/>
      </w:tblGrid>
      <w:tr>
        <w:trPr>
          <w:trHeight w:val="613" w:hRule="atLeast"/>
        </w:trPr>
        <w:tc>
          <w:tcPr>
            <w:tcW w:w="3319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09"/>
              <w:rPr>
                <w:sz w:val="24"/>
              </w:rPr>
            </w:pPr>
            <w:r>
              <w:rPr>
                <w:sz w:val="24"/>
              </w:rPr>
              <w:t>Crises</w:t>
            </w:r>
          </w:p>
        </w:tc>
        <w:tc>
          <w:tcPr>
            <w:tcW w:w="999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HbAA</w:t>
            </w:r>
          </w:p>
        </w:tc>
        <w:tc>
          <w:tcPr>
            <w:tcW w:w="1553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Steady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98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HbAA</w:t>
            </w:r>
          </w:p>
        </w:tc>
        <w:tc>
          <w:tcPr>
            <w:tcW w:w="983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Crises</w:t>
            </w:r>
          </w:p>
        </w:tc>
        <w:tc>
          <w:tcPr>
            <w:tcW w:w="1679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57"/>
              <w:rPr>
                <w:sz w:val="24"/>
              </w:rPr>
            </w:pPr>
            <w:r>
              <w:rPr>
                <w:sz w:val="24"/>
              </w:rPr>
              <w:t>Steady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</w:tr>
      <w:tr>
        <w:trPr>
          <w:trHeight w:val="439" w:hRule="atLeast"/>
        </w:trPr>
        <w:tc>
          <w:tcPr>
            <w:tcW w:w="33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(mg/dL)</w:t>
            </w:r>
          </w:p>
        </w:tc>
        <w:tc>
          <w:tcPr>
            <w:tcW w:w="12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09"/>
              <w:rPr>
                <w:sz w:val="24"/>
              </w:rPr>
            </w:pPr>
            <w:r>
              <w:rPr>
                <w:sz w:val="24"/>
              </w:rPr>
              <w:t>0.62</w:t>
            </w:r>
          </w:p>
        </w:tc>
        <w:tc>
          <w:tcPr>
            <w:tcW w:w="9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0.88</w:t>
            </w:r>
          </w:p>
        </w:tc>
        <w:tc>
          <w:tcPr>
            <w:tcW w:w="15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  <w:tc>
          <w:tcPr>
            <w:tcW w:w="9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0.88</w:t>
            </w:r>
          </w:p>
        </w:tc>
        <w:tc>
          <w:tcPr>
            <w:tcW w:w="9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0.62</w:t>
            </w:r>
          </w:p>
        </w:tc>
        <w:tc>
          <w:tcPr>
            <w:tcW w:w="16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57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</w:tr>
      <w:tr>
        <w:trPr>
          <w:trHeight w:val="611" w:hRule="atLeast"/>
        </w:trPr>
        <w:tc>
          <w:tcPr>
            <w:tcW w:w="3319" w:type="dxa"/>
          </w:tcPr>
          <w:p>
            <w:pPr>
              <w:pStyle w:val="TableParagraph"/>
              <w:spacing w:before="161"/>
              <w:ind w:left="105"/>
              <w:rPr>
                <w:sz w:val="24"/>
              </w:rPr>
            </w:pPr>
            <w:r>
              <w:rPr>
                <w:sz w:val="24"/>
              </w:rPr>
              <w:t>Variance</w:t>
            </w:r>
          </w:p>
        </w:tc>
        <w:tc>
          <w:tcPr>
            <w:tcW w:w="1284" w:type="dxa"/>
          </w:tcPr>
          <w:p>
            <w:pPr>
              <w:pStyle w:val="TableParagraph"/>
              <w:spacing w:before="161"/>
              <w:ind w:left="209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999" w:type="dxa"/>
          </w:tcPr>
          <w:p>
            <w:pPr>
              <w:pStyle w:val="TableParagraph"/>
              <w:spacing w:before="161"/>
              <w:ind w:left="182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1553" w:type="dxa"/>
          </w:tcPr>
          <w:p>
            <w:pPr>
              <w:pStyle w:val="TableParagraph"/>
              <w:spacing w:before="161"/>
              <w:ind w:left="177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984" w:type="dxa"/>
          </w:tcPr>
          <w:p>
            <w:pPr>
              <w:pStyle w:val="TableParagraph"/>
              <w:spacing w:before="161"/>
              <w:ind w:left="217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983" w:type="dxa"/>
          </w:tcPr>
          <w:p>
            <w:pPr>
              <w:pStyle w:val="TableParagraph"/>
              <w:spacing w:before="161"/>
              <w:ind w:left="126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679" w:type="dxa"/>
          </w:tcPr>
          <w:p>
            <w:pPr>
              <w:pStyle w:val="TableParagraph"/>
              <w:spacing w:before="161"/>
              <w:ind w:left="257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</w:tr>
      <w:tr>
        <w:trPr>
          <w:trHeight w:val="614" w:hRule="atLeast"/>
        </w:trPr>
        <w:tc>
          <w:tcPr>
            <w:tcW w:w="3319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Observations</w:t>
            </w:r>
          </w:p>
        </w:tc>
        <w:tc>
          <w:tcPr>
            <w:tcW w:w="1284" w:type="dxa"/>
          </w:tcPr>
          <w:p>
            <w:pPr>
              <w:pStyle w:val="TableParagraph"/>
              <w:spacing w:before="164"/>
              <w:ind w:left="209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999" w:type="dxa"/>
          </w:tcPr>
          <w:p>
            <w:pPr>
              <w:pStyle w:val="TableParagraph"/>
              <w:spacing w:before="164"/>
              <w:ind w:left="182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553" w:type="dxa"/>
          </w:tcPr>
          <w:p>
            <w:pPr>
              <w:pStyle w:val="TableParagraph"/>
              <w:spacing w:before="164"/>
              <w:ind w:left="177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984" w:type="dxa"/>
          </w:tcPr>
          <w:p>
            <w:pPr>
              <w:pStyle w:val="TableParagraph"/>
              <w:spacing w:before="164"/>
              <w:ind w:left="217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983" w:type="dxa"/>
          </w:tcPr>
          <w:p>
            <w:pPr>
              <w:pStyle w:val="TableParagraph"/>
              <w:spacing w:before="164"/>
              <w:ind w:left="126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679" w:type="dxa"/>
          </w:tcPr>
          <w:p>
            <w:pPr>
              <w:pStyle w:val="TableParagraph"/>
              <w:spacing w:before="164"/>
              <w:ind w:left="257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</w:tr>
      <w:tr>
        <w:trPr>
          <w:trHeight w:val="614" w:hRule="atLeast"/>
        </w:trPr>
        <w:tc>
          <w:tcPr>
            <w:tcW w:w="3319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Hypothesized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Difference</w:t>
            </w:r>
          </w:p>
        </w:tc>
        <w:tc>
          <w:tcPr>
            <w:tcW w:w="1284" w:type="dxa"/>
          </w:tcPr>
          <w:p>
            <w:pPr>
              <w:pStyle w:val="TableParagraph"/>
              <w:spacing w:before="164"/>
              <w:ind w:left="209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spacing w:before="164"/>
              <w:ind w:left="217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83" w:type="dxa"/>
          </w:tcPr>
          <w:p>
            <w:pPr>
              <w:pStyle w:val="TableParagraph"/>
              <w:spacing w:before="164"/>
              <w:ind w:left="12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3319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284" w:type="dxa"/>
          </w:tcPr>
          <w:p>
            <w:pPr>
              <w:pStyle w:val="TableParagraph"/>
              <w:spacing w:before="164"/>
              <w:ind w:left="209"/>
              <w:rPr>
                <w:sz w:val="24"/>
              </w:rPr>
            </w:pPr>
            <w:r>
              <w:rPr>
                <w:sz w:val="24"/>
              </w:rPr>
              <w:t>59.00</w:t>
            </w:r>
          </w:p>
        </w:tc>
        <w:tc>
          <w:tcPr>
            <w:tcW w:w="9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spacing w:before="164"/>
              <w:ind w:left="217"/>
              <w:rPr>
                <w:sz w:val="24"/>
              </w:rPr>
            </w:pPr>
            <w:r>
              <w:rPr>
                <w:sz w:val="24"/>
              </w:rPr>
              <w:t>65.00</w:t>
            </w:r>
          </w:p>
        </w:tc>
        <w:tc>
          <w:tcPr>
            <w:tcW w:w="983" w:type="dxa"/>
          </w:tcPr>
          <w:p>
            <w:pPr>
              <w:pStyle w:val="TableParagraph"/>
              <w:spacing w:before="164"/>
              <w:ind w:left="126"/>
              <w:rPr>
                <w:sz w:val="24"/>
              </w:rPr>
            </w:pPr>
            <w:r>
              <w:rPr>
                <w:sz w:val="24"/>
              </w:rPr>
              <w:t>86.00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3319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</w:t>
            </w:r>
          </w:p>
        </w:tc>
        <w:tc>
          <w:tcPr>
            <w:tcW w:w="1284" w:type="dxa"/>
          </w:tcPr>
          <w:p>
            <w:pPr>
              <w:pStyle w:val="TableParagraph"/>
              <w:spacing w:before="164"/>
              <w:ind w:left="209"/>
              <w:rPr>
                <w:sz w:val="24"/>
              </w:rPr>
            </w:pPr>
            <w:r>
              <w:rPr>
                <w:sz w:val="24"/>
              </w:rPr>
              <w:t>-4.25</w:t>
            </w:r>
          </w:p>
        </w:tc>
        <w:tc>
          <w:tcPr>
            <w:tcW w:w="9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spacing w:before="164"/>
              <w:ind w:left="217"/>
              <w:rPr>
                <w:sz w:val="24"/>
              </w:rPr>
            </w:pPr>
            <w:r>
              <w:rPr>
                <w:sz w:val="24"/>
              </w:rPr>
              <w:t>2.21</w:t>
            </w:r>
          </w:p>
        </w:tc>
        <w:tc>
          <w:tcPr>
            <w:tcW w:w="983" w:type="dxa"/>
          </w:tcPr>
          <w:p>
            <w:pPr>
              <w:pStyle w:val="TableParagraph"/>
              <w:spacing w:before="164"/>
              <w:ind w:left="126"/>
              <w:rPr>
                <w:sz w:val="24"/>
              </w:rPr>
            </w:pPr>
            <w:r>
              <w:rPr>
                <w:sz w:val="24"/>
              </w:rPr>
              <w:t>-3.28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3319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P(T&lt;=t)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one-tail</w:t>
            </w:r>
          </w:p>
        </w:tc>
        <w:tc>
          <w:tcPr>
            <w:tcW w:w="1284" w:type="dxa"/>
          </w:tcPr>
          <w:p>
            <w:pPr>
              <w:pStyle w:val="TableParagraph"/>
              <w:spacing w:before="164"/>
              <w:ind w:left="209"/>
              <w:rPr>
                <w:sz w:val="24"/>
              </w:rPr>
            </w:pPr>
            <w:r>
              <w:rPr>
                <w:sz w:val="24"/>
              </w:rPr>
              <w:t>3.82E-05</w:t>
            </w:r>
          </w:p>
        </w:tc>
        <w:tc>
          <w:tcPr>
            <w:tcW w:w="9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spacing w:before="164"/>
              <w:ind w:left="217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983" w:type="dxa"/>
          </w:tcPr>
          <w:p>
            <w:pPr>
              <w:pStyle w:val="TableParagraph"/>
              <w:spacing w:before="164"/>
              <w:ind w:left="12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3319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Critical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one-tail</w:t>
            </w:r>
          </w:p>
        </w:tc>
        <w:tc>
          <w:tcPr>
            <w:tcW w:w="1284" w:type="dxa"/>
          </w:tcPr>
          <w:p>
            <w:pPr>
              <w:pStyle w:val="TableParagraph"/>
              <w:spacing w:before="164"/>
              <w:ind w:left="209"/>
              <w:rPr>
                <w:sz w:val="24"/>
              </w:rPr>
            </w:pPr>
            <w:r>
              <w:rPr>
                <w:sz w:val="24"/>
              </w:rPr>
              <w:t>1.67</w:t>
            </w:r>
          </w:p>
        </w:tc>
        <w:tc>
          <w:tcPr>
            <w:tcW w:w="9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spacing w:before="164"/>
              <w:ind w:left="217"/>
              <w:rPr>
                <w:sz w:val="24"/>
              </w:rPr>
            </w:pPr>
            <w:r>
              <w:rPr>
                <w:sz w:val="24"/>
              </w:rPr>
              <w:t>1.67</w:t>
            </w:r>
          </w:p>
        </w:tc>
        <w:tc>
          <w:tcPr>
            <w:tcW w:w="983" w:type="dxa"/>
          </w:tcPr>
          <w:p>
            <w:pPr>
              <w:pStyle w:val="TableParagraph"/>
              <w:spacing w:before="164"/>
              <w:ind w:left="126"/>
              <w:rPr>
                <w:sz w:val="24"/>
              </w:rPr>
            </w:pPr>
            <w:r>
              <w:rPr>
                <w:sz w:val="24"/>
              </w:rPr>
              <w:t>1.66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3319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P(T&lt;=t)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two-tail</w:t>
            </w:r>
          </w:p>
        </w:tc>
        <w:tc>
          <w:tcPr>
            <w:tcW w:w="1284" w:type="dxa"/>
          </w:tcPr>
          <w:p>
            <w:pPr>
              <w:pStyle w:val="TableParagraph"/>
              <w:spacing w:before="164"/>
              <w:ind w:left="209"/>
              <w:rPr>
                <w:sz w:val="24"/>
              </w:rPr>
            </w:pPr>
            <w:r>
              <w:rPr>
                <w:sz w:val="24"/>
              </w:rPr>
              <w:t>7.63E-05</w:t>
            </w:r>
          </w:p>
        </w:tc>
        <w:tc>
          <w:tcPr>
            <w:tcW w:w="9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spacing w:before="164"/>
              <w:ind w:left="217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983" w:type="dxa"/>
          </w:tcPr>
          <w:p>
            <w:pPr>
              <w:pStyle w:val="TableParagraph"/>
              <w:spacing w:before="164"/>
              <w:ind w:left="12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0" w:hRule="atLeast"/>
        </w:trPr>
        <w:tc>
          <w:tcPr>
            <w:tcW w:w="3319" w:type="dxa"/>
          </w:tcPr>
          <w:p>
            <w:pPr>
              <w:pStyle w:val="TableParagraph"/>
              <w:spacing w:line="256" w:lineRule="exact" w:before="164"/>
              <w:ind w:left="105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Critical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two-tail</w:t>
            </w:r>
          </w:p>
        </w:tc>
        <w:tc>
          <w:tcPr>
            <w:tcW w:w="1284" w:type="dxa"/>
          </w:tcPr>
          <w:p>
            <w:pPr>
              <w:pStyle w:val="TableParagraph"/>
              <w:spacing w:line="256" w:lineRule="exact" w:before="164"/>
              <w:ind w:left="209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9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spacing w:line="256" w:lineRule="exact" w:before="164"/>
              <w:ind w:left="217"/>
              <w:rPr>
                <w:sz w:val="24"/>
              </w:rPr>
            </w:pPr>
            <w:r>
              <w:rPr>
                <w:sz w:val="24"/>
              </w:rPr>
              <w:t>1.99</w:t>
            </w:r>
          </w:p>
        </w:tc>
        <w:tc>
          <w:tcPr>
            <w:tcW w:w="983" w:type="dxa"/>
          </w:tcPr>
          <w:p>
            <w:pPr>
              <w:pStyle w:val="TableParagraph"/>
              <w:spacing w:line="256" w:lineRule="exact" w:before="164"/>
              <w:ind w:left="126"/>
              <w:rPr>
                <w:sz w:val="24"/>
              </w:rPr>
            </w:pPr>
            <w:r>
              <w:rPr>
                <w:sz w:val="24"/>
              </w:rPr>
              <w:t>1.99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1"/>
        <w:rPr>
          <w:b/>
          <w:sz w:val="27"/>
        </w:rPr>
      </w:pPr>
      <w:r>
        <w:rPr/>
        <w:pict>
          <v:shape style="position:absolute;margin-left:35.280003pt;margin-top:17.564281pt;width:540.75pt;height:1pt;mso-position-horizontal-relative:page;mso-position-vertical-relative:paragraph;z-index:-15678464;mso-wrap-distance-left:0;mso-wrap-distance-right:0" coordorigin="706,351" coordsize="10815,20" path="m5405,351l5400,351,5386,351,4147,351,4142,351,4128,351,706,351,706,370,4128,370,4142,370,4147,370,5386,370,5400,370,5405,370,5405,351xm7992,351l7987,351,7973,351,6394,351,6389,351,6374,351,5405,351,5405,370,6374,370,6389,370,6394,370,7973,370,7987,370,7992,370,7992,351xm11520,351l9994,351,9989,351,9974,351,8880,351,8875,351,8861,351,7992,351,7992,370,8861,370,8875,370,8880,370,9974,370,9989,370,9994,370,11520,370,11520,35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</w:rPr>
      </w:pPr>
    </w:p>
    <w:p>
      <w:pPr>
        <w:pStyle w:val="BodyText"/>
        <w:spacing w:line="357" w:lineRule="auto"/>
        <w:ind w:left="820" w:right="1433"/>
        <w:jc w:val="both"/>
      </w:pPr>
      <w:r>
        <w:rPr/>
        <w:t>Since t Stat (4.25) is greater than t Critical two-tail (2.00); it implies that there is a statistically</w:t>
      </w:r>
      <w:r>
        <w:rPr>
          <w:spacing w:val="1"/>
        </w:rPr>
        <w:t> </w:t>
      </w:r>
      <w:r>
        <w:rPr/>
        <w:t>significant difference between the plasma magnesium levels of the SCD patients in crises and</w:t>
      </w:r>
      <w:r>
        <w:rPr>
          <w:spacing w:val="1"/>
        </w:rPr>
        <w:t> </w:t>
      </w:r>
      <w:r>
        <w:rPr/>
        <w:t>HbAA</w:t>
      </w:r>
      <w:r>
        <w:rPr>
          <w:spacing w:val="1"/>
        </w:rPr>
        <w:t> </w:t>
      </w:r>
      <w:r>
        <w:rPr/>
        <w:t>individuals.</w:t>
      </w:r>
    </w:p>
    <w:p>
      <w:pPr>
        <w:pStyle w:val="BodyText"/>
        <w:spacing w:line="360" w:lineRule="auto" w:before="206"/>
        <w:ind w:left="820" w:right="1436"/>
        <w:jc w:val="both"/>
      </w:pPr>
      <w:r>
        <w:rPr/>
        <w:t>Since t Stat (2.21) is greater than t Critical two-tail (1.99); it implies that there is a statistically</w:t>
      </w:r>
      <w:r>
        <w:rPr>
          <w:spacing w:val="1"/>
        </w:rPr>
        <w:t> </w:t>
      </w:r>
      <w:r>
        <w:rPr/>
        <w:t>significant difference between the plasma magnesium levels in the HbAA individuals and SCD</w:t>
      </w:r>
      <w:r>
        <w:rPr>
          <w:spacing w:val="1"/>
        </w:rPr>
        <w:t> </w:t>
      </w:r>
      <w:r>
        <w:rPr/>
        <w:t>patients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steady</w:t>
      </w:r>
      <w:r>
        <w:rPr>
          <w:spacing w:val="-8"/>
        </w:rPr>
        <w:t> </w:t>
      </w:r>
      <w:r>
        <w:rPr/>
        <w:t>state.</w:t>
      </w:r>
    </w:p>
    <w:p>
      <w:pPr>
        <w:pStyle w:val="BodyText"/>
        <w:spacing w:line="355" w:lineRule="auto" w:before="203"/>
        <w:ind w:left="820" w:right="1436"/>
        <w:jc w:val="both"/>
      </w:pPr>
      <w:r>
        <w:rPr/>
        <w:t>Since t Stat (3.28) is greater than t Critical two-tail (1.99); it implies that there is a statistically</w:t>
      </w:r>
      <w:r>
        <w:rPr>
          <w:spacing w:val="1"/>
        </w:rPr>
        <w:t> </w:t>
      </w:r>
      <w:r>
        <w:rPr/>
        <w:t>significant</w:t>
      </w:r>
      <w:r>
        <w:rPr>
          <w:spacing w:val="4"/>
        </w:rPr>
        <w:t> </w:t>
      </w:r>
      <w:r>
        <w:rPr/>
        <w:t>difference</w:t>
      </w:r>
      <w:r>
        <w:rPr>
          <w:spacing w:val="3"/>
        </w:rPr>
        <w:t> </w:t>
      </w:r>
      <w:r>
        <w:rPr/>
        <w:t>between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plasma</w:t>
      </w:r>
      <w:r>
        <w:rPr>
          <w:spacing w:val="4"/>
        </w:rPr>
        <w:t> </w:t>
      </w:r>
      <w:r>
        <w:rPr/>
        <w:t>magnesium</w:t>
      </w:r>
      <w:r>
        <w:rPr>
          <w:spacing w:val="-5"/>
        </w:rPr>
        <w:t> </w:t>
      </w:r>
      <w:r>
        <w:rPr/>
        <w:t>levels</w:t>
      </w:r>
      <w:r>
        <w:rPr>
          <w:spacing w:val="3"/>
        </w:rPr>
        <w:t> </w:t>
      </w:r>
      <w:r>
        <w:rPr/>
        <w:t>in</w:t>
      </w:r>
      <w:r>
        <w:rPr>
          <w:spacing w:val="-1"/>
        </w:rPr>
        <w:t> </w:t>
      </w:r>
      <w:r>
        <w:rPr/>
        <w:t>both</w:t>
      </w:r>
      <w:r>
        <w:rPr>
          <w:spacing w:val="-5"/>
        </w:rPr>
        <w:t> </w:t>
      </w:r>
      <w:r>
        <w:rPr/>
        <w:t>SCD</w:t>
      </w:r>
      <w:r>
        <w:rPr>
          <w:spacing w:val="-1"/>
        </w:rPr>
        <w:t> </w:t>
      </w:r>
      <w:r>
        <w:rPr/>
        <w:t>patient</w:t>
      </w:r>
      <w:r>
        <w:rPr>
          <w:spacing w:val="5"/>
        </w:rPr>
        <w:t> </w:t>
      </w:r>
      <w:r>
        <w:rPr/>
        <w:t>groups.</w:t>
      </w:r>
    </w:p>
    <w:p>
      <w:pPr>
        <w:spacing w:after="0" w:line="355" w:lineRule="auto"/>
        <w:jc w:val="both"/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jc w:val="left"/>
      </w:pPr>
      <w:r>
        <w:rPr/>
        <w:t>APPENDIX</w:t>
      </w:r>
      <w:r>
        <w:rPr>
          <w:spacing w:val="-3"/>
        </w:rPr>
        <w:t> </w:t>
      </w:r>
      <w:r>
        <w:rPr/>
        <w:t>XIX:</w:t>
      </w:r>
      <w:r>
        <w:rPr>
          <w:spacing w:val="-2"/>
        </w:rPr>
        <w:t> </w:t>
      </w:r>
      <w:r>
        <w:rPr/>
        <w:t>ANOVA:</w:t>
      </w:r>
      <w:r>
        <w:rPr>
          <w:spacing w:val="-1"/>
        </w:rPr>
        <w:t> </w:t>
      </w:r>
      <w:r>
        <w:rPr/>
        <w:t>Single</w:t>
      </w:r>
      <w:r>
        <w:rPr>
          <w:spacing w:val="-4"/>
        </w:rPr>
        <w:t> </w:t>
      </w:r>
      <w:r>
        <w:rPr/>
        <w:t>Factor:</w:t>
      </w:r>
      <w:r>
        <w:rPr>
          <w:spacing w:val="-2"/>
        </w:rPr>
        <w:t> </w:t>
      </w:r>
      <w:r>
        <w:rPr/>
        <w:t>Plasma</w:t>
      </w:r>
      <w:r>
        <w:rPr>
          <w:spacing w:val="-2"/>
        </w:rPr>
        <w:t> </w:t>
      </w:r>
      <w:r>
        <w:rPr/>
        <w:t>Zinc</w:t>
      </w:r>
      <w:r>
        <w:rPr>
          <w:spacing w:val="-4"/>
        </w:rPr>
        <w:t> </w:t>
      </w:r>
      <w:r>
        <w:rPr/>
        <w:t>Levels</w:t>
      </w:r>
      <w:r>
        <w:rPr>
          <w:spacing w:val="-4"/>
        </w:rPr>
        <w:t> </w:t>
      </w:r>
      <w:r>
        <w:rPr/>
        <w:t>(µg/dL)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all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Groups</w:t>
      </w:r>
    </w:p>
    <w:p>
      <w:pPr>
        <w:pStyle w:val="BodyText"/>
        <w:spacing w:before="10"/>
        <w:rPr>
          <w:b/>
          <w:sz w:val="29"/>
        </w:rPr>
      </w:pPr>
    </w:p>
    <w:tbl>
      <w:tblPr>
        <w:tblW w:w="0" w:type="auto"/>
        <w:jc w:val="left"/>
        <w:tblInd w:w="8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5"/>
        <w:gridCol w:w="1526"/>
        <w:gridCol w:w="997"/>
        <w:gridCol w:w="1117"/>
        <w:gridCol w:w="1116"/>
        <w:gridCol w:w="1034"/>
        <w:gridCol w:w="1202"/>
      </w:tblGrid>
      <w:tr>
        <w:trPr>
          <w:trHeight w:val="616" w:hRule="atLeast"/>
        </w:trPr>
        <w:tc>
          <w:tcPr>
            <w:tcW w:w="227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SUMMARY</w:t>
            </w:r>
          </w:p>
        </w:tc>
        <w:tc>
          <w:tcPr>
            <w:tcW w:w="6992" w:type="dxa"/>
            <w:gridSpan w:val="6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3" w:hRule="atLeast"/>
        </w:trPr>
        <w:tc>
          <w:tcPr>
            <w:tcW w:w="2275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Groups</w:t>
            </w:r>
          </w:p>
        </w:tc>
        <w:tc>
          <w:tcPr>
            <w:tcW w:w="152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278"/>
              <w:rPr>
                <w:sz w:val="24"/>
              </w:rPr>
            </w:pPr>
            <w:r>
              <w:rPr>
                <w:sz w:val="24"/>
              </w:rPr>
              <w:t>Count</w:t>
            </w:r>
          </w:p>
        </w:tc>
        <w:tc>
          <w:tcPr>
            <w:tcW w:w="99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Sum</w:t>
            </w:r>
          </w:p>
        </w:tc>
        <w:tc>
          <w:tcPr>
            <w:tcW w:w="111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Average</w:t>
            </w:r>
          </w:p>
        </w:tc>
        <w:tc>
          <w:tcPr>
            <w:tcW w:w="111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Variance</w:t>
            </w:r>
          </w:p>
        </w:tc>
        <w:tc>
          <w:tcPr>
            <w:tcW w:w="10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7" w:hRule="atLeast"/>
        </w:trPr>
        <w:tc>
          <w:tcPr>
            <w:tcW w:w="22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Crises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278"/>
              <w:rPr>
                <w:sz w:val="24"/>
              </w:rPr>
            </w:pPr>
            <w:r>
              <w:rPr>
                <w:sz w:val="24"/>
              </w:rPr>
              <w:t>45.0</w:t>
            </w:r>
          </w:p>
        </w:tc>
        <w:tc>
          <w:tcPr>
            <w:tcW w:w="9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7889.80</w:t>
            </w:r>
          </w:p>
        </w:tc>
        <w:tc>
          <w:tcPr>
            <w:tcW w:w="11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175.33</w:t>
            </w:r>
          </w:p>
        </w:tc>
        <w:tc>
          <w:tcPr>
            <w:tcW w:w="11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15124.13</w:t>
            </w:r>
          </w:p>
        </w:tc>
        <w:tc>
          <w:tcPr>
            <w:tcW w:w="10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2275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HbAA</w:t>
            </w:r>
          </w:p>
        </w:tc>
        <w:tc>
          <w:tcPr>
            <w:tcW w:w="1526" w:type="dxa"/>
          </w:tcPr>
          <w:p>
            <w:pPr>
              <w:pStyle w:val="TableParagraph"/>
              <w:spacing w:before="164"/>
              <w:ind w:left="278"/>
              <w:rPr>
                <w:sz w:val="24"/>
              </w:rPr>
            </w:pPr>
            <w:r>
              <w:rPr>
                <w:sz w:val="24"/>
              </w:rPr>
              <w:t>45.0</w:t>
            </w:r>
          </w:p>
        </w:tc>
        <w:tc>
          <w:tcPr>
            <w:tcW w:w="997" w:type="dxa"/>
          </w:tcPr>
          <w:p>
            <w:pPr>
              <w:pStyle w:val="TableParagraph"/>
              <w:spacing w:before="164"/>
              <w:ind w:left="106"/>
              <w:rPr>
                <w:sz w:val="24"/>
              </w:rPr>
            </w:pPr>
            <w:r>
              <w:rPr>
                <w:sz w:val="24"/>
              </w:rPr>
              <w:t>9957.50</w:t>
            </w:r>
          </w:p>
        </w:tc>
        <w:tc>
          <w:tcPr>
            <w:tcW w:w="1117" w:type="dxa"/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221.27</w:t>
            </w:r>
          </w:p>
        </w:tc>
        <w:tc>
          <w:tcPr>
            <w:tcW w:w="1116" w:type="dxa"/>
          </w:tcPr>
          <w:p>
            <w:pPr>
              <w:pStyle w:val="TableParagraph"/>
              <w:spacing w:before="164"/>
              <w:ind w:left="104"/>
              <w:rPr>
                <w:sz w:val="24"/>
              </w:rPr>
            </w:pPr>
            <w:r>
              <w:rPr>
                <w:sz w:val="24"/>
              </w:rPr>
              <w:t>19599.12</w:t>
            </w:r>
          </w:p>
        </w:tc>
        <w:tc>
          <w:tcPr>
            <w:tcW w:w="10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90" w:hRule="atLeast"/>
        </w:trPr>
        <w:tc>
          <w:tcPr>
            <w:tcW w:w="227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Steady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15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278"/>
              <w:rPr>
                <w:sz w:val="24"/>
              </w:rPr>
            </w:pPr>
            <w:r>
              <w:rPr>
                <w:sz w:val="24"/>
              </w:rPr>
              <w:t>45.0</w:t>
            </w:r>
          </w:p>
        </w:tc>
        <w:tc>
          <w:tcPr>
            <w:tcW w:w="9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106"/>
              <w:rPr>
                <w:sz w:val="24"/>
              </w:rPr>
            </w:pPr>
            <w:r>
              <w:rPr>
                <w:sz w:val="24"/>
              </w:rPr>
              <w:t>9080.90</w:t>
            </w:r>
          </w:p>
        </w:tc>
        <w:tc>
          <w:tcPr>
            <w:tcW w:w="111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201.79</w:t>
            </w:r>
          </w:p>
        </w:tc>
        <w:tc>
          <w:tcPr>
            <w:tcW w:w="11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104"/>
              <w:rPr>
                <w:sz w:val="24"/>
              </w:rPr>
            </w:pPr>
            <w:r>
              <w:rPr>
                <w:sz w:val="24"/>
              </w:rPr>
              <w:t>13938.72</w:t>
            </w:r>
          </w:p>
        </w:tc>
        <w:tc>
          <w:tcPr>
            <w:tcW w:w="10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13" w:hRule="atLeast"/>
        </w:trPr>
        <w:tc>
          <w:tcPr>
            <w:tcW w:w="227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ANOVA</w:t>
            </w:r>
          </w:p>
        </w:tc>
        <w:tc>
          <w:tcPr>
            <w:tcW w:w="152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3" w:hRule="atLeast"/>
        </w:trPr>
        <w:tc>
          <w:tcPr>
            <w:tcW w:w="2275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Variation</w:t>
            </w:r>
          </w:p>
        </w:tc>
        <w:tc>
          <w:tcPr>
            <w:tcW w:w="152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278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99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11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  <w:tc>
          <w:tcPr>
            <w:tcW w:w="111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3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120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86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critical</w:t>
            </w:r>
          </w:p>
        </w:tc>
      </w:tr>
      <w:tr>
        <w:trPr>
          <w:trHeight w:val="437" w:hRule="atLeast"/>
        </w:trPr>
        <w:tc>
          <w:tcPr>
            <w:tcW w:w="22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278"/>
              <w:rPr>
                <w:sz w:val="24"/>
              </w:rPr>
            </w:pPr>
            <w:r>
              <w:rPr>
                <w:sz w:val="24"/>
              </w:rPr>
              <w:t>47870.59</w:t>
            </w:r>
          </w:p>
        </w:tc>
        <w:tc>
          <w:tcPr>
            <w:tcW w:w="9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1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23935.30</w:t>
            </w:r>
          </w:p>
        </w:tc>
        <w:tc>
          <w:tcPr>
            <w:tcW w:w="11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1.48</w:t>
            </w:r>
          </w:p>
        </w:tc>
        <w:tc>
          <w:tcPr>
            <w:tcW w:w="10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  <w:tc>
          <w:tcPr>
            <w:tcW w:w="12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86"/>
              <w:rPr>
                <w:sz w:val="24"/>
              </w:rPr>
            </w:pPr>
            <w:r>
              <w:rPr>
                <w:sz w:val="24"/>
              </w:rPr>
              <w:t>3.06</w:t>
            </w:r>
          </w:p>
        </w:tc>
      </w:tr>
      <w:tr>
        <w:trPr>
          <w:trHeight w:val="763" w:hRule="atLeast"/>
        </w:trPr>
        <w:tc>
          <w:tcPr>
            <w:tcW w:w="2275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526" w:type="dxa"/>
          </w:tcPr>
          <w:p>
            <w:pPr>
              <w:pStyle w:val="TableParagraph"/>
              <w:spacing w:before="164"/>
              <w:ind w:left="278"/>
              <w:rPr>
                <w:sz w:val="24"/>
              </w:rPr>
            </w:pPr>
            <w:r>
              <w:rPr>
                <w:sz w:val="24"/>
              </w:rPr>
              <w:t>2141127.00</w:t>
            </w:r>
          </w:p>
        </w:tc>
        <w:tc>
          <w:tcPr>
            <w:tcW w:w="997" w:type="dxa"/>
          </w:tcPr>
          <w:p>
            <w:pPr>
              <w:pStyle w:val="TableParagraph"/>
              <w:spacing w:before="164"/>
              <w:ind w:left="106"/>
              <w:rPr>
                <w:sz w:val="24"/>
              </w:rPr>
            </w:pPr>
            <w:r>
              <w:rPr>
                <w:sz w:val="24"/>
              </w:rPr>
              <w:t>132.00</w:t>
            </w:r>
          </w:p>
        </w:tc>
        <w:tc>
          <w:tcPr>
            <w:tcW w:w="1117" w:type="dxa"/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16220.66</w:t>
            </w:r>
          </w:p>
        </w:tc>
        <w:tc>
          <w:tcPr>
            <w:tcW w:w="11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8" w:hRule="atLeast"/>
        </w:trPr>
        <w:tc>
          <w:tcPr>
            <w:tcW w:w="2275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526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line="256" w:lineRule="exact"/>
              <w:ind w:left="278"/>
              <w:rPr>
                <w:sz w:val="24"/>
              </w:rPr>
            </w:pPr>
            <w:r>
              <w:rPr>
                <w:sz w:val="24"/>
              </w:rPr>
              <w:t>2188998.00</w:t>
            </w:r>
          </w:p>
        </w:tc>
        <w:tc>
          <w:tcPr>
            <w:tcW w:w="997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134.00</w:t>
            </w:r>
          </w:p>
        </w:tc>
        <w:tc>
          <w:tcPr>
            <w:tcW w:w="11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1"/>
        <w:rPr>
          <w:b/>
          <w:sz w:val="27"/>
        </w:rPr>
      </w:pPr>
      <w:r>
        <w:rPr/>
        <w:pict>
          <v:shape style="position:absolute;margin-left:70.560005pt;margin-top:17.565281pt;width:463.7pt;height:1pt;mso-position-horizontal-relative:page;mso-position-vertical-relative:paragraph;z-index:-15677952;mso-wrap-distance-left:0;mso-wrap-distance-right:0" coordorigin="1411,351" coordsize="9274,20" path="m5232,351l5227,351,5213,351,3874,351,3869,351,3854,351,1411,351,1411,370,3854,370,3869,370,3874,370,5213,370,5227,370,5232,370,5232,351xm9576,351l9571,351,9557,351,8458,351,8453,351,8438,351,7344,351,7339,351,7325,351,6226,351,6221,351,6206,351,5232,351,5232,370,6206,370,6221,370,6226,370,7325,370,7339,370,7344,370,8438,370,8453,370,8458,370,9557,370,9571,370,9576,370,9576,351xm10685,351l9576,351,9576,370,10685,370,10685,35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</w:rPr>
      </w:pPr>
    </w:p>
    <w:p>
      <w:pPr>
        <w:pStyle w:val="BodyText"/>
        <w:spacing w:line="355" w:lineRule="auto"/>
        <w:ind w:left="820" w:right="1433"/>
      </w:pPr>
      <w:r>
        <w:rPr/>
        <w:t>Since</w:t>
      </w:r>
      <w:r>
        <w:rPr>
          <w:spacing w:val="30"/>
        </w:rPr>
        <w:t> </w:t>
      </w:r>
      <w:r>
        <w:rPr/>
        <w:t>F</w:t>
      </w:r>
      <w:r>
        <w:rPr>
          <w:spacing w:val="29"/>
        </w:rPr>
        <w:t> </w:t>
      </w:r>
      <w:r>
        <w:rPr/>
        <w:t>(1.48)</w:t>
      </w:r>
      <w:r>
        <w:rPr>
          <w:spacing w:val="34"/>
        </w:rPr>
        <w:t> </w:t>
      </w:r>
      <w:r>
        <w:rPr/>
        <w:t>is</w:t>
      </w:r>
      <w:r>
        <w:rPr>
          <w:spacing w:val="35"/>
        </w:rPr>
        <w:t> </w:t>
      </w:r>
      <w:r>
        <w:rPr/>
        <w:t>less</w:t>
      </w:r>
      <w:r>
        <w:rPr>
          <w:spacing w:val="26"/>
        </w:rPr>
        <w:t> </w:t>
      </w:r>
      <w:r>
        <w:rPr/>
        <w:t>than</w:t>
      </w:r>
      <w:r>
        <w:rPr>
          <w:spacing w:val="31"/>
        </w:rPr>
        <w:t> </w:t>
      </w:r>
      <w:r>
        <w:rPr/>
        <w:t>F</w:t>
      </w:r>
      <w:r>
        <w:rPr>
          <w:spacing w:val="24"/>
        </w:rPr>
        <w:t> </w:t>
      </w:r>
      <w:r>
        <w:rPr/>
        <w:t>Critical</w:t>
      </w:r>
      <w:r>
        <w:rPr>
          <w:spacing w:val="25"/>
        </w:rPr>
        <w:t> </w:t>
      </w:r>
      <w:r>
        <w:rPr/>
        <w:t>(3.06);</w:t>
      </w:r>
      <w:r>
        <w:rPr>
          <w:spacing w:val="32"/>
        </w:rPr>
        <w:t> </w:t>
      </w:r>
      <w:r>
        <w:rPr/>
        <w:t>it</w:t>
      </w:r>
      <w:r>
        <w:rPr>
          <w:spacing w:val="38"/>
        </w:rPr>
        <w:t> </w:t>
      </w:r>
      <w:r>
        <w:rPr/>
        <w:t>implies</w:t>
      </w:r>
      <w:r>
        <w:rPr>
          <w:spacing w:val="30"/>
        </w:rPr>
        <w:t> </w:t>
      </w:r>
      <w:r>
        <w:rPr/>
        <w:t>that</w:t>
      </w:r>
      <w:r>
        <w:rPr>
          <w:spacing w:val="32"/>
        </w:rPr>
        <w:t> </w:t>
      </w:r>
      <w:r>
        <w:rPr/>
        <w:t>there</w:t>
      </w:r>
      <w:r>
        <w:rPr>
          <w:spacing w:val="32"/>
        </w:rPr>
        <w:t> </w:t>
      </w:r>
      <w:r>
        <w:rPr/>
        <w:t>is</w:t>
      </w:r>
      <w:r>
        <w:rPr>
          <w:spacing w:val="30"/>
        </w:rPr>
        <w:t> </w:t>
      </w:r>
      <w:r>
        <w:rPr/>
        <w:t>no</w:t>
      </w:r>
      <w:r>
        <w:rPr>
          <w:spacing w:val="32"/>
        </w:rPr>
        <w:t> </w:t>
      </w:r>
      <w:r>
        <w:rPr/>
        <w:t>statistically</w:t>
      </w:r>
      <w:r>
        <w:rPr>
          <w:spacing w:val="23"/>
        </w:rPr>
        <w:t> </w:t>
      </w:r>
      <w:r>
        <w:rPr/>
        <w:t>significant</w:t>
      </w:r>
      <w:r>
        <w:rPr>
          <w:spacing w:val="-57"/>
        </w:rPr>
        <w:t> </w:t>
      </w:r>
      <w:r>
        <w:rPr/>
        <w:t>difference</w:t>
      </w:r>
      <w:r>
        <w:rPr>
          <w:spacing w:val="-1"/>
        </w:rPr>
        <w:t> </w:t>
      </w:r>
      <w:r>
        <w:rPr/>
        <w:t>between</w:t>
      </w:r>
      <w:r>
        <w:rPr>
          <w:spacing w:val="-4"/>
        </w:rPr>
        <w:t> </w:t>
      </w:r>
      <w:r>
        <w:rPr/>
        <w:t>plasma</w:t>
      </w:r>
      <w:r>
        <w:rPr>
          <w:spacing w:val="-1"/>
        </w:rPr>
        <w:t> </w:t>
      </w:r>
      <w:r>
        <w:rPr/>
        <w:t>zinc</w:t>
      </w:r>
      <w:r>
        <w:rPr>
          <w:spacing w:val="4"/>
        </w:rPr>
        <w:t> </w:t>
      </w:r>
      <w:r>
        <w:rPr/>
        <w:t>levels</w:t>
      </w:r>
      <w:r>
        <w:rPr>
          <w:spacing w:val="4"/>
        </w:rPr>
        <w:t> </w:t>
      </w:r>
      <w:r>
        <w:rPr/>
        <w:t>in</w:t>
      </w:r>
      <w:r>
        <w:rPr>
          <w:spacing w:val="-5"/>
        </w:rPr>
        <w:t> </w:t>
      </w:r>
      <w:r>
        <w:rPr/>
        <w:t>SCD</w:t>
      </w:r>
      <w:r>
        <w:rPr>
          <w:spacing w:val="1"/>
        </w:rPr>
        <w:t> </w:t>
      </w:r>
      <w:r>
        <w:rPr/>
        <w:t>patients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HbAA individuals.</w:t>
      </w:r>
    </w:p>
    <w:p>
      <w:pPr>
        <w:spacing w:after="0" w:line="355" w:lineRule="auto"/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jc w:val="left"/>
      </w:pPr>
      <w:r>
        <w:rPr/>
        <w:t>APPENDIX</w:t>
      </w:r>
      <w:r>
        <w:rPr>
          <w:spacing w:val="-3"/>
        </w:rPr>
        <w:t> </w:t>
      </w:r>
      <w:r>
        <w:rPr/>
        <w:t>XX:</w:t>
      </w:r>
      <w:r>
        <w:rPr>
          <w:spacing w:val="-1"/>
        </w:rPr>
        <w:t> </w:t>
      </w:r>
      <w:r>
        <w:rPr/>
        <w:t>ANOVA:</w:t>
      </w:r>
      <w:r>
        <w:rPr>
          <w:spacing w:val="-2"/>
        </w:rPr>
        <w:t> </w:t>
      </w:r>
      <w:r>
        <w:rPr/>
        <w:t>Single</w:t>
      </w:r>
      <w:r>
        <w:rPr>
          <w:spacing w:val="-3"/>
        </w:rPr>
        <w:t> </w:t>
      </w:r>
      <w:r>
        <w:rPr/>
        <w:t>Factor:</w:t>
      </w:r>
      <w:r>
        <w:rPr>
          <w:spacing w:val="-2"/>
        </w:rPr>
        <w:t> </w:t>
      </w:r>
      <w:r>
        <w:rPr/>
        <w:t>Plasma</w:t>
      </w:r>
      <w:r>
        <w:rPr>
          <w:spacing w:val="-2"/>
        </w:rPr>
        <w:t> </w:t>
      </w:r>
      <w:r>
        <w:rPr/>
        <w:t>Copper</w:t>
      </w:r>
      <w:r>
        <w:rPr>
          <w:spacing w:val="-8"/>
        </w:rPr>
        <w:t> </w:t>
      </w:r>
      <w:r>
        <w:rPr/>
        <w:t>Levels</w:t>
      </w:r>
      <w:r>
        <w:rPr>
          <w:spacing w:val="-4"/>
        </w:rPr>
        <w:t> </w:t>
      </w:r>
      <w:r>
        <w:rPr/>
        <w:t>(µg/dL)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all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Groups</w:t>
      </w:r>
    </w:p>
    <w:p>
      <w:pPr>
        <w:pStyle w:val="BodyText"/>
        <w:spacing w:before="10"/>
        <w:rPr>
          <w:b/>
          <w:sz w:val="29"/>
        </w:rPr>
      </w:pPr>
    </w:p>
    <w:tbl>
      <w:tblPr>
        <w:tblW w:w="0" w:type="auto"/>
        <w:jc w:val="left"/>
        <w:tblInd w:w="8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2"/>
        <w:gridCol w:w="1343"/>
        <w:gridCol w:w="996"/>
        <w:gridCol w:w="1026"/>
        <w:gridCol w:w="1085"/>
        <w:gridCol w:w="956"/>
        <w:gridCol w:w="1104"/>
      </w:tblGrid>
      <w:tr>
        <w:trPr>
          <w:trHeight w:val="616" w:hRule="atLeast"/>
        </w:trPr>
        <w:tc>
          <w:tcPr>
            <w:tcW w:w="22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SUMMARY</w:t>
            </w:r>
          </w:p>
        </w:tc>
        <w:tc>
          <w:tcPr>
            <w:tcW w:w="134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3" w:hRule="atLeast"/>
        </w:trPr>
        <w:tc>
          <w:tcPr>
            <w:tcW w:w="221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Groups</w:t>
            </w:r>
          </w:p>
        </w:tc>
        <w:tc>
          <w:tcPr>
            <w:tcW w:w="1343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216"/>
              <w:rPr>
                <w:sz w:val="24"/>
              </w:rPr>
            </w:pPr>
            <w:r>
              <w:rPr>
                <w:sz w:val="24"/>
              </w:rPr>
              <w:t>Count</w:t>
            </w:r>
          </w:p>
        </w:tc>
        <w:tc>
          <w:tcPr>
            <w:tcW w:w="99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Sum</w:t>
            </w:r>
          </w:p>
        </w:tc>
        <w:tc>
          <w:tcPr>
            <w:tcW w:w="102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Average</w:t>
            </w:r>
          </w:p>
        </w:tc>
        <w:tc>
          <w:tcPr>
            <w:tcW w:w="1085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Variance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7" w:hRule="atLeast"/>
        </w:trPr>
        <w:tc>
          <w:tcPr>
            <w:tcW w:w="22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Crises</w:t>
            </w:r>
          </w:p>
        </w:tc>
        <w:tc>
          <w:tcPr>
            <w:tcW w:w="13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216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4247.60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94.39</w:t>
            </w:r>
          </w:p>
        </w:tc>
        <w:tc>
          <w:tcPr>
            <w:tcW w:w="10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694.13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2212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HbAA</w:t>
            </w:r>
          </w:p>
        </w:tc>
        <w:tc>
          <w:tcPr>
            <w:tcW w:w="1343" w:type="dxa"/>
          </w:tcPr>
          <w:p>
            <w:pPr>
              <w:pStyle w:val="TableParagraph"/>
              <w:spacing w:before="164"/>
              <w:ind w:left="216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996" w:type="dxa"/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3707.50</w:t>
            </w:r>
          </w:p>
        </w:tc>
        <w:tc>
          <w:tcPr>
            <w:tcW w:w="1026" w:type="dxa"/>
          </w:tcPr>
          <w:p>
            <w:pPr>
              <w:pStyle w:val="TableParagraph"/>
              <w:spacing w:before="164"/>
              <w:ind w:left="109"/>
              <w:rPr>
                <w:sz w:val="24"/>
              </w:rPr>
            </w:pPr>
            <w:r>
              <w:rPr>
                <w:sz w:val="24"/>
              </w:rPr>
              <w:t>82.38</w:t>
            </w:r>
          </w:p>
        </w:tc>
        <w:tc>
          <w:tcPr>
            <w:tcW w:w="1085" w:type="dxa"/>
          </w:tcPr>
          <w:p>
            <w:pPr>
              <w:pStyle w:val="TableParagraph"/>
              <w:spacing w:before="164"/>
              <w:ind w:left="111"/>
              <w:rPr>
                <w:sz w:val="24"/>
              </w:rPr>
            </w:pPr>
            <w:r>
              <w:rPr>
                <w:sz w:val="24"/>
              </w:rPr>
              <w:t>770.97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90" w:hRule="atLeast"/>
        </w:trPr>
        <w:tc>
          <w:tcPr>
            <w:tcW w:w="22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Steady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134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216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99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4056.90</w:t>
            </w:r>
          </w:p>
        </w:tc>
        <w:tc>
          <w:tcPr>
            <w:tcW w:w="10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109"/>
              <w:rPr>
                <w:sz w:val="24"/>
              </w:rPr>
            </w:pPr>
            <w:r>
              <w:rPr>
                <w:sz w:val="24"/>
              </w:rPr>
              <w:t>90.15</w:t>
            </w:r>
          </w:p>
        </w:tc>
        <w:tc>
          <w:tcPr>
            <w:tcW w:w="10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111"/>
              <w:rPr>
                <w:sz w:val="24"/>
              </w:rPr>
            </w:pPr>
            <w:r>
              <w:rPr>
                <w:sz w:val="24"/>
              </w:rPr>
              <w:t>886.80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13" w:hRule="atLeast"/>
        </w:trPr>
        <w:tc>
          <w:tcPr>
            <w:tcW w:w="221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ANOVA</w:t>
            </w:r>
          </w:p>
        </w:tc>
        <w:tc>
          <w:tcPr>
            <w:tcW w:w="134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3" w:hRule="atLeast"/>
        </w:trPr>
        <w:tc>
          <w:tcPr>
            <w:tcW w:w="221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Variation</w:t>
            </w:r>
          </w:p>
        </w:tc>
        <w:tc>
          <w:tcPr>
            <w:tcW w:w="1343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216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99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02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  <w:tc>
          <w:tcPr>
            <w:tcW w:w="1085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5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110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critical</w:t>
            </w:r>
          </w:p>
        </w:tc>
      </w:tr>
      <w:tr>
        <w:trPr>
          <w:trHeight w:val="437" w:hRule="atLeast"/>
        </w:trPr>
        <w:tc>
          <w:tcPr>
            <w:tcW w:w="22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3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216"/>
              <w:rPr>
                <w:sz w:val="24"/>
              </w:rPr>
            </w:pPr>
            <w:r>
              <w:rPr>
                <w:sz w:val="24"/>
              </w:rPr>
              <w:t>3334.48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1667.24</w:t>
            </w:r>
          </w:p>
        </w:tc>
        <w:tc>
          <w:tcPr>
            <w:tcW w:w="10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2.13</w:t>
            </w:r>
          </w:p>
        </w:tc>
        <w:tc>
          <w:tcPr>
            <w:tcW w:w="9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11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3.06</w:t>
            </w:r>
          </w:p>
        </w:tc>
      </w:tr>
      <w:tr>
        <w:trPr>
          <w:trHeight w:val="763" w:hRule="atLeast"/>
        </w:trPr>
        <w:tc>
          <w:tcPr>
            <w:tcW w:w="2212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343" w:type="dxa"/>
          </w:tcPr>
          <w:p>
            <w:pPr>
              <w:pStyle w:val="TableParagraph"/>
              <w:spacing w:before="164"/>
              <w:ind w:left="216"/>
              <w:rPr>
                <w:sz w:val="24"/>
              </w:rPr>
            </w:pPr>
            <w:r>
              <w:rPr>
                <w:sz w:val="24"/>
              </w:rPr>
              <w:t>103483.60</w:t>
            </w:r>
          </w:p>
        </w:tc>
        <w:tc>
          <w:tcPr>
            <w:tcW w:w="996" w:type="dxa"/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132.00</w:t>
            </w:r>
          </w:p>
        </w:tc>
        <w:tc>
          <w:tcPr>
            <w:tcW w:w="1026" w:type="dxa"/>
          </w:tcPr>
          <w:p>
            <w:pPr>
              <w:pStyle w:val="TableParagraph"/>
              <w:spacing w:before="164"/>
              <w:ind w:left="109"/>
              <w:rPr>
                <w:sz w:val="24"/>
              </w:rPr>
            </w:pPr>
            <w:r>
              <w:rPr>
                <w:sz w:val="24"/>
              </w:rPr>
              <w:t>783.97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8" w:hRule="atLeast"/>
        </w:trPr>
        <w:tc>
          <w:tcPr>
            <w:tcW w:w="2212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343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106818.00</w:t>
            </w:r>
          </w:p>
        </w:tc>
        <w:tc>
          <w:tcPr>
            <w:tcW w:w="996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134.00</w:t>
            </w:r>
          </w:p>
        </w:tc>
        <w:tc>
          <w:tcPr>
            <w:tcW w:w="10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1"/>
        <w:rPr>
          <w:b/>
          <w:sz w:val="27"/>
        </w:rPr>
      </w:pPr>
      <w:r>
        <w:rPr/>
        <w:pict>
          <v:shape style="position:absolute;margin-left:70.560005pt;margin-top:17.565281pt;width:436.8pt;height:1pt;mso-position-horizontal-relative:page;mso-position-vertical-relative:paragraph;z-index:-15677440;mso-wrap-distance-left:0;mso-wrap-distance-right:0" coordorigin="1411,351" coordsize="8736,20" path="m5981,351l5976,351,5962,351,4987,351,4982,351,4968,351,3749,351,3744,351,3730,351,1411,351,1411,370,3730,370,3744,370,3749,370,4968,370,4982,370,4987,370,5962,370,5976,370,5981,370,5981,351xm10147,351l9053,351,9048,351,9034,351,8093,351,8088,351,8074,351,7013,351,7008,351,6994,351,5981,351,5981,370,6994,370,7008,370,7013,370,8074,370,8088,370,8093,370,9034,370,9048,370,9053,370,10147,370,10147,35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</w:rPr>
      </w:pPr>
    </w:p>
    <w:p>
      <w:pPr>
        <w:pStyle w:val="BodyText"/>
        <w:spacing w:line="355" w:lineRule="auto"/>
        <w:ind w:left="820" w:right="1433"/>
      </w:pPr>
      <w:r>
        <w:rPr/>
        <w:t>Since</w:t>
      </w:r>
      <w:r>
        <w:rPr>
          <w:spacing w:val="30"/>
        </w:rPr>
        <w:t> </w:t>
      </w:r>
      <w:r>
        <w:rPr/>
        <w:t>F</w:t>
      </w:r>
      <w:r>
        <w:rPr>
          <w:spacing w:val="29"/>
        </w:rPr>
        <w:t> </w:t>
      </w:r>
      <w:r>
        <w:rPr/>
        <w:t>(2.13)</w:t>
      </w:r>
      <w:r>
        <w:rPr>
          <w:spacing w:val="34"/>
        </w:rPr>
        <w:t> </w:t>
      </w:r>
      <w:r>
        <w:rPr/>
        <w:t>is</w:t>
      </w:r>
      <w:r>
        <w:rPr>
          <w:spacing w:val="35"/>
        </w:rPr>
        <w:t> </w:t>
      </w:r>
      <w:r>
        <w:rPr/>
        <w:t>less</w:t>
      </w:r>
      <w:r>
        <w:rPr>
          <w:spacing w:val="26"/>
        </w:rPr>
        <w:t> </w:t>
      </w:r>
      <w:r>
        <w:rPr/>
        <w:t>than</w:t>
      </w:r>
      <w:r>
        <w:rPr>
          <w:spacing w:val="31"/>
        </w:rPr>
        <w:t> </w:t>
      </w:r>
      <w:r>
        <w:rPr/>
        <w:t>F</w:t>
      </w:r>
      <w:r>
        <w:rPr>
          <w:spacing w:val="24"/>
        </w:rPr>
        <w:t> </w:t>
      </w:r>
      <w:r>
        <w:rPr/>
        <w:t>Critical</w:t>
      </w:r>
      <w:r>
        <w:rPr>
          <w:spacing w:val="25"/>
        </w:rPr>
        <w:t> </w:t>
      </w:r>
      <w:r>
        <w:rPr/>
        <w:t>(3.06);</w:t>
      </w:r>
      <w:r>
        <w:rPr>
          <w:spacing w:val="32"/>
        </w:rPr>
        <w:t> </w:t>
      </w:r>
      <w:r>
        <w:rPr/>
        <w:t>it</w:t>
      </w:r>
      <w:r>
        <w:rPr>
          <w:spacing w:val="38"/>
        </w:rPr>
        <w:t> </w:t>
      </w:r>
      <w:r>
        <w:rPr/>
        <w:t>implies</w:t>
      </w:r>
      <w:r>
        <w:rPr>
          <w:spacing w:val="30"/>
        </w:rPr>
        <w:t> </w:t>
      </w:r>
      <w:r>
        <w:rPr/>
        <w:t>that</w:t>
      </w:r>
      <w:r>
        <w:rPr>
          <w:spacing w:val="32"/>
        </w:rPr>
        <w:t> </w:t>
      </w:r>
      <w:r>
        <w:rPr/>
        <w:t>there</w:t>
      </w:r>
      <w:r>
        <w:rPr>
          <w:spacing w:val="32"/>
        </w:rPr>
        <w:t> </w:t>
      </w:r>
      <w:r>
        <w:rPr/>
        <w:t>is</w:t>
      </w:r>
      <w:r>
        <w:rPr>
          <w:spacing w:val="30"/>
        </w:rPr>
        <w:t> </w:t>
      </w:r>
      <w:r>
        <w:rPr/>
        <w:t>no</w:t>
      </w:r>
      <w:r>
        <w:rPr>
          <w:spacing w:val="32"/>
        </w:rPr>
        <w:t> </w:t>
      </w:r>
      <w:r>
        <w:rPr/>
        <w:t>statistically</w:t>
      </w:r>
      <w:r>
        <w:rPr>
          <w:spacing w:val="23"/>
        </w:rPr>
        <w:t> </w:t>
      </w:r>
      <w:r>
        <w:rPr/>
        <w:t>significant</w:t>
      </w:r>
      <w:r>
        <w:rPr>
          <w:spacing w:val="-57"/>
        </w:rPr>
        <w:t> </w:t>
      </w:r>
      <w:r>
        <w:rPr/>
        <w:t>difference</w:t>
      </w:r>
      <w:r>
        <w:rPr>
          <w:spacing w:val="-1"/>
        </w:rPr>
        <w:t> </w:t>
      </w:r>
      <w:r>
        <w:rPr/>
        <w:t>between</w:t>
      </w:r>
      <w:r>
        <w:rPr>
          <w:spacing w:val="-4"/>
        </w:rPr>
        <w:t> </w:t>
      </w:r>
      <w:r>
        <w:rPr/>
        <w:t>plasma</w:t>
      </w:r>
      <w:r>
        <w:rPr>
          <w:spacing w:val="-1"/>
        </w:rPr>
        <w:t> </w:t>
      </w:r>
      <w:r>
        <w:rPr/>
        <w:t>copper</w:t>
      </w:r>
      <w:r>
        <w:rPr>
          <w:spacing w:val="4"/>
        </w:rPr>
        <w:t> </w:t>
      </w:r>
      <w:r>
        <w:rPr/>
        <w:t>levels</w:t>
      </w:r>
      <w:r>
        <w:rPr>
          <w:spacing w:val="4"/>
        </w:rPr>
        <w:t> </w:t>
      </w:r>
      <w:r>
        <w:rPr/>
        <w:t>in</w:t>
      </w:r>
      <w:r>
        <w:rPr>
          <w:spacing w:val="-5"/>
        </w:rPr>
        <w:t> </w:t>
      </w:r>
      <w:r>
        <w:rPr/>
        <w:t>SCD</w:t>
      </w:r>
      <w:r>
        <w:rPr>
          <w:spacing w:val="1"/>
        </w:rPr>
        <w:t> </w:t>
      </w:r>
      <w:r>
        <w:rPr/>
        <w:t>patients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HbAA individuals.</w:t>
      </w:r>
    </w:p>
    <w:p>
      <w:pPr>
        <w:spacing w:after="0" w:line="355" w:lineRule="auto"/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jc w:val="left"/>
      </w:pPr>
      <w:r>
        <w:rPr/>
        <w:t>APPENDIX</w:t>
      </w:r>
      <w:r>
        <w:rPr>
          <w:spacing w:val="-4"/>
        </w:rPr>
        <w:t> </w:t>
      </w:r>
      <w:r>
        <w:rPr/>
        <w:t>XXI:</w:t>
      </w:r>
      <w:r>
        <w:rPr>
          <w:spacing w:val="-2"/>
        </w:rPr>
        <w:t> </w:t>
      </w:r>
      <w:r>
        <w:rPr/>
        <w:t>ANOVA:</w:t>
      </w:r>
      <w:r>
        <w:rPr>
          <w:spacing w:val="-2"/>
        </w:rPr>
        <w:t> </w:t>
      </w:r>
      <w:r>
        <w:rPr/>
        <w:t>Single</w:t>
      </w:r>
      <w:r>
        <w:rPr>
          <w:spacing w:val="-4"/>
        </w:rPr>
        <w:t> </w:t>
      </w:r>
      <w:r>
        <w:rPr/>
        <w:t>Factor:</w:t>
      </w:r>
      <w:r>
        <w:rPr>
          <w:spacing w:val="-3"/>
        </w:rPr>
        <w:t> </w:t>
      </w:r>
      <w:r>
        <w:rPr/>
        <w:t>Plasma</w:t>
      </w:r>
      <w:r>
        <w:rPr>
          <w:spacing w:val="-3"/>
        </w:rPr>
        <w:t> </w:t>
      </w:r>
      <w:r>
        <w:rPr/>
        <w:t>Iron</w:t>
      </w:r>
      <w:r>
        <w:rPr>
          <w:spacing w:val="-2"/>
        </w:rPr>
        <w:t> </w:t>
      </w:r>
      <w:r>
        <w:rPr/>
        <w:t>Levels</w:t>
      </w:r>
      <w:r>
        <w:rPr>
          <w:spacing w:val="-5"/>
        </w:rPr>
        <w:t> </w:t>
      </w:r>
      <w:r>
        <w:rPr/>
        <w:t>(µmol/dL)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all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Groups</w:t>
      </w:r>
    </w:p>
    <w:p>
      <w:pPr>
        <w:pStyle w:val="BodyText"/>
        <w:spacing w:before="10"/>
        <w:rPr>
          <w:b/>
          <w:sz w:val="29"/>
        </w:rPr>
      </w:pPr>
    </w:p>
    <w:tbl>
      <w:tblPr>
        <w:tblW w:w="0" w:type="auto"/>
        <w:jc w:val="left"/>
        <w:tblInd w:w="8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8"/>
        <w:gridCol w:w="1152"/>
        <w:gridCol w:w="920"/>
        <w:gridCol w:w="1113"/>
        <w:gridCol w:w="1165"/>
        <w:gridCol w:w="1029"/>
        <w:gridCol w:w="1206"/>
      </w:tblGrid>
      <w:tr>
        <w:trPr>
          <w:trHeight w:val="616" w:hRule="atLeast"/>
        </w:trPr>
        <w:tc>
          <w:tcPr>
            <w:tcW w:w="21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SUMMARY</w:t>
            </w:r>
          </w:p>
        </w:tc>
        <w:tc>
          <w:tcPr>
            <w:tcW w:w="115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3" w:hRule="atLeast"/>
        </w:trPr>
        <w:tc>
          <w:tcPr>
            <w:tcW w:w="2138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Groups</w:t>
            </w:r>
          </w:p>
        </w:tc>
        <w:tc>
          <w:tcPr>
            <w:tcW w:w="115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41"/>
              <w:rPr>
                <w:sz w:val="24"/>
              </w:rPr>
            </w:pPr>
            <w:r>
              <w:rPr>
                <w:sz w:val="24"/>
              </w:rPr>
              <w:t>Count</w:t>
            </w:r>
          </w:p>
        </w:tc>
        <w:tc>
          <w:tcPr>
            <w:tcW w:w="920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Sum</w:t>
            </w:r>
          </w:p>
        </w:tc>
        <w:tc>
          <w:tcPr>
            <w:tcW w:w="1113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Average</w:t>
            </w:r>
          </w:p>
        </w:tc>
        <w:tc>
          <w:tcPr>
            <w:tcW w:w="1165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53"/>
              <w:rPr>
                <w:sz w:val="24"/>
              </w:rPr>
            </w:pPr>
            <w:r>
              <w:rPr>
                <w:sz w:val="24"/>
              </w:rPr>
              <w:t>Variance</w:t>
            </w:r>
          </w:p>
        </w:tc>
        <w:tc>
          <w:tcPr>
            <w:tcW w:w="10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7" w:hRule="atLeast"/>
        </w:trPr>
        <w:tc>
          <w:tcPr>
            <w:tcW w:w="21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Crises</w:t>
            </w:r>
          </w:p>
        </w:tc>
        <w:tc>
          <w:tcPr>
            <w:tcW w:w="11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41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9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859.20</w:t>
            </w:r>
          </w:p>
        </w:tc>
        <w:tc>
          <w:tcPr>
            <w:tcW w:w="11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19.09</w:t>
            </w:r>
          </w:p>
        </w:tc>
        <w:tc>
          <w:tcPr>
            <w:tcW w:w="11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53"/>
              <w:rPr>
                <w:sz w:val="24"/>
              </w:rPr>
            </w:pPr>
            <w:r>
              <w:rPr>
                <w:sz w:val="24"/>
              </w:rPr>
              <w:t>161.44</w:t>
            </w:r>
          </w:p>
        </w:tc>
        <w:tc>
          <w:tcPr>
            <w:tcW w:w="10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2138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HbAA</w:t>
            </w:r>
          </w:p>
        </w:tc>
        <w:tc>
          <w:tcPr>
            <w:tcW w:w="1152" w:type="dxa"/>
          </w:tcPr>
          <w:p>
            <w:pPr>
              <w:pStyle w:val="TableParagraph"/>
              <w:spacing w:before="164"/>
              <w:ind w:left="141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920" w:type="dxa"/>
          </w:tcPr>
          <w:p>
            <w:pPr>
              <w:pStyle w:val="TableParagraph"/>
              <w:spacing w:before="164"/>
              <w:ind w:left="108"/>
              <w:rPr>
                <w:sz w:val="24"/>
              </w:rPr>
            </w:pPr>
            <w:r>
              <w:rPr>
                <w:sz w:val="24"/>
              </w:rPr>
              <w:t>636.70</w:t>
            </w:r>
          </w:p>
        </w:tc>
        <w:tc>
          <w:tcPr>
            <w:tcW w:w="1113" w:type="dxa"/>
          </w:tcPr>
          <w:p>
            <w:pPr>
              <w:pStyle w:val="TableParagraph"/>
              <w:spacing w:before="164"/>
              <w:ind w:left="148"/>
              <w:rPr>
                <w:sz w:val="24"/>
              </w:rPr>
            </w:pPr>
            <w:r>
              <w:rPr>
                <w:sz w:val="24"/>
              </w:rPr>
              <w:t>14.15</w:t>
            </w:r>
          </w:p>
        </w:tc>
        <w:tc>
          <w:tcPr>
            <w:tcW w:w="1165" w:type="dxa"/>
          </w:tcPr>
          <w:p>
            <w:pPr>
              <w:pStyle w:val="TableParagraph"/>
              <w:spacing w:before="164"/>
              <w:ind w:left="153"/>
              <w:rPr>
                <w:sz w:val="24"/>
              </w:rPr>
            </w:pPr>
            <w:r>
              <w:rPr>
                <w:sz w:val="24"/>
              </w:rPr>
              <w:t>24.05</w:t>
            </w:r>
          </w:p>
        </w:tc>
        <w:tc>
          <w:tcPr>
            <w:tcW w:w="10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90" w:hRule="atLeast"/>
        </w:trPr>
        <w:tc>
          <w:tcPr>
            <w:tcW w:w="21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Steady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115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141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9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108"/>
              <w:rPr>
                <w:sz w:val="24"/>
              </w:rPr>
            </w:pPr>
            <w:r>
              <w:rPr>
                <w:sz w:val="24"/>
              </w:rPr>
              <w:t>792.10</w:t>
            </w:r>
          </w:p>
        </w:tc>
        <w:tc>
          <w:tcPr>
            <w:tcW w:w="111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148"/>
              <w:rPr>
                <w:sz w:val="24"/>
              </w:rPr>
            </w:pPr>
            <w:r>
              <w:rPr>
                <w:sz w:val="24"/>
              </w:rPr>
              <w:t>17.60</w:t>
            </w:r>
          </w:p>
        </w:tc>
        <w:tc>
          <w:tcPr>
            <w:tcW w:w="11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4"/>
              <w:ind w:left="153"/>
              <w:rPr>
                <w:sz w:val="24"/>
              </w:rPr>
            </w:pPr>
            <w:r>
              <w:rPr>
                <w:sz w:val="24"/>
              </w:rPr>
              <w:t>49.69</w:t>
            </w:r>
          </w:p>
        </w:tc>
        <w:tc>
          <w:tcPr>
            <w:tcW w:w="10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13" w:hRule="atLeast"/>
        </w:trPr>
        <w:tc>
          <w:tcPr>
            <w:tcW w:w="21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ANOVA</w:t>
            </w:r>
          </w:p>
        </w:tc>
        <w:tc>
          <w:tcPr>
            <w:tcW w:w="115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3" w:hRule="atLeast"/>
        </w:trPr>
        <w:tc>
          <w:tcPr>
            <w:tcW w:w="2138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Variation</w:t>
            </w:r>
          </w:p>
        </w:tc>
        <w:tc>
          <w:tcPr>
            <w:tcW w:w="115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41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920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113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  <w:tc>
          <w:tcPr>
            <w:tcW w:w="1165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53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29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2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120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87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critical</w:t>
            </w:r>
          </w:p>
        </w:tc>
      </w:tr>
      <w:tr>
        <w:trPr>
          <w:trHeight w:val="437" w:hRule="atLeast"/>
        </w:trPr>
        <w:tc>
          <w:tcPr>
            <w:tcW w:w="21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1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41"/>
              <w:rPr>
                <w:sz w:val="24"/>
              </w:rPr>
            </w:pPr>
            <w:r>
              <w:rPr>
                <w:sz w:val="24"/>
              </w:rPr>
              <w:t>578.95</w:t>
            </w:r>
          </w:p>
        </w:tc>
        <w:tc>
          <w:tcPr>
            <w:tcW w:w="9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1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289.47</w:t>
            </w:r>
          </w:p>
        </w:tc>
        <w:tc>
          <w:tcPr>
            <w:tcW w:w="11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53"/>
              <w:rPr>
                <w:sz w:val="24"/>
              </w:rPr>
            </w:pPr>
            <w:r>
              <w:rPr>
                <w:sz w:val="24"/>
              </w:rPr>
              <w:t>3.69</w:t>
            </w:r>
          </w:p>
        </w:tc>
        <w:tc>
          <w:tcPr>
            <w:tcW w:w="10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2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87"/>
              <w:rPr>
                <w:sz w:val="24"/>
              </w:rPr>
            </w:pPr>
            <w:r>
              <w:rPr>
                <w:sz w:val="24"/>
              </w:rPr>
              <w:t>3.06</w:t>
            </w:r>
          </w:p>
        </w:tc>
      </w:tr>
      <w:tr>
        <w:trPr>
          <w:trHeight w:val="763" w:hRule="atLeast"/>
        </w:trPr>
        <w:tc>
          <w:tcPr>
            <w:tcW w:w="2138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152" w:type="dxa"/>
          </w:tcPr>
          <w:p>
            <w:pPr>
              <w:pStyle w:val="TableParagraph"/>
              <w:spacing w:before="164"/>
              <w:ind w:left="141"/>
              <w:rPr>
                <w:sz w:val="24"/>
              </w:rPr>
            </w:pPr>
            <w:r>
              <w:rPr>
                <w:sz w:val="24"/>
              </w:rPr>
              <w:t>10348.43</w:t>
            </w:r>
          </w:p>
        </w:tc>
        <w:tc>
          <w:tcPr>
            <w:tcW w:w="920" w:type="dxa"/>
          </w:tcPr>
          <w:p>
            <w:pPr>
              <w:pStyle w:val="TableParagraph"/>
              <w:spacing w:before="164"/>
              <w:ind w:left="108"/>
              <w:rPr>
                <w:sz w:val="24"/>
              </w:rPr>
            </w:pPr>
            <w:r>
              <w:rPr>
                <w:sz w:val="24"/>
              </w:rPr>
              <w:t>132.00</w:t>
            </w:r>
          </w:p>
        </w:tc>
        <w:tc>
          <w:tcPr>
            <w:tcW w:w="1113" w:type="dxa"/>
          </w:tcPr>
          <w:p>
            <w:pPr>
              <w:pStyle w:val="TableParagraph"/>
              <w:spacing w:before="164"/>
              <w:ind w:left="148"/>
              <w:rPr>
                <w:sz w:val="24"/>
              </w:rPr>
            </w:pPr>
            <w:r>
              <w:rPr>
                <w:sz w:val="24"/>
              </w:rPr>
              <w:t>78.39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8" w:hRule="atLeast"/>
        </w:trPr>
        <w:tc>
          <w:tcPr>
            <w:tcW w:w="2138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52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10927.38</w:t>
            </w:r>
          </w:p>
        </w:tc>
        <w:tc>
          <w:tcPr>
            <w:tcW w:w="920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134.00</w:t>
            </w:r>
          </w:p>
        </w:tc>
        <w:tc>
          <w:tcPr>
            <w:tcW w:w="11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6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1"/>
        <w:rPr>
          <w:b/>
          <w:sz w:val="27"/>
        </w:rPr>
      </w:pPr>
      <w:r>
        <w:rPr/>
        <w:pict>
          <v:shape style="position:absolute;margin-left:70.560005pt;margin-top:17.565281pt;width:436.6pt;height:1pt;mso-position-horizontal-relative:page;mso-position-vertical-relative:paragraph;z-index:-15676928;mso-wrap-distance-left:0;mso-wrap-distance-right:0" coordorigin="1411,351" coordsize="8732,20" path="m5683,351l5678,351,5664,351,4723,351,4718,351,4704,351,3605,351,3600,351,3586,351,1411,351,1411,370,3586,370,3600,370,3605,370,4704,370,4718,370,4723,370,5664,370,5678,370,5683,370,5683,351xm10142,351l9029,351,9024,351,9010,351,7915,351,7910,351,7896,351,6797,351,6792,351,6778,351,5683,351,5683,370,6778,370,6792,370,6797,370,7896,370,7910,370,7915,370,9010,370,9024,370,9029,370,10142,370,10142,35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</w:rPr>
      </w:pPr>
    </w:p>
    <w:p>
      <w:pPr>
        <w:pStyle w:val="BodyText"/>
        <w:spacing w:line="355" w:lineRule="auto"/>
        <w:ind w:left="820" w:right="1433"/>
      </w:pPr>
      <w:r>
        <w:rPr/>
        <w:t>Since</w:t>
      </w:r>
      <w:r>
        <w:rPr>
          <w:spacing w:val="21"/>
        </w:rPr>
        <w:t> </w:t>
      </w:r>
      <w:r>
        <w:rPr/>
        <w:t>F</w:t>
      </w:r>
      <w:r>
        <w:rPr>
          <w:spacing w:val="15"/>
        </w:rPr>
        <w:t> </w:t>
      </w:r>
      <w:r>
        <w:rPr/>
        <w:t>(3.69)</w:t>
      </w:r>
      <w:r>
        <w:rPr>
          <w:spacing w:val="24"/>
        </w:rPr>
        <w:t> </w:t>
      </w:r>
      <w:r>
        <w:rPr/>
        <w:t>is</w:t>
      </w:r>
      <w:r>
        <w:rPr>
          <w:spacing w:val="16"/>
        </w:rPr>
        <w:t> </w:t>
      </w:r>
      <w:r>
        <w:rPr/>
        <w:t>greater</w:t>
      </w:r>
      <w:r>
        <w:rPr>
          <w:spacing w:val="20"/>
        </w:rPr>
        <w:t> </w:t>
      </w:r>
      <w:r>
        <w:rPr/>
        <w:t>than</w:t>
      </w:r>
      <w:r>
        <w:rPr>
          <w:spacing w:val="18"/>
        </w:rPr>
        <w:t> </w:t>
      </w:r>
      <w:r>
        <w:rPr/>
        <w:t>F</w:t>
      </w:r>
      <w:r>
        <w:rPr>
          <w:spacing w:val="15"/>
        </w:rPr>
        <w:t> </w:t>
      </w:r>
      <w:r>
        <w:rPr/>
        <w:t>Critical</w:t>
      </w:r>
      <w:r>
        <w:rPr>
          <w:spacing w:val="14"/>
        </w:rPr>
        <w:t> </w:t>
      </w:r>
      <w:r>
        <w:rPr/>
        <w:t>(3.06);</w:t>
      </w:r>
      <w:r>
        <w:rPr>
          <w:spacing w:val="19"/>
        </w:rPr>
        <w:t> </w:t>
      </w:r>
      <w:r>
        <w:rPr/>
        <w:t>it</w:t>
      </w:r>
      <w:r>
        <w:rPr>
          <w:spacing w:val="33"/>
        </w:rPr>
        <w:t> </w:t>
      </w:r>
      <w:r>
        <w:rPr/>
        <w:t>implies</w:t>
      </w:r>
      <w:r>
        <w:rPr>
          <w:spacing w:val="21"/>
        </w:rPr>
        <w:t> </w:t>
      </w:r>
      <w:r>
        <w:rPr/>
        <w:t>that</w:t>
      </w:r>
      <w:r>
        <w:rPr>
          <w:spacing w:val="23"/>
        </w:rPr>
        <w:t> </w:t>
      </w:r>
      <w:r>
        <w:rPr/>
        <w:t>there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a</w:t>
      </w:r>
      <w:r>
        <w:rPr>
          <w:spacing w:val="18"/>
        </w:rPr>
        <w:t> </w:t>
      </w:r>
      <w:r>
        <w:rPr/>
        <w:t>statistically</w:t>
      </w:r>
      <w:r>
        <w:rPr>
          <w:spacing w:val="13"/>
        </w:rPr>
        <w:t> </w:t>
      </w:r>
      <w:r>
        <w:rPr/>
        <w:t>significant</w:t>
      </w:r>
      <w:r>
        <w:rPr>
          <w:spacing w:val="-57"/>
        </w:rPr>
        <w:t> </w:t>
      </w:r>
      <w:r>
        <w:rPr/>
        <w:t>difference between</w:t>
      </w:r>
      <w:r>
        <w:rPr>
          <w:spacing w:val="-4"/>
        </w:rPr>
        <w:t> </w:t>
      </w:r>
      <w:r>
        <w:rPr/>
        <w:t>the</w:t>
      </w:r>
      <w:r>
        <w:rPr>
          <w:spacing w:val="6"/>
        </w:rPr>
        <w:t> </w:t>
      </w:r>
      <w:r>
        <w:rPr/>
        <w:t>mean</w:t>
      </w:r>
      <w:r>
        <w:rPr>
          <w:spacing w:val="-4"/>
        </w:rPr>
        <w:t> </w:t>
      </w:r>
      <w:r>
        <w:rPr/>
        <w:t>plasma</w:t>
      </w:r>
      <w:r>
        <w:rPr>
          <w:spacing w:val="6"/>
        </w:rPr>
        <w:t> </w:t>
      </w:r>
      <w:r>
        <w:rPr/>
        <w:t>iron</w:t>
      </w:r>
      <w:r>
        <w:rPr>
          <w:spacing w:val="1"/>
        </w:rPr>
        <w:t> </w:t>
      </w:r>
      <w:r>
        <w:rPr/>
        <w:t>levels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groups.</w:t>
      </w:r>
    </w:p>
    <w:p>
      <w:pPr>
        <w:spacing w:after="0" w:line="355" w:lineRule="auto"/>
        <w:sectPr>
          <w:pgSz w:w="12240" w:h="15840"/>
          <w:pgMar w:header="0" w:footer="1017" w:top="1360" w:bottom="1200" w:left="620" w:right="0"/>
        </w:sectPr>
      </w:pPr>
    </w:p>
    <w:p>
      <w:pPr>
        <w:pStyle w:val="Heading1"/>
        <w:spacing w:line="357" w:lineRule="auto" w:before="76"/>
        <w:ind w:right="1436"/>
      </w:pPr>
      <w:r>
        <w:rPr/>
        <w:t>APPENDIX XXII: t-Test showing Plasma Iron levels (µmol/dL) in SCD Patients in Crises</w:t>
      </w:r>
      <w:r>
        <w:rPr>
          <w:spacing w:val="1"/>
        </w:rPr>
        <w:t> </w:t>
      </w:r>
      <w:r>
        <w:rPr/>
        <w:t>and HbAA Individuals; SCD Patients in Steady State and HbAA Individuals; and SCD</w:t>
      </w:r>
      <w:r>
        <w:rPr>
          <w:spacing w:val="1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in</w:t>
      </w:r>
      <w:r>
        <w:rPr>
          <w:spacing w:val="3"/>
        </w:rPr>
        <w:t> </w:t>
      </w:r>
      <w:r>
        <w:rPr/>
        <w:t>Crises and</w:t>
      </w:r>
      <w:r>
        <w:rPr>
          <w:spacing w:val="2"/>
        </w:rPr>
        <w:t> </w:t>
      </w:r>
      <w:r>
        <w:rPr/>
        <w:t>SCD</w:t>
      </w:r>
      <w:r>
        <w:rPr>
          <w:spacing w:val="2"/>
        </w:rPr>
        <w:t> </w:t>
      </w:r>
      <w:r>
        <w:rPr/>
        <w:t>Patients in</w:t>
      </w:r>
      <w:r>
        <w:rPr>
          <w:spacing w:val="-2"/>
        </w:rPr>
        <w:t> </w:t>
      </w:r>
      <w:r>
        <w:rPr/>
        <w:t>Steady</w:t>
      </w:r>
      <w:r>
        <w:rPr>
          <w:spacing w:val="-4"/>
        </w:rPr>
        <w:t> </w:t>
      </w:r>
      <w:r>
        <w:rPr/>
        <w:t>State</w:t>
      </w:r>
    </w:p>
    <w:p>
      <w:pPr>
        <w:pStyle w:val="BodyText"/>
        <w:spacing w:before="1"/>
        <w:rPr>
          <w:b/>
          <w:sz w:val="19"/>
        </w:rPr>
      </w:pPr>
    </w:p>
    <w:tbl>
      <w:tblPr>
        <w:tblW w:w="0" w:type="auto"/>
        <w:jc w:val="left"/>
        <w:tblInd w:w="8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8"/>
        <w:gridCol w:w="996"/>
        <w:gridCol w:w="937"/>
        <w:gridCol w:w="1397"/>
        <w:gridCol w:w="915"/>
        <w:gridCol w:w="936"/>
        <w:gridCol w:w="1461"/>
      </w:tblGrid>
      <w:tr>
        <w:trPr>
          <w:trHeight w:val="613" w:hRule="atLeast"/>
        </w:trPr>
        <w:tc>
          <w:tcPr>
            <w:tcW w:w="3278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Crises</w:t>
            </w:r>
          </w:p>
        </w:tc>
        <w:tc>
          <w:tcPr>
            <w:tcW w:w="93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45" w:right="112"/>
              <w:jc w:val="center"/>
              <w:rPr>
                <w:sz w:val="24"/>
              </w:rPr>
            </w:pPr>
            <w:r>
              <w:rPr>
                <w:sz w:val="24"/>
              </w:rPr>
              <w:t>HbAA</w:t>
            </w:r>
          </w:p>
        </w:tc>
        <w:tc>
          <w:tcPr>
            <w:tcW w:w="139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Steady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915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HbAA</w:t>
            </w:r>
          </w:p>
        </w:tc>
        <w:tc>
          <w:tcPr>
            <w:tcW w:w="93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66"/>
              <w:rPr>
                <w:sz w:val="24"/>
              </w:rPr>
            </w:pPr>
            <w:r>
              <w:rPr>
                <w:sz w:val="24"/>
              </w:rPr>
              <w:t>Crises</w:t>
            </w:r>
          </w:p>
        </w:tc>
        <w:tc>
          <w:tcPr>
            <w:tcW w:w="1461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Steady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</w:tr>
      <w:tr>
        <w:trPr>
          <w:trHeight w:val="439" w:hRule="atLeast"/>
        </w:trPr>
        <w:tc>
          <w:tcPr>
            <w:tcW w:w="32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(µmol/dL)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19.09</w:t>
            </w:r>
          </w:p>
        </w:tc>
        <w:tc>
          <w:tcPr>
            <w:tcW w:w="9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1" w:right="112"/>
              <w:jc w:val="center"/>
              <w:rPr>
                <w:sz w:val="24"/>
              </w:rPr>
            </w:pPr>
            <w:r>
              <w:rPr>
                <w:sz w:val="24"/>
              </w:rPr>
              <w:t>14.15</w:t>
            </w:r>
          </w:p>
        </w:tc>
        <w:tc>
          <w:tcPr>
            <w:tcW w:w="13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17.60</w:t>
            </w:r>
          </w:p>
        </w:tc>
        <w:tc>
          <w:tcPr>
            <w:tcW w:w="9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14.15</w:t>
            </w:r>
          </w:p>
        </w:tc>
        <w:tc>
          <w:tcPr>
            <w:tcW w:w="9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6"/>
              <w:rPr>
                <w:sz w:val="24"/>
              </w:rPr>
            </w:pPr>
            <w:r>
              <w:rPr>
                <w:sz w:val="24"/>
              </w:rPr>
              <w:t>19.09</w:t>
            </w:r>
          </w:p>
        </w:tc>
        <w:tc>
          <w:tcPr>
            <w:tcW w:w="14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17.60</w:t>
            </w:r>
          </w:p>
        </w:tc>
      </w:tr>
      <w:tr>
        <w:trPr>
          <w:trHeight w:val="611" w:hRule="atLeast"/>
        </w:trPr>
        <w:tc>
          <w:tcPr>
            <w:tcW w:w="3278" w:type="dxa"/>
          </w:tcPr>
          <w:p>
            <w:pPr>
              <w:pStyle w:val="TableParagraph"/>
              <w:spacing w:before="161"/>
              <w:ind w:left="105"/>
              <w:rPr>
                <w:sz w:val="24"/>
              </w:rPr>
            </w:pPr>
            <w:r>
              <w:rPr>
                <w:sz w:val="24"/>
              </w:rPr>
              <w:t>Variance</w:t>
            </w:r>
          </w:p>
        </w:tc>
        <w:tc>
          <w:tcPr>
            <w:tcW w:w="996" w:type="dxa"/>
          </w:tcPr>
          <w:p>
            <w:pPr>
              <w:pStyle w:val="TableParagraph"/>
              <w:spacing w:before="161"/>
              <w:ind w:left="168"/>
              <w:rPr>
                <w:sz w:val="24"/>
              </w:rPr>
            </w:pPr>
            <w:r>
              <w:rPr>
                <w:sz w:val="24"/>
              </w:rPr>
              <w:t>161.44</w:t>
            </w:r>
          </w:p>
        </w:tc>
        <w:tc>
          <w:tcPr>
            <w:tcW w:w="937" w:type="dxa"/>
          </w:tcPr>
          <w:p>
            <w:pPr>
              <w:pStyle w:val="TableParagraph"/>
              <w:spacing w:before="161"/>
              <w:ind w:left="51" w:right="112"/>
              <w:jc w:val="center"/>
              <w:rPr>
                <w:sz w:val="24"/>
              </w:rPr>
            </w:pPr>
            <w:r>
              <w:rPr>
                <w:sz w:val="24"/>
              </w:rPr>
              <w:t>24.06</w:t>
            </w:r>
          </w:p>
        </w:tc>
        <w:tc>
          <w:tcPr>
            <w:tcW w:w="1397" w:type="dxa"/>
          </w:tcPr>
          <w:p>
            <w:pPr>
              <w:pStyle w:val="TableParagraph"/>
              <w:spacing w:before="161"/>
              <w:ind w:left="131"/>
              <w:rPr>
                <w:sz w:val="24"/>
              </w:rPr>
            </w:pPr>
            <w:r>
              <w:rPr>
                <w:sz w:val="24"/>
              </w:rPr>
              <w:t>49.69</w:t>
            </w:r>
          </w:p>
        </w:tc>
        <w:tc>
          <w:tcPr>
            <w:tcW w:w="915" w:type="dxa"/>
          </w:tcPr>
          <w:p>
            <w:pPr>
              <w:pStyle w:val="TableParagraph"/>
              <w:spacing w:before="161"/>
              <w:ind w:left="107"/>
              <w:rPr>
                <w:sz w:val="24"/>
              </w:rPr>
            </w:pPr>
            <w:r>
              <w:rPr>
                <w:sz w:val="24"/>
              </w:rPr>
              <w:t>24.06</w:t>
            </w:r>
          </w:p>
        </w:tc>
        <w:tc>
          <w:tcPr>
            <w:tcW w:w="936" w:type="dxa"/>
          </w:tcPr>
          <w:p>
            <w:pPr>
              <w:pStyle w:val="TableParagraph"/>
              <w:spacing w:before="161"/>
              <w:ind w:left="166"/>
              <w:rPr>
                <w:sz w:val="24"/>
              </w:rPr>
            </w:pPr>
            <w:r>
              <w:rPr>
                <w:sz w:val="24"/>
              </w:rPr>
              <w:t>161.44</w:t>
            </w:r>
          </w:p>
        </w:tc>
        <w:tc>
          <w:tcPr>
            <w:tcW w:w="1461" w:type="dxa"/>
          </w:tcPr>
          <w:p>
            <w:pPr>
              <w:pStyle w:val="TableParagraph"/>
              <w:spacing w:before="161"/>
              <w:ind w:left="104"/>
              <w:rPr>
                <w:sz w:val="24"/>
              </w:rPr>
            </w:pPr>
            <w:r>
              <w:rPr>
                <w:sz w:val="24"/>
              </w:rPr>
              <w:t>49.69</w:t>
            </w:r>
          </w:p>
        </w:tc>
      </w:tr>
      <w:tr>
        <w:trPr>
          <w:trHeight w:val="614" w:hRule="atLeast"/>
        </w:trPr>
        <w:tc>
          <w:tcPr>
            <w:tcW w:w="3278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Observations</w:t>
            </w:r>
          </w:p>
        </w:tc>
        <w:tc>
          <w:tcPr>
            <w:tcW w:w="996" w:type="dxa"/>
          </w:tcPr>
          <w:p>
            <w:pPr>
              <w:pStyle w:val="TableParagraph"/>
              <w:spacing w:before="164"/>
              <w:ind w:left="168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937" w:type="dxa"/>
          </w:tcPr>
          <w:p>
            <w:pPr>
              <w:pStyle w:val="TableParagraph"/>
              <w:spacing w:before="164"/>
              <w:ind w:left="51" w:right="112"/>
              <w:jc w:val="center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397" w:type="dxa"/>
          </w:tcPr>
          <w:p>
            <w:pPr>
              <w:pStyle w:val="TableParagraph"/>
              <w:spacing w:before="164"/>
              <w:ind w:left="131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915" w:type="dxa"/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936" w:type="dxa"/>
          </w:tcPr>
          <w:p>
            <w:pPr>
              <w:pStyle w:val="TableParagraph"/>
              <w:spacing w:before="164"/>
              <w:ind w:left="166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461" w:type="dxa"/>
          </w:tcPr>
          <w:p>
            <w:pPr>
              <w:pStyle w:val="TableParagraph"/>
              <w:spacing w:before="164"/>
              <w:ind w:left="104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</w:tr>
      <w:tr>
        <w:trPr>
          <w:trHeight w:val="614" w:hRule="atLeast"/>
        </w:trPr>
        <w:tc>
          <w:tcPr>
            <w:tcW w:w="3278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Hypothesized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Difference</w:t>
            </w:r>
          </w:p>
        </w:tc>
        <w:tc>
          <w:tcPr>
            <w:tcW w:w="996" w:type="dxa"/>
          </w:tcPr>
          <w:p>
            <w:pPr>
              <w:pStyle w:val="TableParagraph"/>
              <w:spacing w:before="164"/>
              <w:ind w:left="168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5" w:type="dxa"/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36" w:type="dxa"/>
          </w:tcPr>
          <w:p>
            <w:pPr>
              <w:pStyle w:val="TableParagraph"/>
              <w:spacing w:before="164"/>
              <w:ind w:left="16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6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3278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996" w:type="dxa"/>
          </w:tcPr>
          <w:p>
            <w:pPr>
              <w:pStyle w:val="TableParagraph"/>
              <w:spacing w:before="164"/>
              <w:ind w:left="168"/>
              <w:rPr>
                <w:sz w:val="24"/>
              </w:rPr>
            </w:pPr>
            <w:r>
              <w:rPr>
                <w:sz w:val="24"/>
              </w:rPr>
              <w:t>57.00</w:t>
            </w:r>
          </w:p>
        </w:tc>
        <w:tc>
          <w:tcPr>
            <w:tcW w:w="9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5" w:type="dxa"/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79.00</w:t>
            </w:r>
          </w:p>
        </w:tc>
        <w:tc>
          <w:tcPr>
            <w:tcW w:w="936" w:type="dxa"/>
          </w:tcPr>
          <w:p>
            <w:pPr>
              <w:pStyle w:val="TableParagraph"/>
              <w:spacing w:before="164"/>
              <w:ind w:left="166"/>
              <w:rPr>
                <w:sz w:val="24"/>
              </w:rPr>
            </w:pPr>
            <w:r>
              <w:rPr>
                <w:sz w:val="24"/>
              </w:rPr>
              <w:t>69.00</w:t>
            </w:r>
          </w:p>
        </w:tc>
        <w:tc>
          <w:tcPr>
            <w:tcW w:w="146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3278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</w:t>
            </w:r>
          </w:p>
        </w:tc>
        <w:tc>
          <w:tcPr>
            <w:tcW w:w="996" w:type="dxa"/>
          </w:tcPr>
          <w:p>
            <w:pPr>
              <w:pStyle w:val="TableParagraph"/>
              <w:spacing w:before="164"/>
              <w:ind w:left="168"/>
              <w:rPr>
                <w:sz w:val="24"/>
              </w:rPr>
            </w:pPr>
            <w:r>
              <w:rPr>
                <w:sz w:val="24"/>
              </w:rPr>
              <w:t>2.44</w:t>
            </w:r>
          </w:p>
        </w:tc>
        <w:tc>
          <w:tcPr>
            <w:tcW w:w="9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5" w:type="dxa"/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-2.69</w:t>
            </w:r>
          </w:p>
        </w:tc>
        <w:tc>
          <w:tcPr>
            <w:tcW w:w="936" w:type="dxa"/>
          </w:tcPr>
          <w:p>
            <w:pPr>
              <w:pStyle w:val="TableParagraph"/>
              <w:spacing w:before="164"/>
              <w:ind w:left="166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146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3278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P(T&lt;=t)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one-tail</w:t>
            </w:r>
          </w:p>
        </w:tc>
        <w:tc>
          <w:tcPr>
            <w:tcW w:w="996" w:type="dxa"/>
          </w:tcPr>
          <w:p>
            <w:pPr>
              <w:pStyle w:val="TableParagraph"/>
              <w:spacing w:before="164"/>
              <w:ind w:left="168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5" w:type="dxa"/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36" w:type="dxa"/>
          </w:tcPr>
          <w:p>
            <w:pPr>
              <w:pStyle w:val="TableParagraph"/>
              <w:spacing w:before="164"/>
              <w:ind w:left="166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46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3278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Critical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one-tail</w:t>
            </w:r>
          </w:p>
        </w:tc>
        <w:tc>
          <w:tcPr>
            <w:tcW w:w="996" w:type="dxa"/>
          </w:tcPr>
          <w:p>
            <w:pPr>
              <w:pStyle w:val="TableParagraph"/>
              <w:spacing w:before="164"/>
              <w:ind w:left="168"/>
              <w:rPr>
                <w:sz w:val="24"/>
              </w:rPr>
            </w:pPr>
            <w:r>
              <w:rPr>
                <w:sz w:val="24"/>
              </w:rPr>
              <w:t>1.67</w:t>
            </w:r>
          </w:p>
        </w:tc>
        <w:tc>
          <w:tcPr>
            <w:tcW w:w="9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5" w:type="dxa"/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1.66</w:t>
            </w:r>
          </w:p>
        </w:tc>
        <w:tc>
          <w:tcPr>
            <w:tcW w:w="936" w:type="dxa"/>
          </w:tcPr>
          <w:p>
            <w:pPr>
              <w:pStyle w:val="TableParagraph"/>
              <w:spacing w:before="164"/>
              <w:ind w:left="166"/>
              <w:rPr>
                <w:sz w:val="24"/>
              </w:rPr>
            </w:pPr>
            <w:r>
              <w:rPr>
                <w:sz w:val="24"/>
              </w:rPr>
              <w:t>1.67</w:t>
            </w:r>
          </w:p>
        </w:tc>
        <w:tc>
          <w:tcPr>
            <w:tcW w:w="146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3278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P(T&lt;=t)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two-tail</w:t>
            </w:r>
          </w:p>
        </w:tc>
        <w:tc>
          <w:tcPr>
            <w:tcW w:w="996" w:type="dxa"/>
          </w:tcPr>
          <w:p>
            <w:pPr>
              <w:pStyle w:val="TableParagraph"/>
              <w:spacing w:before="164"/>
              <w:ind w:left="168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9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5" w:type="dxa"/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36" w:type="dxa"/>
          </w:tcPr>
          <w:p>
            <w:pPr>
              <w:pStyle w:val="TableParagraph"/>
              <w:spacing w:before="164"/>
              <w:ind w:left="166"/>
              <w:rPr>
                <w:sz w:val="24"/>
              </w:rPr>
            </w:pPr>
            <w:r>
              <w:rPr>
                <w:sz w:val="24"/>
              </w:rPr>
              <w:t>0.49</w:t>
            </w:r>
          </w:p>
        </w:tc>
        <w:tc>
          <w:tcPr>
            <w:tcW w:w="146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0" w:hRule="atLeast"/>
        </w:trPr>
        <w:tc>
          <w:tcPr>
            <w:tcW w:w="3278" w:type="dxa"/>
          </w:tcPr>
          <w:p>
            <w:pPr>
              <w:pStyle w:val="TableParagraph"/>
              <w:spacing w:line="256" w:lineRule="exact" w:before="164"/>
              <w:ind w:left="105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Critical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two-tail</w:t>
            </w:r>
          </w:p>
        </w:tc>
        <w:tc>
          <w:tcPr>
            <w:tcW w:w="996" w:type="dxa"/>
          </w:tcPr>
          <w:p>
            <w:pPr>
              <w:pStyle w:val="TableParagraph"/>
              <w:spacing w:line="256" w:lineRule="exact" w:before="164"/>
              <w:ind w:left="168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9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5" w:type="dxa"/>
          </w:tcPr>
          <w:p>
            <w:pPr>
              <w:pStyle w:val="TableParagraph"/>
              <w:spacing w:line="256" w:lineRule="exact" w:before="164"/>
              <w:ind w:left="107"/>
              <w:rPr>
                <w:sz w:val="24"/>
              </w:rPr>
            </w:pPr>
            <w:r>
              <w:rPr>
                <w:sz w:val="24"/>
              </w:rPr>
              <w:t>1.99</w:t>
            </w:r>
          </w:p>
        </w:tc>
        <w:tc>
          <w:tcPr>
            <w:tcW w:w="936" w:type="dxa"/>
          </w:tcPr>
          <w:p>
            <w:pPr>
              <w:pStyle w:val="TableParagraph"/>
              <w:spacing w:line="256" w:lineRule="exact" w:before="164"/>
              <w:ind w:left="166"/>
              <w:rPr>
                <w:sz w:val="24"/>
              </w:rPr>
            </w:pPr>
            <w:r>
              <w:rPr>
                <w:sz w:val="24"/>
              </w:rPr>
              <w:t>1.99</w:t>
            </w:r>
          </w:p>
        </w:tc>
        <w:tc>
          <w:tcPr>
            <w:tcW w:w="146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1"/>
        <w:rPr>
          <w:b/>
          <w:sz w:val="27"/>
        </w:rPr>
      </w:pPr>
      <w:r>
        <w:rPr/>
        <w:pict>
          <v:shape style="position:absolute;margin-left:70.560005pt;margin-top:17.564281pt;width:496.6pt;height:1pt;mso-position-horizontal-relative:page;mso-position-vertical-relative:paragraph;z-index:-15676416;mso-wrap-distance-left:0;mso-wrap-distance-right:0" coordorigin="1411,351" coordsize="9932,20" path="m5765,351l5760,351,5746,351,4771,351,4766,351,4752,351,1411,351,1411,370,4752,370,4766,370,4771,370,5746,370,5760,370,5765,370,5765,351xm6667,351l6662,351,6648,351,5765,351,5765,370,6648,370,6662,370,6667,370,6667,351xm9010,351l9005,351,8990,351,8035,351,8030,351,8016,351,6667,351,6667,370,8016,370,8030,370,8035,370,8990,370,9005,370,9010,370,9010,351xm11342,351l9888,351,9883,351,9869,351,9010,351,9010,370,9869,370,9883,370,9888,370,11342,370,11342,35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</w:rPr>
      </w:pPr>
    </w:p>
    <w:p>
      <w:pPr>
        <w:pStyle w:val="BodyText"/>
        <w:spacing w:line="357" w:lineRule="auto"/>
        <w:ind w:left="820" w:right="1436"/>
        <w:jc w:val="both"/>
      </w:pPr>
      <w:r>
        <w:rPr/>
        <w:t>Since t Stat (2.44) is greater than t Critical two-tail (2.00); it implies that there is a statistically</w:t>
      </w:r>
      <w:r>
        <w:rPr>
          <w:spacing w:val="1"/>
        </w:rPr>
        <w:t> </w:t>
      </w:r>
      <w:r>
        <w:rPr/>
        <w:t>significant difference between the plasma iron levels of SCD patients in crises and the HbAA</w:t>
      </w:r>
      <w:r>
        <w:rPr>
          <w:spacing w:val="1"/>
        </w:rPr>
        <w:t> </w:t>
      </w:r>
      <w:r>
        <w:rPr/>
        <w:t>individuals.</w:t>
      </w:r>
    </w:p>
    <w:p>
      <w:pPr>
        <w:pStyle w:val="BodyText"/>
        <w:spacing w:line="360" w:lineRule="auto" w:before="206"/>
        <w:ind w:left="820" w:right="1436"/>
        <w:jc w:val="both"/>
      </w:pPr>
      <w:r>
        <w:rPr/>
        <w:t>Since t Stat (2.69) is greater than t Critical two-tail (1.99); it implies that there is a statistically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 mean plasma</w:t>
      </w:r>
      <w:r>
        <w:rPr>
          <w:spacing w:val="60"/>
        </w:rPr>
        <w:t> </w:t>
      </w:r>
      <w:r>
        <w:rPr/>
        <w:t>iron levels of HbAA individuals and SCD patients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steady</w:t>
      </w:r>
      <w:r>
        <w:rPr>
          <w:spacing w:val="-8"/>
        </w:rPr>
        <w:t> </w:t>
      </w:r>
      <w:r>
        <w:rPr/>
        <w:t>state.</w:t>
      </w:r>
    </w:p>
    <w:p>
      <w:pPr>
        <w:pStyle w:val="BodyText"/>
        <w:spacing w:line="357" w:lineRule="auto" w:before="203"/>
        <w:ind w:left="820" w:right="1436"/>
        <w:jc w:val="both"/>
      </w:pPr>
      <w:r>
        <w:rPr/>
        <w:t>Since t Stat (0.69) is less than t Critical two-tail (1.99); it implies that there is no statistically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 the</w:t>
      </w:r>
      <w:r>
        <w:rPr>
          <w:spacing w:val="1"/>
        </w:rPr>
        <w:t> </w:t>
      </w:r>
      <w:r>
        <w:rPr/>
        <w:t>iron levels in</w:t>
      </w:r>
      <w:r>
        <w:rPr>
          <w:spacing w:val="60"/>
        </w:rPr>
        <w:t> </w:t>
      </w:r>
      <w:r>
        <w:rPr/>
        <w:t>SCD patients in crises and SCD patients in</w:t>
      </w:r>
      <w:r>
        <w:rPr>
          <w:spacing w:val="1"/>
        </w:rPr>
        <w:t> </w:t>
      </w:r>
      <w:r>
        <w:rPr/>
        <w:t>steady</w:t>
      </w:r>
      <w:r>
        <w:rPr>
          <w:spacing w:val="-8"/>
        </w:rPr>
        <w:t> </w:t>
      </w:r>
      <w:r>
        <w:rPr/>
        <w:t>state.</w:t>
      </w:r>
    </w:p>
    <w:sectPr>
      <w:pgSz w:w="12240" w:h="15840"/>
      <w:pgMar w:header="0" w:footer="1017" w:top="1360" w:bottom="1200" w:left="6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4.359985pt;margin-top:730.159973pt;width:23.4pt;height:13.05pt;mso-position-horizontal-relative:page;mso-position-vertical-relative:page;z-index:-202711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480011pt;margin-top:730.159973pt;width:17.150pt;height:13.05pt;mso-position-horizontal-relative:page;mso-position-vertical-relative:page;z-index:-202705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600006pt;margin-top:730.159973pt;width:22.65pt;height:13.05pt;mso-position-horizontal-relative:page;mso-position-vertical-relative:page;z-index:-202700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4">
    <w:multiLevelType w:val="hybridMultilevel"/>
    <w:lvl w:ilvl="0">
      <w:start w:val="0"/>
      <w:numFmt w:val="bullet"/>
      <w:lvlText w:val=""/>
      <w:lvlJc w:val="left"/>
      <w:pPr>
        <w:ind w:left="1540" w:hanging="360"/>
      </w:pPr>
      <w:rPr>
        <w:rFonts w:hint="default" w:ascii="Symbol" w:hAnsi="Symbol" w:eastAsia="Symbol" w:cs="Symbol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4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9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04" w:hanging="36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6"/>
      <w:numFmt w:val="decimal"/>
      <w:lvlText w:val="%1"/>
      <w:lvlJc w:val="left"/>
      <w:pPr>
        <w:ind w:left="1184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84" w:hanging="365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54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226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2980" w:hanging="308"/>
        <w:jc w:val="right"/>
      </w:pPr>
      <w:rPr>
        <w:rFonts w:hint="default" w:ascii="Times New Roman" w:hAnsi="Times New Roman" w:eastAsia="Times New Roman" w:cs="Times New Roman"/>
        <w:spacing w:val="-9"/>
        <w:w w:val="99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8" w:hanging="3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2" w:hanging="3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7" w:hanging="3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51" w:hanging="308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5"/>
      <w:numFmt w:val="decimal"/>
      <w:lvlText w:val="%1"/>
      <w:lvlJc w:val="left"/>
      <w:pPr>
        <w:ind w:left="1179" w:hanging="3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79" w:hanging="360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6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1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8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2" w:hanging="36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4"/>
      <w:numFmt w:val="decimal"/>
      <w:lvlText w:val="%1"/>
      <w:lvlJc w:val="left"/>
      <w:pPr>
        <w:ind w:left="1179" w:hanging="3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79" w:hanging="3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6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1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8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2" w:hanging="36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4"/>
      <w:numFmt w:val="decimal"/>
      <w:lvlText w:val="%1"/>
      <w:lvlJc w:val="left"/>
      <w:pPr>
        <w:ind w:left="820" w:hanging="40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0" w:hanging="408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0" w:hanging="4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0" w:hanging="4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0" w:hanging="4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0" w:hanging="4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00" w:hanging="4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0" w:hanging="4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60" w:hanging="408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upperLetter"/>
      <w:lvlText w:val="(%1)"/>
      <w:lvlJc w:val="left"/>
      <w:pPr>
        <w:ind w:left="475" w:hanging="332"/>
        <w:jc w:val="left"/>
      </w:pPr>
      <w:rPr>
        <w:rFonts w:hint="default" w:ascii="Times New Roman" w:hAnsi="Times New Roman" w:eastAsia="Times New Roman" w:cs="Times New Roman"/>
        <w:spacing w:val="-5"/>
        <w:w w:val="99"/>
        <w:sz w:val="22"/>
        <w:szCs w:val="22"/>
        <w:lang w:val="en-US" w:eastAsia="en-US" w:bidi="ar-SA"/>
      </w:rPr>
    </w:lvl>
    <w:lvl w:ilvl="1">
      <w:start w:val="1"/>
      <w:numFmt w:val="upperLetter"/>
      <w:lvlText w:val="(%2)"/>
      <w:lvlJc w:val="left"/>
      <w:pPr>
        <w:ind w:left="1257" w:hanging="332"/>
        <w:jc w:val="left"/>
      </w:pPr>
      <w:rPr>
        <w:rFonts w:hint="default" w:ascii="Times New Roman" w:hAnsi="Times New Roman" w:eastAsia="Times New Roman" w:cs="Times New Roman"/>
        <w:spacing w:val="-5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1" w:hanging="3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62" w:hanging="3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64" w:hanging="3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65" w:hanging="3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66" w:hanging="3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68" w:hanging="3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69" w:hanging="332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3"/>
      <w:numFmt w:val="decimal"/>
      <w:lvlText w:val="%1"/>
      <w:lvlJc w:val="left"/>
      <w:pPr>
        <w:ind w:left="1179" w:hanging="3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79" w:hanging="360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81" w:hanging="662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663" w:hanging="844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-5"/>
        <w:w w:val="99"/>
        <w:sz w:val="24"/>
        <w:szCs w:val="24"/>
        <w:lang w:val="en-US" w:eastAsia="en-US" w:bidi="ar-SA"/>
      </w:rPr>
    </w:lvl>
    <w:lvl w:ilvl="4">
      <w:start w:val="1"/>
      <w:numFmt w:val="upperLetter"/>
      <w:lvlText w:val="(%5)"/>
      <w:lvlJc w:val="left"/>
      <w:pPr>
        <w:ind w:left="1703" w:hanging="394"/>
        <w:jc w:val="left"/>
      </w:pPr>
      <w:rPr>
        <w:rFonts w:hint="default" w:ascii="Times New Roman" w:hAnsi="Times New Roman" w:eastAsia="Times New Roman" w:cs="Times New Roman"/>
        <w:spacing w:val="-5"/>
        <w:w w:val="99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34" w:hanging="3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51" w:hanging="3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8" w:hanging="3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85" w:hanging="394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lowerRoman"/>
      <w:lvlText w:val="%1."/>
      <w:lvlJc w:val="left"/>
      <w:pPr>
        <w:ind w:left="2260" w:hanging="485"/>
        <w:jc w:val="right"/>
      </w:pPr>
      <w:rPr>
        <w:rFonts w:hint="default" w:ascii="Times New Roman" w:hAnsi="Times New Roman" w:eastAsia="Times New Roman" w:cs="Times New Roman"/>
        <w:spacing w:val="-9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96" w:hanging="48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32" w:hanging="48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68" w:hanging="4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04" w:hanging="4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40" w:hanging="4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4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12" w:hanging="4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48" w:hanging="485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lowerRoman"/>
      <w:lvlText w:val="%1."/>
      <w:lvlJc w:val="left"/>
      <w:pPr>
        <w:ind w:left="1540" w:hanging="485"/>
        <w:jc w:val="right"/>
      </w:pPr>
      <w:rPr>
        <w:rFonts w:hint="default" w:ascii="Times New Roman" w:hAnsi="Times New Roman" w:eastAsia="Times New Roman" w:cs="Times New Roman"/>
        <w:spacing w:val="-9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48" w:hanging="48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56" w:hanging="48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4" w:hanging="4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2" w:hanging="4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80" w:hanging="4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8" w:hanging="4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96" w:hanging="4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04" w:hanging="485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3"/>
      <w:numFmt w:val="decimal"/>
      <w:lvlText w:val="%1"/>
      <w:lvlJc w:val="left"/>
      <w:pPr>
        <w:ind w:left="1481" w:hanging="66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81" w:hanging="66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81" w:hanging="662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663" w:hanging="844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-5"/>
        <w:w w:val="99"/>
        <w:sz w:val="24"/>
        <w:szCs w:val="24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1540" w:hanging="485"/>
        <w:jc w:val="right"/>
      </w:pPr>
      <w:rPr>
        <w:rFonts w:hint="default" w:ascii="Times New Roman" w:hAnsi="Times New Roman" w:eastAsia="Times New Roman" w:cs="Times New Roman"/>
        <w:spacing w:val="-9"/>
        <w:w w:val="99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5" w:hanging="4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0" w:hanging="4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85" w:hanging="4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30" w:hanging="485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%1)"/>
      <w:lvlJc w:val="left"/>
      <w:pPr>
        <w:ind w:left="1540" w:hanging="360"/>
        <w:jc w:val="left"/>
      </w:pPr>
      <w:rPr>
        <w:rFonts w:hint="default"/>
        <w:spacing w:val="-1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4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9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04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lowerLetter"/>
      <w:lvlText w:val="%1)"/>
      <w:lvlJc w:val="left"/>
      <w:pPr>
        <w:ind w:left="1540" w:hanging="3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4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9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04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)"/>
      <w:lvlJc w:val="left"/>
      <w:pPr>
        <w:ind w:left="1900" w:hanging="3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26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4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"/>
      <w:lvlJc w:val="left"/>
      <w:pPr>
        <w:ind w:left="1540" w:hanging="360"/>
      </w:pPr>
      <w:rPr>
        <w:rFonts w:hint="default" w:ascii="Symbol" w:hAnsi="Symbol" w:eastAsia="Symbol" w:cs="Symbol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4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9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04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602" w:hanging="423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260" w:hanging="360"/>
        <w:jc w:val="left"/>
      </w:pPr>
      <w:rPr>
        <w:rFonts w:hint="default"/>
        <w:spacing w:val="-1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3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80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."/>
      <w:lvlJc w:val="left"/>
      <w:pPr>
        <w:ind w:left="226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2980" w:hanging="308"/>
        <w:jc w:val="right"/>
      </w:pPr>
      <w:rPr>
        <w:rFonts w:hint="default" w:ascii="Times New Roman" w:hAnsi="Times New Roman" w:eastAsia="Times New Roman" w:cs="Times New Roman"/>
        <w:spacing w:val="-9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40" w:hanging="3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00" w:hanging="3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60" w:hanging="3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0" w:hanging="3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80" w:hanging="3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40" w:hanging="3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0" w:hanging="308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."/>
      <w:lvlJc w:val="left"/>
      <w:pPr>
        <w:ind w:left="154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4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9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04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1540" w:hanging="360"/>
      </w:pPr>
      <w:rPr>
        <w:rFonts w:hint="default" w:ascii="Symbol" w:hAnsi="Symbol" w:eastAsia="Symbol" w:cs="Symbol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4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9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04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540" w:hanging="3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4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9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04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1540" w:hanging="360"/>
      </w:pPr>
      <w:rPr>
        <w:rFonts w:hint="default" w:ascii="Symbol" w:hAnsi="Symbol" w:eastAsia="Symbol" w:cs="Symbol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4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9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04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721" w:hanging="90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21" w:hanging="90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21" w:hanging="902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664" w:hanging="845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-5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0" w:hanging="8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0" w:hanging="8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0" w:hanging="8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20" w:hanging="8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20" w:hanging="845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4860" w:hanging="72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860" w:hanging="725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81" w:hanging="662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05" w:hanging="66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50" w:hanging="66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95" w:hanging="66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40" w:hanging="66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85" w:hanging="66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30" w:hanging="662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54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26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4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5024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024" w:hanging="360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00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3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9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6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300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upperRoman"/>
      <w:lvlText w:val="%1"/>
      <w:lvlJc w:val="left"/>
      <w:pPr>
        <w:ind w:left="1563" w:hanging="74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66" w:hanging="7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72" w:hanging="7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78" w:hanging="7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84" w:hanging="7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90" w:hanging="7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96" w:hanging="7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02" w:hanging="7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08" w:hanging="744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1424" w:hanging="60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4" w:hanging="60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60" w:hanging="60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80" w:hanging="6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0" w:hanging="6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20" w:hanging="6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0" w:hanging="6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60" w:hanging="6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80" w:hanging="605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1424" w:hanging="60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4" w:hanging="60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60" w:hanging="60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80" w:hanging="6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0" w:hanging="6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20" w:hanging="6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0" w:hanging="6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60" w:hanging="6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80" w:hanging="605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1362" w:hanging="54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60" w:hanging="54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100" w:hanging="5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540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980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420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860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300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740" w:hanging="543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6"/>
      <w:numFmt w:val="decimal"/>
      <w:lvlText w:val="%1"/>
      <w:lvlJc w:val="left"/>
      <w:pPr>
        <w:ind w:left="1544" w:hanging="72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44" w:hanging="72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9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04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18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8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6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1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8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2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18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8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6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1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8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2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481" w:hanging="662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481" w:hanging="66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81" w:hanging="66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22" w:hanging="66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36" w:hanging="66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50" w:hanging="66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64" w:hanging="66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78" w:hanging="66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92" w:hanging="662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18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8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6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80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18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8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6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80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304" w:hanging="48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04" w:hanging="48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4" w:hanging="48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96" w:hanging="4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8" w:hanging="4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0" w:hanging="4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92" w:hanging="4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24" w:hanging="4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56" w:hanging="485"/>
      </w:pPr>
      <w:rPr>
        <w:rFonts w:hint="default"/>
        <w:lang w:val="en-US" w:eastAsia="en-US" w:bidi="ar-SA"/>
      </w:rPr>
    </w:lvl>
  </w:abstract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04"/>
      <w:ind w:left="82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42"/>
      <w:ind w:left="1540" w:hanging="72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2"/>
      <w:ind w:left="820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210"/>
      <w:ind w:left="1664" w:hanging="845"/>
      <w:jc w:val="both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540" w:hanging="36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image" Target="media/image1.png"/><Relationship Id="rId9" Type="http://schemas.openxmlformats.org/officeDocument/2006/relationships/hyperlink" Target="http://www.medicinenet.com/)" TargetMode="External"/><Relationship Id="rId10" Type="http://schemas.openxmlformats.org/officeDocument/2006/relationships/image" Target="media/image2.png"/><Relationship Id="rId11" Type="http://schemas.openxmlformats.org/officeDocument/2006/relationships/footer" Target="footer4.xml"/><Relationship Id="rId12" Type="http://schemas.openxmlformats.org/officeDocument/2006/relationships/footer" Target="footer5.xml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jpeg"/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image" Target="media/image14.png"/><Relationship Id="rId25" Type="http://schemas.openxmlformats.org/officeDocument/2006/relationships/image" Target="media/image15.jpeg"/><Relationship Id="rId26" Type="http://schemas.openxmlformats.org/officeDocument/2006/relationships/image" Target="media/image16.jpeg"/><Relationship Id="rId27" Type="http://schemas.openxmlformats.org/officeDocument/2006/relationships/image" Target="media/image17.jpeg"/><Relationship Id="rId28" Type="http://schemas.openxmlformats.org/officeDocument/2006/relationships/image" Target="media/image18.jpeg"/><Relationship Id="rId29" Type="http://schemas.openxmlformats.org/officeDocument/2006/relationships/image" Target="media/image19.png"/><Relationship Id="rId30" Type="http://schemas.openxmlformats.org/officeDocument/2006/relationships/image" Target="media/image20.jpeg"/><Relationship Id="rId31" Type="http://schemas.openxmlformats.org/officeDocument/2006/relationships/image" Target="media/image21.jpeg"/><Relationship Id="rId32" Type="http://schemas.openxmlformats.org/officeDocument/2006/relationships/image" Target="media/image22.jpeg"/><Relationship Id="rId33" Type="http://schemas.openxmlformats.org/officeDocument/2006/relationships/image" Target="media/image23.jpeg"/><Relationship Id="rId34" Type="http://schemas.openxmlformats.org/officeDocument/2006/relationships/image" Target="media/image24.jpeg"/><Relationship Id="rId35" Type="http://schemas.openxmlformats.org/officeDocument/2006/relationships/image" Target="media/image25.jpeg"/><Relationship Id="rId36" Type="http://schemas.openxmlformats.org/officeDocument/2006/relationships/image" Target="media/image26.png"/><Relationship Id="rId37" Type="http://schemas.openxmlformats.org/officeDocument/2006/relationships/image" Target="media/image27.jpeg"/><Relationship Id="rId38" Type="http://schemas.openxmlformats.org/officeDocument/2006/relationships/image" Target="media/image28.jpeg"/><Relationship Id="rId39" Type="http://schemas.openxmlformats.org/officeDocument/2006/relationships/image" Target="media/image29.jpeg"/><Relationship Id="rId40" Type="http://schemas.openxmlformats.org/officeDocument/2006/relationships/image" Target="media/image30.jpeg"/><Relationship Id="rId41" Type="http://schemas.openxmlformats.org/officeDocument/2006/relationships/image" Target="media/image31.jpeg"/><Relationship Id="rId42" Type="http://schemas.openxmlformats.org/officeDocument/2006/relationships/image" Target="media/image32.jpeg"/><Relationship Id="rId43" Type="http://schemas.openxmlformats.org/officeDocument/2006/relationships/image" Target="media/image33.jpeg"/><Relationship Id="rId44" Type="http://schemas.openxmlformats.org/officeDocument/2006/relationships/image" Target="media/image34.jpe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jpeg"/><Relationship Id="rId48" Type="http://schemas.openxmlformats.org/officeDocument/2006/relationships/image" Target="media/image38.jpeg"/><Relationship Id="rId49" Type="http://schemas.openxmlformats.org/officeDocument/2006/relationships/image" Target="media/image39.jpeg"/><Relationship Id="rId50" Type="http://schemas.openxmlformats.org/officeDocument/2006/relationships/image" Target="media/image40.jpeg"/><Relationship Id="rId51" Type="http://schemas.openxmlformats.org/officeDocument/2006/relationships/image" Target="media/image41.jpeg"/><Relationship Id="rId52" Type="http://schemas.openxmlformats.org/officeDocument/2006/relationships/image" Target="media/image42.jpeg"/><Relationship Id="rId53" Type="http://schemas.openxmlformats.org/officeDocument/2006/relationships/image" Target="media/image43.jpeg"/><Relationship Id="rId54" Type="http://schemas.openxmlformats.org/officeDocument/2006/relationships/image" Target="media/image44.jpe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jpeg"/><Relationship Id="rId58" Type="http://schemas.openxmlformats.org/officeDocument/2006/relationships/image" Target="media/image48.jpeg"/><Relationship Id="rId59" Type="http://schemas.openxmlformats.org/officeDocument/2006/relationships/image" Target="media/image49.jpeg"/><Relationship Id="rId60" Type="http://schemas.openxmlformats.org/officeDocument/2006/relationships/image" Target="media/image50.jpeg"/><Relationship Id="rId61" Type="http://schemas.openxmlformats.org/officeDocument/2006/relationships/image" Target="media/image51.jpeg"/><Relationship Id="rId62" Type="http://schemas.openxmlformats.org/officeDocument/2006/relationships/image" Target="media/image52.jpeg"/><Relationship Id="rId63" Type="http://schemas.openxmlformats.org/officeDocument/2006/relationships/image" Target="media/image53.jpeg"/><Relationship Id="rId64" Type="http://schemas.openxmlformats.org/officeDocument/2006/relationships/image" Target="media/image54.jpeg"/><Relationship Id="rId65" Type="http://schemas.openxmlformats.org/officeDocument/2006/relationships/image" Target="media/image55.jpeg"/><Relationship Id="rId66" Type="http://schemas.openxmlformats.org/officeDocument/2006/relationships/image" Target="media/image56.jpeg"/><Relationship Id="rId67" Type="http://schemas.openxmlformats.org/officeDocument/2006/relationships/image" Target="media/image57.png"/><Relationship Id="rId68" Type="http://schemas.openxmlformats.org/officeDocument/2006/relationships/image" Target="media/image58.png"/><Relationship Id="rId69" Type="http://schemas.openxmlformats.org/officeDocument/2006/relationships/image" Target="media/image59.png"/><Relationship Id="rId70" Type="http://schemas.openxmlformats.org/officeDocument/2006/relationships/image" Target="media/image60.png"/><Relationship Id="rId71" Type="http://schemas.openxmlformats.org/officeDocument/2006/relationships/hyperlink" Target="http://nigerianbulletin.com/" TargetMode="External"/><Relationship Id="rId72" Type="http://schemas.openxmlformats.org/officeDocument/2006/relationships/hyperlink" Target="http://www.medscape.org/internalmedicine" TargetMode="External"/><Relationship Id="rId73" Type="http://schemas.openxmlformats.org/officeDocument/2006/relationships/hyperlink" Target="http://www.mgwater.com/" TargetMode="External"/><Relationship Id="rId74" Type="http://schemas.openxmlformats.org/officeDocument/2006/relationships/hyperlink" Target="http://devcomsmediadelivernow.blogspot.com/)" TargetMode="External"/><Relationship Id="rId75" Type="http://schemas.openxmlformats.org/officeDocument/2006/relationships/hyperlink" Target="http://www.medicinenet.com/" TargetMode="External"/><Relationship Id="rId76" Type="http://schemas.openxmlformats.org/officeDocument/2006/relationships/hyperlink" Target="http://books.google.com.ng/books" TargetMode="External"/><Relationship Id="rId77" Type="http://schemas.openxmlformats.org/officeDocument/2006/relationships/hyperlink" Target="http://www.drspock.com/" TargetMode="External"/><Relationship Id="rId78" Type="http://schemas.openxmlformats.org/officeDocument/2006/relationships/hyperlink" Target="http://www.livesrong.com/" TargetMode="External"/><Relationship Id="rId79" Type="http://schemas.openxmlformats.org/officeDocument/2006/relationships/hyperlink" Target="http://emedicine.medscape.com/" TargetMode="External"/><Relationship Id="rId80" Type="http://schemas.openxmlformats.org/officeDocument/2006/relationships/hyperlink" Target="http://www.hindawi.com./journals/" TargetMode="External"/><Relationship Id="rId81" Type="http://schemas.openxmlformats.org/officeDocument/2006/relationships/hyperlink" Target="http://www.unicef.org/" TargetMode="External"/><Relationship Id="rId82" Type="http://schemas.openxmlformats.org/officeDocument/2006/relationships/hyperlink" Target="http://www.livestrong.com/" TargetMode="External"/><Relationship Id="rId83" Type="http://schemas.openxmlformats.org/officeDocument/2006/relationships/hyperlink" Target="http://asheducationbook.haematologylibrary.org/" TargetMode="External"/><Relationship Id="rId84" Type="http://schemas.openxmlformats.org/officeDocument/2006/relationships/hyperlink" Target="http://phyrev.physiology.org/" TargetMode="External"/><Relationship Id="rId85" Type="http://schemas.openxmlformats.org/officeDocument/2006/relationships/image" Target="media/image61.png"/><Relationship Id="rId8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Microsoft Word - MSC PHARMACOLOGY-OLORUKOOBA</dc:title>
  <dcterms:created xsi:type="dcterms:W3CDTF">2023-11-07T17:13:46Z</dcterms:created>
  <dcterms:modified xsi:type="dcterms:W3CDTF">2023-11-07T17:13:46Z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2013-04-23T00:00:00Z</vt:filetime>
  </property>
  <property fmtid="{D5CDD505-2E9C-101B-9397-08002B2CF9AE}" pid="3" name="Creator">
    <vt:lpwstr>Microsoft Word - MSC PHARMACOLOGY-OLORUKOOBA</vt:lpwstr>
  </property>
  <property fmtid="{D5CDD505-2E9C-101B-9397-08002B2CF9AE}" pid="4" name="LastSaved">
    <vt:filetime>2013-04-23T00:00:00Z</vt:filetime>
  </property>
</Properties>
</file>